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A9549" w14:textId="1EB64A70" w:rsidR="00473F4D" w:rsidRPr="004170CE" w:rsidRDefault="00473F4D" w:rsidP="006D0A58">
      <w:pPr>
        <w:pStyle w:val="Title"/>
      </w:pPr>
      <w:r w:rsidRPr="004170CE">
        <w:t xml:space="preserve">Supplemental </w:t>
      </w:r>
      <w:r w:rsidR="00B86DD4">
        <w:t>Material</w:t>
      </w:r>
    </w:p>
    <w:p w14:paraId="1D3E0270" w14:textId="77777777" w:rsidR="00473F4D" w:rsidRPr="006515B8" w:rsidRDefault="00473F4D" w:rsidP="006D0A58"/>
    <w:p w14:paraId="6EF05255" w14:textId="77777777" w:rsidR="00473F4D" w:rsidRPr="004170CE" w:rsidRDefault="00473F4D" w:rsidP="00237D8A">
      <w:pPr>
        <w:pStyle w:val="Heading1"/>
      </w:pPr>
      <w:r w:rsidRPr="004170CE">
        <w:t>Choice of spatial accessibility measure</w:t>
      </w:r>
    </w:p>
    <w:p w14:paraId="14938A4E" w14:textId="6A82B036" w:rsidR="00473F4D" w:rsidRDefault="00473F4D" w:rsidP="006D0A58">
      <w:r>
        <w:t xml:space="preserve">There are various measures for evaluating spatial accessibility. </w:t>
      </w:r>
      <w:r w:rsidRPr="003A71B0">
        <w:t xml:space="preserve">Different measures have been used in previous studies to evaluate </w:t>
      </w:r>
      <w:r w:rsidRPr="00BB1E7C">
        <w:t>accessibility to pharmacies, such as distance to the nearest pharmacy</w:t>
      </w:r>
      <w:sdt>
        <w:sdtPr>
          <w:rPr>
            <w:color w:val="000000"/>
            <w:vertAlign w:val="superscript"/>
          </w:rPr>
          <w:tag w:val="MENDELEY_CITATION_v3_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"/>
          <w:id w:val="-1205099788"/>
          <w:placeholder>
            <w:docPart w:val="DefaultPlaceholder_-1854013440"/>
          </w:placeholder>
        </w:sdtPr>
        <w:sdtContent>
          <w:r w:rsidR="00C91E2C" w:rsidRPr="00C91E2C">
            <w:rPr>
              <w:color w:val="000000"/>
              <w:vertAlign w:val="superscript"/>
            </w:rPr>
            <w:t>1</w:t>
          </w:r>
        </w:sdtContent>
      </w:sdt>
      <w:r w:rsidRPr="003A71B0">
        <w:t xml:space="preserve">, presence of pharmacies within a certain radius </w:t>
      </w:r>
      <w:sdt>
        <w:sdtPr>
          <w:rPr>
            <w:color w:val="000000"/>
            <w:vertAlign w:val="superscript"/>
          </w:rPr>
          <w:tag w:val="MENDELEY_CITATION_v3_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"/>
          <w:id w:val="-4065581"/>
          <w:placeholder>
            <w:docPart w:val="DefaultPlaceholder_-1854013440"/>
          </w:placeholder>
        </w:sdtPr>
        <w:sdtContent>
          <w:r w:rsidR="00C91E2C" w:rsidRPr="00C91E2C">
            <w:rPr>
              <w:rFonts w:eastAsia="Times New Roman"/>
              <w:color w:val="000000"/>
              <w:vertAlign w:val="superscript"/>
            </w:rPr>
            <w:t>2</w:t>
          </w:r>
        </w:sdtContent>
      </w:sdt>
      <w:r w:rsidRPr="003A71B0">
        <w:t xml:space="preserve">, and the two-step ﬂoating catchment area (2SFCA) method </w:t>
      </w:r>
      <w:sdt>
        <w:sdtPr>
          <w:rPr>
            <w:color w:val="000000"/>
            <w:vertAlign w:val="superscript"/>
          </w:rPr>
          <w:tag w:val="MENDELEY_CITATION_v3_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"/>
          <w:id w:val="1304120978"/>
          <w:placeholder>
            <w:docPart w:val="DefaultPlaceholder_-1854013440"/>
          </w:placeholder>
        </w:sdtPr>
        <w:sdtContent>
          <w:r w:rsidR="00C91E2C" w:rsidRPr="00C91E2C">
            <w:rPr>
              <w:color w:val="000000"/>
              <w:vertAlign w:val="superscript"/>
            </w:rPr>
            <w:t>3</w:t>
          </w:r>
        </w:sdtContent>
      </w:sdt>
      <w:r w:rsidRPr="003A71B0">
        <w:t>.</w:t>
      </w:r>
    </w:p>
    <w:p w14:paraId="7B2D9CE3" w14:textId="77777777" w:rsidR="00473F4D" w:rsidRDefault="00473F4D" w:rsidP="006D0A58"/>
    <w:p w14:paraId="1FE8A667" w14:textId="10CD8E1E" w:rsidR="00473F4D" w:rsidRPr="003A71B0" w:rsidRDefault="00473F4D" w:rsidP="00395E74">
      <w:r w:rsidRPr="003A71B0">
        <w:t xml:space="preserve">Different </w:t>
      </w:r>
      <w:r>
        <w:t xml:space="preserve">types of </w:t>
      </w:r>
      <w:r w:rsidRPr="003A71B0">
        <w:t xml:space="preserve">measures capture different dimensions of how easy it is to </w:t>
      </w:r>
      <w:r w:rsidR="006570A3">
        <w:t>reach</w:t>
      </w:r>
      <w:r w:rsidR="00C17557">
        <w:t xml:space="preserve"> </w:t>
      </w:r>
      <w:r w:rsidRPr="003A71B0">
        <w:t>services.</w:t>
      </w:r>
      <w:r>
        <w:t xml:space="preserve"> </w:t>
      </w:r>
      <w:r w:rsidRPr="003A71B0">
        <w:t xml:space="preserve">A simple accessibility indicator is the </w:t>
      </w:r>
      <w:r>
        <w:rPr>
          <w:rFonts w:hint="eastAsia"/>
        </w:rPr>
        <w:t>short</w:t>
      </w:r>
      <w:r>
        <w:t xml:space="preserve">est </w:t>
      </w:r>
      <w:r w:rsidRPr="003A71B0">
        <w:t xml:space="preserve">distance or travel time to the nearest (or the </w:t>
      </w:r>
      <w:proofErr w:type="spellStart"/>
      <w:r w:rsidRPr="003A71B0">
        <w:rPr>
          <w:i/>
          <w:iCs/>
        </w:rPr>
        <w:t>m</w:t>
      </w:r>
      <w:r w:rsidRPr="003A71B0">
        <w:rPr>
          <w:vertAlign w:val="superscript"/>
        </w:rPr>
        <w:t>th</w:t>
      </w:r>
      <w:proofErr w:type="spellEnd"/>
      <w:r w:rsidRPr="003A71B0">
        <w:t xml:space="preserve"> nearest) potential service provider. This is most </w:t>
      </w:r>
      <w:r w:rsidRPr="003A71B0">
        <w:rPr>
          <w:lang w:val="en-CA"/>
        </w:rPr>
        <w:t>useful</w:t>
      </w:r>
      <w:r w:rsidRPr="003A71B0">
        <w:t xml:space="preserve"> when </w:t>
      </w:r>
      <w:r w:rsidR="00D02844">
        <w:t xml:space="preserve">the </w:t>
      </w:r>
      <w:r w:rsidRPr="003A71B0">
        <w:t>proximity of services is the primary concern. It is also straightforward and does not require additional data to calibrate the parameters.</w:t>
      </w:r>
      <w:r>
        <w:t xml:space="preserve"> </w:t>
      </w:r>
      <w:r w:rsidRPr="003A71B0">
        <w:t xml:space="preserve">Another type of accessibility indicator measures the cumulative opportunities reachable from a location, including the presence of the </w:t>
      </w:r>
      <w:r w:rsidR="00D02844">
        <w:t>number</w:t>
      </w:r>
      <w:r w:rsidR="00D02844" w:rsidRPr="003A71B0">
        <w:t xml:space="preserve"> </w:t>
      </w:r>
      <w:r w:rsidRPr="003A71B0">
        <w:t xml:space="preserve">of opportunities reachable within a certain threshold by radius </w:t>
      </w:r>
      <w:r w:rsidRPr="003A71B0">
        <w:rPr>
          <w:i/>
          <w:iCs/>
        </w:rPr>
        <w:t xml:space="preserve">d </w:t>
      </w:r>
      <w:r w:rsidRPr="003A71B0">
        <w:t xml:space="preserve">or travel time </w:t>
      </w:r>
      <w:r w:rsidRPr="003A71B0">
        <w:rPr>
          <w:i/>
          <w:iCs/>
        </w:rPr>
        <w:t>t</w:t>
      </w:r>
      <w:r w:rsidRPr="003A71B0">
        <w:t xml:space="preserve">, and gravity indicators that capture the attractiveness of opportunities weighted by distance impedance </w:t>
      </w:r>
      <w:sdt>
        <w:sdtPr>
          <w:rPr>
            <w:color w:val="000000"/>
            <w:vertAlign w:val="superscript"/>
          </w:rPr>
          <w:tag w:val="MENDELEY_CITATION_v3_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"/>
          <w:id w:val="-1593851343"/>
          <w:placeholder>
            <w:docPart w:val="DefaultPlaceholder_-1854013440"/>
          </w:placeholder>
        </w:sdtPr>
        <w:sdtContent>
          <w:r w:rsidR="00C91E2C" w:rsidRPr="00C91E2C">
            <w:rPr>
              <w:color w:val="000000"/>
              <w:vertAlign w:val="superscript"/>
            </w:rPr>
            <w:t>4</w:t>
          </w:r>
        </w:sdtContent>
      </w:sdt>
      <w:r w:rsidRPr="003A71B0">
        <w:t xml:space="preserve">. Such indicators require additional information from the study area (typically travel </w:t>
      </w:r>
      <w:r>
        <w:t>data</w:t>
      </w:r>
      <w:r w:rsidRPr="003A71B0">
        <w:t xml:space="preserve">) to determine parameters such as the threshold radius </w:t>
      </w:r>
      <w:r w:rsidRPr="003A71B0">
        <w:rPr>
          <w:i/>
          <w:iCs/>
        </w:rPr>
        <w:t xml:space="preserve">d </w:t>
      </w:r>
      <w:r w:rsidRPr="003A71B0">
        <w:t xml:space="preserve">or </w:t>
      </w:r>
      <w:r w:rsidR="00A36631">
        <w:t xml:space="preserve">the </w:t>
      </w:r>
      <w:r w:rsidRPr="003A71B0">
        <w:t xml:space="preserve">distance decay function </w:t>
      </w:r>
      <w:sdt>
        <w:sdtPr>
          <w:rPr>
            <w:color w:val="000000"/>
            <w:vertAlign w:val="superscript"/>
          </w:rPr>
          <w:tag w:val="MENDELEY_CITATION_v3_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"/>
          <w:id w:val="-471057547"/>
          <w:placeholder>
            <w:docPart w:val="DefaultPlaceholder_-1854013440"/>
          </w:placeholder>
        </w:sdtPr>
        <w:sdtContent>
          <w:r w:rsidR="00C91E2C" w:rsidRPr="00C91E2C">
            <w:rPr>
              <w:color w:val="000000"/>
              <w:vertAlign w:val="superscript"/>
            </w:rPr>
            <w:t>5</w:t>
          </w:r>
        </w:sdtContent>
      </w:sdt>
      <w:r w:rsidRPr="003A71B0">
        <w:t xml:space="preserve">. Since people living in different places have different travel patterns, the parameters determined are specific to the study area. Furthermore, since some services are competitive, such as physicians or hospital beds, accessibility indicators such as the two-step ﬂoating catchment area (2SFCA) method were developed to account for the ratio of the supply of services and the demand by the population within a typical threshold of travel time </w:t>
      </w:r>
      <w:sdt>
        <w:sdtPr>
          <w:rPr>
            <w:color w:val="000000"/>
            <w:vertAlign w:val="superscript"/>
          </w:rPr>
          <w:tag w:val="MENDELEY_CITATION_v3_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"/>
          <w:id w:val="-1944517858"/>
          <w:placeholder>
            <w:docPart w:val="DefaultPlaceholder_-1854013440"/>
          </w:placeholder>
        </w:sdtPr>
        <w:sdtContent>
          <w:r w:rsidR="00C91E2C" w:rsidRPr="00C91E2C">
            <w:rPr>
              <w:color w:val="000000"/>
              <w:vertAlign w:val="superscript"/>
            </w:rPr>
            <w:t>6</w:t>
          </w:r>
        </w:sdtContent>
      </w:sdt>
      <w:r w:rsidRPr="003A71B0">
        <w:t xml:space="preserve">. </w:t>
      </w:r>
      <w:r w:rsidR="002163C6">
        <w:t>T</w:t>
      </w:r>
      <w:r w:rsidR="004B6034">
        <w:t xml:space="preserve">o </w:t>
      </w:r>
      <w:r w:rsidR="004B6034" w:rsidRPr="004B6034">
        <w:t>minimize the healthcare-demand overestimation problem</w:t>
      </w:r>
      <w:r w:rsidR="004B6034">
        <w:t xml:space="preserve"> in 2SFCA method</w:t>
      </w:r>
      <w:r w:rsidR="002163C6">
        <w:t xml:space="preserve">, </w:t>
      </w:r>
      <w:r w:rsidR="009205ED">
        <w:t>a</w:t>
      </w:r>
      <w:r w:rsidR="002163C6">
        <w:t xml:space="preserve"> three</w:t>
      </w:r>
      <w:r w:rsidR="002163C6" w:rsidRPr="003A71B0">
        <w:t>-step ﬂoating catchment area (</w:t>
      </w:r>
      <w:r w:rsidR="002163C6">
        <w:t>3</w:t>
      </w:r>
      <w:r w:rsidR="002163C6" w:rsidRPr="003A71B0">
        <w:t>SFCA) method</w:t>
      </w:r>
      <w:r w:rsidR="002163C6">
        <w:t xml:space="preserve"> was </w:t>
      </w:r>
      <w:r w:rsidR="00830572">
        <w:t xml:space="preserve">also </w:t>
      </w:r>
      <w:r w:rsidR="002163C6">
        <w:t>developed</w:t>
      </w:r>
      <w:r w:rsidR="00A30D6A">
        <w:t xml:space="preserve"> </w:t>
      </w:r>
      <w:sdt>
        <w:sdtPr>
          <w:rPr>
            <w:color w:val="000000"/>
            <w:vertAlign w:val="superscript"/>
          </w:rPr>
          <w:tag w:val="MENDELEY_CITATION_v3_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"/>
          <w:id w:val="1142241800"/>
          <w:placeholder>
            <w:docPart w:val="DefaultPlaceholder_-1854013440"/>
          </w:placeholder>
        </w:sdtPr>
        <w:sdtContent>
          <w:r w:rsidR="00C91E2C" w:rsidRPr="00C91E2C">
            <w:rPr>
              <w:color w:val="000000"/>
              <w:vertAlign w:val="superscript"/>
            </w:rPr>
            <w:t>7</w:t>
          </w:r>
        </w:sdtContent>
      </w:sdt>
      <w:r w:rsidR="004B6034" w:rsidRPr="004B6034">
        <w:t>.</w:t>
      </w:r>
    </w:p>
    <w:p w14:paraId="3B4493A9" w14:textId="77777777" w:rsidR="00473F4D" w:rsidRDefault="00473F4D" w:rsidP="00886DAF">
      <w:pPr>
        <w:autoSpaceDE/>
        <w:autoSpaceDN/>
        <w:adjustRightInd/>
        <w:jc w:val="left"/>
      </w:pPr>
    </w:p>
    <w:p w14:paraId="39C6B628" w14:textId="478AB9F3" w:rsidR="00473F4D" w:rsidRPr="006A7EE4" w:rsidRDefault="00DC3119" w:rsidP="00B3397D">
      <w:r>
        <w:t>In our study, t</w:t>
      </w:r>
      <w:r w:rsidR="00473F4D">
        <w:t xml:space="preserve">here were a few considerations </w:t>
      </w:r>
      <w:r w:rsidR="00F56BD0">
        <w:t>in</w:t>
      </w:r>
      <w:r w:rsidR="00473F4D">
        <w:t xml:space="preserve"> choosing the shortest distance measure for spatial accessibility. </w:t>
      </w:r>
      <w:r w:rsidR="00B85A5D">
        <w:t xml:space="preserve">First, this </w:t>
      </w:r>
      <w:r w:rsidR="00473F4D">
        <w:t>measure is easy to interpret. It does not require parameter inputs that are typically calibrated from</w:t>
      </w:r>
      <w:r w:rsidR="00473F4D" w:rsidRPr="00BB1E7C">
        <w:rPr>
          <w:color w:val="000000" w:themeColor="text1"/>
        </w:rPr>
        <w:t xml:space="preserve"> travel </w:t>
      </w:r>
      <w:r w:rsidR="00473F4D">
        <w:rPr>
          <w:color w:val="000000" w:themeColor="text1"/>
        </w:rPr>
        <w:t>data</w:t>
      </w:r>
      <w:r w:rsidR="00473F4D" w:rsidRPr="00BB1E7C">
        <w:rPr>
          <w:color w:val="000000" w:themeColor="text1"/>
        </w:rPr>
        <w:t>, is directly comparable across different places</w:t>
      </w:r>
      <w:r w:rsidR="00B85A5D">
        <w:rPr>
          <w:color w:val="000000" w:themeColor="text1"/>
        </w:rPr>
        <w:t>,</w:t>
      </w:r>
      <w:r w:rsidR="00473F4D" w:rsidRPr="00BB1E7C">
        <w:rPr>
          <w:color w:val="000000" w:themeColor="text1"/>
        </w:rPr>
        <w:t xml:space="preserve"> and reflects the nature of </w:t>
      </w:r>
      <w:r w:rsidR="001B6C62" w:rsidRPr="00BB1E7C">
        <w:rPr>
          <w:color w:val="000000" w:themeColor="text1"/>
        </w:rPr>
        <w:t>pharmac</w:t>
      </w:r>
      <w:r w:rsidR="001B6C62">
        <w:rPr>
          <w:color w:val="000000" w:themeColor="text1"/>
        </w:rPr>
        <w:t>eutical</w:t>
      </w:r>
      <w:r w:rsidR="001B6C62" w:rsidRPr="00BB1E7C">
        <w:rPr>
          <w:color w:val="000000" w:themeColor="text1"/>
        </w:rPr>
        <w:t xml:space="preserve"> </w:t>
      </w:r>
      <w:r w:rsidR="00473F4D" w:rsidRPr="00BB1E7C">
        <w:rPr>
          <w:color w:val="000000" w:themeColor="text1"/>
        </w:rPr>
        <w:t xml:space="preserve">service utilization – a tendency to use nearby </w:t>
      </w:r>
      <w:r w:rsidR="001B6C62">
        <w:rPr>
          <w:color w:val="000000" w:themeColor="text1"/>
        </w:rPr>
        <w:t>pharmacies</w:t>
      </w:r>
      <w:r w:rsidR="001B6C62" w:rsidRPr="00BB1E7C">
        <w:rPr>
          <w:color w:val="000000" w:themeColor="text1"/>
        </w:rPr>
        <w:t xml:space="preserve"> </w:t>
      </w:r>
      <w:r w:rsidR="00473F4D" w:rsidRPr="00BB1E7C">
        <w:rPr>
          <w:color w:val="000000" w:themeColor="text1"/>
        </w:rPr>
        <w:t xml:space="preserve">(at least in most cases). </w:t>
      </w:r>
      <w:r w:rsidR="0011635B">
        <w:rPr>
          <w:color w:val="000000" w:themeColor="text1"/>
        </w:rPr>
        <w:t>Second</w:t>
      </w:r>
      <w:r w:rsidR="00473F4D" w:rsidRPr="00BB1E7C">
        <w:rPr>
          <w:color w:val="000000" w:themeColor="text1"/>
        </w:rPr>
        <w:t xml:space="preserve">, access as </w:t>
      </w:r>
      <w:r w:rsidR="00473F4D">
        <w:t xml:space="preserve">the shortest distance is easy to interpret when compared with travel outcomes, such as one-way trip distance. </w:t>
      </w:r>
      <w:r w:rsidR="00204E19">
        <w:t>We computed 3SFCA access and compared it with access by shortest distance and actual trip distance</w:t>
      </w:r>
      <w:r w:rsidR="008D1099">
        <w:t xml:space="preserve"> and </w:t>
      </w:r>
      <w:r w:rsidR="00204E19">
        <w:t xml:space="preserve">found that shortest distance is </w:t>
      </w:r>
      <w:r w:rsidR="00AA5340">
        <w:t xml:space="preserve">also </w:t>
      </w:r>
      <w:r w:rsidR="00204E19">
        <w:t xml:space="preserve">the best predictor of actual trip distance. </w:t>
      </w:r>
      <w:r w:rsidR="0011635B">
        <w:t xml:space="preserve">Third, </w:t>
      </w:r>
      <w:r w:rsidR="00473F4D" w:rsidRPr="00C20460">
        <w:t>measures that capture the competition for services from the population (e.g., ratio of supply and demand and the two-step ﬂoating catchment area method) are typically applied to scarce resources such as primary care physicians, whose time for appointments are limited, or hospital beds. While some of the pharmacy services (e.g., consultation or appointments for covid testing or vaccination) could be considered limited in the number of customers served, some other services (e.g., purchases of OTC drugs and medical devices) are not competitive. Measures that consider competition or not emphasize different dimensions of access to pharmacies. Our study looks at the general availability of pharmacies to local communities</w:t>
      </w:r>
      <w:r w:rsidR="00B85A5D" w:rsidRPr="00C20460">
        <w:t>,</w:t>
      </w:r>
      <w:r w:rsidR="00473F4D" w:rsidRPr="00C20460">
        <w:t xml:space="preserve"> and competition is not a major concern in this work. Thus, we chose not to go with this type of access measure</w:t>
      </w:r>
      <w:r w:rsidR="00473F4D">
        <w:t xml:space="preserve">. </w:t>
      </w:r>
    </w:p>
    <w:p w14:paraId="189FE99A" w14:textId="77777777" w:rsidR="00473F4D" w:rsidRDefault="00473F4D" w:rsidP="006D0A58"/>
    <w:p w14:paraId="056BF16B" w14:textId="77777777" w:rsidR="003D53D5" w:rsidRPr="006E27A8" w:rsidRDefault="003D53D5" w:rsidP="003D53D5">
      <w:pPr>
        <w:pStyle w:val="Heading3"/>
        <w:rPr>
          <w:b/>
          <w:bCs/>
          <w:i w:val="0"/>
          <w:iCs w:val="0"/>
        </w:rPr>
      </w:pPr>
      <w:r w:rsidRPr="006E27A8">
        <w:rPr>
          <w:b/>
          <w:bCs/>
          <w:i w:val="0"/>
          <w:iCs w:val="0"/>
        </w:rPr>
        <w:lastRenderedPageBreak/>
        <w:t>Who visited pharmacies?</w:t>
      </w:r>
    </w:p>
    <w:p w14:paraId="7C35966C" w14:textId="77777777" w:rsidR="00D84AC3" w:rsidRDefault="00D84AC3" w:rsidP="003D53D5"/>
    <w:p w14:paraId="19194228" w14:textId="6F507216" w:rsidR="003D53D5" w:rsidRPr="00294EEA" w:rsidRDefault="003D53D5" w:rsidP="003D53D5">
      <w:r w:rsidRPr="00294EEA">
        <w:t>Out of 997 respondents, 278 (27.9%) reported making at least one pharmacy trip in a typical week</w:t>
      </w:r>
      <w:r>
        <w:t xml:space="preserve"> </w:t>
      </w:r>
      <w:r w:rsidRPr="00E25C77">
        <w:t>(including trips without destination addresses reported). Low-density Suburbs had the highest</w:t>
      </w:r>
      <w:r w:rsidRPr="00294EEA">
        <w:t xml:space="preserve"> percentage of respondents who used </w:t>
      </w:r>
      <w:r>
        <w:t>pharmacies</w:t>
      </w:r>
      <w:r w:rsidRPr="00294EEA">
        <w:t xml:space="preserve"> (37.8%), while High-density Suburbs had the lowest percentage (19.9%) (Figure </w:t>
      </w:r>
      <w:r>
        <w:t>4</w:t>
      </w:r>
      <w:r w:rsidRPr="00294EEA">
        <w:t xml:space="preserve">). </w:t>
      </w:r>
    </w:p>
    <w:p w14:paraId="790BB96A" w14:textId="77777777" w:rsidR="003D53D5" w:rsidRPr="00294EEA" w:rsidRDefault="003D53D5" w:rsidP="003D53D5">
      <w:r w:rsidRPr="00294EEA">
        <w:t xml:space="preserve"> </w:t>
      </w:r>
    </w:p>
    <w:p w14:paraId="51D52340" w14:textId="77777777" w:rsidR="003D53D5" w:rsidRPr="00294EEA" w:rsidRDefault="003D53D5" w:rsidP="003D53D5">
      <w:r w:rsidRPr="00226EF2">
        <w:rPr>
          <w:noProof/>
        </w:rPr>
        <w:drawing>
          <wp:inline distT="0" distB="0" distL="0" distR="0" wp14:anchorId="5B02942F" wp14:editId="0CFBA864">
            <wp:extent cx="4459465" cy="2326888"/>
            <wp:effectExtent l="0" t="0" r="0" b="0"/>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rotWithShape="1">
                    <a:blip r:embed="rId6"/>
                    <a:srcRect b="3365"/>
                    <a:stretch/>
                  </pic:blipFill>
                  <pic:spPr bwMode="auto">
                    <a:xfrm>
                      <a:off x="0" y="0"/>
                      <a:ext cx="4530065" cy="2363726"/>
                    </a:xfrm>
                    <a:prstGeom prst="rect">
                      <a:avLst/>
                    </a:prstGeom>
                    <a:ln>
                      <a:noFill/>
                    </a:ln>
                    <a:extLst>
                      <a:ext uri="{53640926-AAD7-44D8-BBD7-CCE9431645EC}">
                        <a14:shadowObscured xmlns:a14="http://schemas.microsoft.com/office/drawing/2010/main"/>
                      </a:ext>
                    </a:extLst>
                  </pic:spPr>
                </pic:pic>
              </a:graphicData>
            </a:graphic>
          </wp:inline>
        </w:drawing>
      </w:r>
    </w:p>
    <w:p w14:paraId="78B61EF2" w14:textId="76C8FF21" w:rsidR="003D53D5" w:rsidRPr="00294EEA" w:rsidRDefault="003D53D5" w:rsidP="003D53D5">
      <w:pPr>
        <w:pStyle w:val="Captions"/>
        <w:rPr>
          <w:color w:val="auto"/>
        </w:rPr>
      </w:pPr>
      <w:bookmarkStart w:id="0" w:name="_Toc83635349"/>
      <w:bookmarkStart w:id="1" w:name="_Toc83635534"/>
      <w:r w:rsidRPr="00B3664F">
        <w:rPr>
          <w:rFonts w:cs="Times New Roman"/>
          <w:b/>
          <w:bCs/>
          <w:iCs w:val="0"/>
          <w:color w:val="auto"/>
        </w:rPr>
        <w:t>Fig</w:t>
      </w:r>
      <w:r w:rsidR="00B3664F" w:rsidRPr="00B3664F">
        <w:rPr>
          <w:rFonts w:cs="Times New Roman"/>
          <w:b/>
          <w:bCs/>
          <w:iCs w:val="0"/>
          <w:color w:val="auto"/>
        </w:rPr>
        <w:t>.</w:t>
      </w:r>
      <w:r w:rsidRPr="00B3664F">
        <w:rPr>
          <w:rFonts w:cs="Times New Roman"/>
          <w:b/>
          <w:bCs/>
          <w:iCs w:val="0"/>
          <w:color w:val="auto"/>
        </w:rPr>
        <w:t xml:space="preserve"> </w:t>
      </w:r>
      <w:r w:rsidR="00D66745" w:rsidRPr="00B3664F">
        <w:rPr>
          <w:b/>
          <w:bCs/>
        </w:rPr>
        <w:t>S1</w:t>
      </w:r>
      <w:r w:rsidRPr="00294EEA">
        <w:rPr>
          <w:color w:val="auto"/>
        </w:rPr>
        <w:t xml:space="preserve"> The percentage of respondents who reported pharmacy trips, by neighborhood </w:t>
      </w:r>
      <w:proofErr w:type="gramStart"/>
      <w:r w:rsidRPr="00294EEA">
        <w:rPr>
          <w:color w:val="auto"/>
        </w:rPr>
        <w:t>type</w:t>
      </w:r>
      <w:bookmarkEnd w:id="0"/>
      <w:bookmarkEnd w:id="1"/>
      <w:proofErr w:type="gramEnd"/>
    </w:p>
    <w:p w14:paraId="2054E758" w14:textId="4AC09FC9" w:rsidR="003C3070" w:rsidRDefault="009070AC" w:rsidP="003C3070">
      <w:r>
        <w:t>L</w:t>
      </w:r>
      <w:r w:rsidR="003C3070" w:rsidRPr="00294EEA">
        <w:t xml:space="preserve">ogistic regression was performed to evaluate factors that impact the likelihood </w:t>
      </w:r>
      <w:r w:rsidR="003C3070">
        <w:t xml:space="preserve">of making </w:t>
      </w:r>
      <w:r w:rsidR="003C3070" w:rsidRPr="00294EEA">
        <w:t>any trip to a pharmacy</w:t>
      </w:r>
      <w:r w:rsidR="003C3070">
        <w:t xml:space="preserve"> (including reported pharmacy trips without verified destination information). T</w:t>
      </w:r>
      <w:r w:rsidR="003C3070" w:rsidRPr="00294EEA">
        <w:t xml:space="preserve">hree types of predictors </w:t>
      </w:r>
      <w:r w:rsidR="003C3070">
        <w:t xml:space="preserve">were </w:t>
      </w:r>
      <w:r w:rsidR="003C3070" w:rsidRPr="00294EEA">
        <w:t xml:space="preserve">included – accessibility to pharmacies (all types of pharmacies considered), neighborhood type, and individual-level sociodemographic variables. </w:t>
      </w:r>
    </w:p>
    <w:p w14:paraId="7DCE1BCD" w14:textId="77777777" w:rsidR="003D53D5" w:rsidRPr="00294EEA" w:rsidRDefault="003D53D5" w:rsidP="003D53D5"/>
    <w:p w14:paraId="670D8B45" w14:textId="1207EC08" w:rsidR="003D53D5" w:rsidRPr="00294EEA" w:rsidRDefault="003D53D5" w:rsidP="003D53D5">
      <w:r w:rsidRPr="00294EEA">
        <w:t xml:space="preserve">The </w:t>
      </w:r>
      <w:r>
        <w:t>l</w:t>
      </w:r>
      <w:r w:rsidRPr="00294EEA">
        <w:t xml:space="preserve">ogistic regression </w:t>
      </w:r>
      <w:r>
        <w:t xml:space="preserve">results </w:t>
      </w:r>
      <w:r w:rsidRPr="00294EEA">
        <w:t xml:space="preserve">on the likelihood </w:t>
      </w:r>
      <w:r>
        <w:t>of</w:t>
      </w:r>
      <w:r w:rsidRPr="00294EEA">
        <w:t xml:space="preserve"> mak</w:t>
      </w:r>
      <w:r>
        <w:t>ing</w:t>
      </w:r>
      <w:r w:rsidRPr="00294EEA">
        <w:t xml:space="preserve"> any trip to a pharmacy (Table </w:t>
      </w:r>
      <w:r w:rsidR="008D147B">
        <w:t>S1</w:t>
      </w:r>
      <w:r w:rsidRPr="00294EEA">
        <w:t xml:space="preserve">) showed that, first, the likelihood </w:t>
      </w:r>
      <w:r>
        <w:t>of</w:t>
      </w:r>
      <w:r w:rsidRPr="00294EEA">
        <w:t xml:space="preserve"> </w:t>
      </w:r>
      <w:r>
        <w:t>visiting</w:t>
      </w:r>
      <w:r w:rsidRPr="00294EEA">
        <w:t xml:space="preserve"> pharmacies was influenced by </w:t>
      </w:r>
      <w:r>
        <w:t xml:space="preserve">the </w:t>
      </w:r>
      <w:r w:rsidRPr="00294EEA">
        <w:t xml:space="preserve">spatial accessibility to pharmacies, as measured by the distance to the nearest pharmacy of any type. This </w:t>
      </w:r>
      <w:r>
        <w:t>suggested</w:t>
      </w:r>
      <w:r w:rsidRPr="00294EEA">
        <w:t xml:space="preserve"> that when they had a pharmacy near </w:t>
      </w:r>
      <w:r w:rsidRPr="00D86722">
        <w:t xml:space="preserve">home, people were more likely to use pharmaceutical services. It </w:t>
      </w:r>
      <w:r w:rsidRPr="00294EEA">
        <w:t xml:space="preserve">could be considered as an exposure effect to pharmacies. For a one-mile reduction in the distance to the nearest pharmacy, the likelihood of a resident to </w:t>
      </w:r>
      <w:r>
        <w:t>visit a pharmacy</w:t>
      </w:r>
      <w:r w:rsidRPr="00294EEA">
        <w:t xml:space="preserve"> increased by 2.4 times (1/e</w:t>
      </w:r>
      <w:r w:rsidRPr="00BE6875">
        <w:rPr>
          <w:vertAlign w:val="superscript"/>
        </w:rPr>
        <w:t>-0.87</w:t>
      </w:r>
      <w:r w:rsidRPr="00294EEA">
        <w:t xml:space="preserve">). </w:t>
      </w:r>
    </w:p>
    <w:p w14:paraId="0DA4C364" w14:textId="77777777" w:rsidR="003D53D5" w:rsidRPr="00C20460" w:rsidRDefault="003D53D5" w:rsidP="003D53D5"/>
    <w:p w14:paraId="04E88755" w14:textId="1E3BE32A" w:rsidR="003D53D5" w:rsidRPr="00294EEA" w:rsidRDefault="003D53D5" w:rsidP="003D53D5">
      <w:r w:rsidRPr="00294EEA">
        <w:t xml:space="preserve">Second, the likelihood </w:t>
      </w:r>
      <w:r>
        <w:t>of using</w:t>
      </w:r>
      <w:r w:rsidRPr="00294EEA">
        <w:t xml:space="preserve"> pharmacies varied significantly across neighborhood</w:t>
      </w:r>
      <w:r>
        <w:t xml:space="preserve"> type</w:t>
      </w:r>
      <w:r w:rsidRPr="00294EEA">
        <w:t xml:space="preserve">s. Residents in the High-density Suburbs were the least likely to use a pharmacy, even after controlling for accessibility </w:t>
      </w:r>
      <w:r w:rsidRPr="00C20460">
        <w:t>and individual-level sociodemographic characteristics. The odds of visiting at least one pharmacy in a typical week was 2.7 times (e</w:t>
      </w:r>
      <w:r w:rsidRPr="00BE6875">
        <w:rPr>
          <w:vertAlign w:val="superscript"/>
        </w:rPr>
        <w:t>0.986</w:t>
      </w:r>
      <w:r w:rsidRPr="00C20460">
        <w:t xml:space="preserve">) </w:t>
      </w:r>
      <w:r w:rsidR="00BB1B12" w:rsidRPr="00C20460">
        <w:t>higher</w:t>
      </w:r>
      <w:r w:rsidRPr="00C20460">
        <w:t xml:space="preserve"> for residents in the </w:t>
      </w:r>
      <w:r w:rsidR="00214147" w:rsidRPr="00C20460">
        <w:t>Low</w:t>
      </w:r>
      <w:r w:rsidRPr="00C20460">
        <w:t xml:space="preserve">-density Suburbs than residents in the </w:t>
      </w:r>
      <w:r w:rsidR="00214147" w:rsidRPr="00C20460">
        <w:t>High</w:t>
      </w:r>
      <w:r w:rsidRPr="00C20460">
        <w:t xml:space="preserve">-density Suburbs. A possible explanation of this difference is that residents in the High-density Suburbs are in better health than the residents from the other neighborhoods. This was suggested by their healthier lifestyles (lowest BMI values, most trips for physical activities and least visits to fast foods) compared to residents in other neighborhoods, as reported in the survey. </w:t>
      </w:r>
    </w:p>
    <w:p w14:paraId="679C7D9A" w14:textId="77777777" w:rsidR="003D53D5" w:rsidRPr="00294EEA" w:rsidRDefault="003D53D5" w:rsidP="003D53D5"/>
    <w:p w14:paraId="798B5FD9" w14:textId="6D763C9E" w:rsidR="003D53D5" w:rsidRPr="00294EEA" w:rsidRDefault="003D53D5" w:rsidP="003D53D5">
      <w:r w:rsidRPr="00C20460">
        <w:t xml:space="preserve">It is worth noting that, while Urban Detroit residents likely had the least favorable health conditions – given the highest BMI values, the most fast-food restaurant trips, and the least trips for physical </w:t>
      </w:r>
      <w:r w:rsidRPr="00C20460">
        <w:lastRenderedPageBreak/>
        <w:t xml:space="preserve">activities on average – they were no more likely to visit pharmacies than residents in the High-density Suburbs, even after controlling for individual-level factors of age, gender, </w:t>
      </w:r>
      <w:proofErr w:type="gramStart"/>
      <w:r w:rsidRPr="00C20460">
        <w:t>income</w:t>
      </w:r>
      <w:proofErr w:type="gramEnd"/>
      <w:r w:rsidRPr="00C20460">
        <w:t xml:space="preserve"> and car ownership. This suggests that the demands for pharmaceutical services may be suppressed in Urban</w:t>
      </w:r>
      <w:r w:rsidRPr="00294EEA">
        <w:t xml:space="preserve"> Detroit </w:t>
      </w:r>
      <w:r>
        <w:t xml:space="preserve">neighborhoods </w:t>
      </w:r>
      <w:r w:rsidRPr="00294EEA">
        <w:t>with a high concentration of lower-income African Americans. Residents in segregated and disadvantaged minority communities face various barriers to access health</w:t>
      </w:r>
      <w:r>
        <w:t xml:space="preserve"> care</w:t>
      </w:r>
      <w:r w:rsidRPr="00294EEA">
        <w:t xml:space="preserve">, including </w:t>
      </w:r>
      <w:r>
        <w:t xml:space="preserve">a </w:t>
      </w:r>
      <w:r w:rsidRPr="00294EEA">
        <w:t xml:space="preserve">lower density of health care providers, lack of health insurance coverage, </w:t>
      </w:r>
      <w:r>
        <w:t>inadequate</w:t>
      </w:r>
      <w:r w:rsidRPr="00294EEA">
        <w:t xml:space="preserve"> access to medical information through social networks, and cultural norms and values that discourage people from utilizing health care services </w:t>
      </w:r>
      <w:sdt>
        <w:sdtPr>
          <w:rPr>
            <w:color w:val="000000"/>
            <w:vertAlign w:val="superscript"/>
          </w:rPr>
          <w:tag w:val="MENDELEY_CITATION_v3_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"/>
          <w:id w:val="-1353565643"/>
          <w:placeholder>
            <w:docPart w:val="3429009668C42B4F80AB5532F338CCC2"/>
          </w:placeholder>
        </w:sdtPr>
        <w:sdtContent>
          <w:r w:rsidR="00C91E2C" w:rsidRPr="00C91E2C">
            <w:rPr>
              <w:rFonts w:eastAsia="Times New Roman"/>
              <w:color w:val="000000"/>
              <w:vertAlign w:val="superscript"/>
            </w:rPr>
            <w:t>8</w:t>
          </w:r>
        </w:sdtContent>
      </w:sdt>
      <w:r w:rsidRPr="00294EEA">
        <w:t xml:space="preserve">. </w:t>
      </w:r>
    </w:p>
    <w:p w14:paraId="72E8FF0A" w14:textId="77777777" w:rsidR="003D53D5" w:rsidRPr="00294EEA" w:rsidRDefault="003D53D5" w:rsidP="003D53D5"/>
    <w:p w14:paraId="6F8D2288" w14:textId="1DF94D29" w:rsidR="003D53D5" w:rsidRPr="00294EEA" w:rsidRDefault="003D53D5" w:rsidP="003D53D5">
      <w:r w:rsidRPr="00294EEA">
        <w:t xml:space="preserve">Third, age and gender affected whether a respondent visited a pharmacy. The odds </w:t>
      </w:r>
      <w:r>
        <w:t>of</w:t>
      </w:r>
      <w:r w:rsidRPr="00294EEA">
        <w:t xml:space="preserve"> visit</w:t>
      </w:r>
      <w:r>
        <w:t xml:space="preserve">ing </w:t>
      </w:r>
      <w:r w:rsidRPr="00294EEA">
        <w:t xml:space="preserve">pharmacies </w:t>
      </w:r>
      <w:r>
        <w:t>versus</w:t>
      </w:r>
      <w:r w:rsidRPr="00294EEA">
        <w:t xml:space="preserve"> visiting no pharmacy at all in a typical week was 1.1 (e</w:t>
      </w:r>
      <w:r w:rsidRPr="00294EEA">
        <w:rPr>
          <w:vertAlign w:val="superscript"/>
        </w:rPr>
        <w:t>0.013*10</w:t>
      </w:r>
      <w:r w:rsidRPr="00294EEA">
        <w:t>) times higher for every ten-year increase in age, and 1.9 (e</w:t>
      </w:r>
      <w:r w:rsidRPr="00294EEA">
        <w:rPr>
          <w:vertAlign w:val="superscript"/>
        </w:rPr>
        <w:t>0.644</w:t>
      </w:r>
      <w:r w:rsidRPr="00294EEA">
        <w:t>) times higher for women than men. This reflects</w:t>
      </w:r>
      <w:r>
        <w:t>, in part,</w:t>
      </w:r>
      <w:r w:rsidRPr="00294EEA">
        <w:t xml:space="preserve"> a greater need for medications by seniors and women. Additional analysis that controlled for household size, presence of children under 18</w:t>
      </w:r>
      <w:r>
        <w:t>,</w:t>
      </w:r>
      <w:r w:rsidRPr="00294EEA">
        <w:t xml:space="preserve"> and marital status indicated that gender was significant and independent from household structure (results not shown). This was expected </w:t>
      </w:r>
      <w:r>
        <w:t>because</w:t>
      </w:r>
      <w:r w:rsidRPr="00294EEA">
        <w:t xml:space="preserve"> women tend to utilize significantly more services and spend more on health care than men </w:t>
      </w:r>
      <w:sdt>
        <w:sdtPr>
          <w:rPr>
            <w:color w:val="000000"/>
            <w:vertAlign w:val="superscript"/>
          </w:rPr>
          <w:tag w:val="MENDELEY_CITATION_v3_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"/>
          <w:id w:val="-1186197375"/>
          <w:placeholder>
            <w:docPart w:val="3429009668C42B4F80AB5532F338CCC2"/>
          </w:placeholder>
        </w:sdtPr>
        <w:sdtContent>
          <w:r w:rsidR="00C91E2C" w:rsidRPr="00C91E2C">
            <w:rPr>
              <w:color w:val="000000"/>
              <w:vertAlign w:val="superscript"/>
            </w:rPr>
            <w:t>9</w:t>
          </w:r>
        </w:sdtContent>
      </w:sdt>
      <w:r w:rsidRPr="00294EEA">
        <w:t>. However, when controlling for the residential environment (neighborhood type) and accessibility, neither income, race</w:t>
      </w:r>
      <w:r>
        <w:t>,</w:t>
      </w:r>
      <w:r w:rsidRPr="00294EEA">
        <w:t xml:space="preserve"> nor car access of an individual affected the likelihood </w:t>
      </w:r>
      <w:r>
        <w:t xml:space="preserve">of </w:t>
      </w:r>
      <w:r w:rsidRPr="00294EEA">
        <w:t>visit</w:t>
      </w:r>
      <w:r>
        <w:t xml:space="preserve">ing </w:t>
      </w:r>
      <w:r w:rsidRPr="00294EEA">
        <w:t xml:space="preserve">pharmacies. </w:t>
      </w:r>
    </w:p>
    <w:p w14:paraId="1472BE02" w14:textId="77777777" w:rsidR="003D53D5" w:rsidRDefault="003D53D5" w:rsidP="003D53D5">
      <w:pPr>
        <w:rPr>
          <w:rFonts w:eastAsiaTheme="majorEastAsia" w:cstheme="majorBidi"/>
          <w:iCs/>
          <w:szCs w:val="21"/>
        </w:rPr>
      </w:pPr>
      <w:bookmarkStart w:id="2" w:name="_Toc84634884"/>
    </w:p>
    <w:p w14:paraId="10F01D49" w14:textId="29D3FF84" w:rsidR="003D53D5" w:rsidRDefault="003D53D5" w:rsidP="003D53D5">
      <w:pPr>
        <w:rPr>
          <w:rFonts w:eastAsiaTheme="majorEastAsia" w:cstheme="majorBidi"/>
          <w:iCs/>
          <w:szCs w:val="21"/>
        </w:rPr>
      </w:pPr>
    </w:p>
    <w:p w14:paraId="66A022BA" w14:textId="6D6A1DEC" w:rsidR="003D53D5" w:rsidRPr="00294EEA" w:rsidRDefault="003D53D5" w:rsidP="003D53D5">
      <w:pPr>
        <w:pStyle w:val="Captions"/>
        <w:rPr>
          <w:color w:val="auto"/>
        </w:rPr>
      </w:pPr>
      <w:r w:rsidRPr="008D0289">
        <w:rPr>
          <w:color w:val="auto"/>
        </w:rPr>
        <w:t xml:space="preserve">Table </w:t>
      </w:r>
      <w:r w:rsidR="00F162FD" w:rsidRPr="008D0289">
        <w:rPr>
          <w:color w:val="auto"/>
        </w:rPr>
        <w:t>S1</w:t>
      </w:r>
      <w:r w:rsidRPr="008D0289">
        <w:rPr>
          <w:color w:val="auto"/>
        </w:rPr>
        <w:t xml:space="preserve">. </w:t>
      </w:r>
      <w:r w:rsidRPr="00294EEA">
        <w:rPr>
          <w:color w:val="auto"/>
        </w:rPr>
        <w:t xml:space="preserve">Logistic regression of the likelihood </w:t>
      </w:r>
      <w:r>
        <w:rPr>
          <w:color w:val="auto"/>
        </w:rPr>
        <w:t>of</w:t>
      </w:r>
      <w:r w:rsidRPr="00294EEA">
        <w:rPr>
          <w:color w:val="auto"/>
        </w:rPr>
        <w:t xml:space="preserve"> visit</w:t>
      </w:r>
      <w:r>
        <w:rPr>
          <w:color w:val="auto"/>
        </w:rPr>
        <w:t>ing</w:t>
      </w:r>
      <w:r w:rsidRPr="00294EEA">
        <w:rPr>
          <w:color w:val="auto"/>
        </w:rPr>
        <w:t xml:space="preserve"> a pharmacy in a typical week</w:t>
      </w:r>
      <w:bookmarkEnd w:id="2"/>
    </w:p>
    <w:tbl>
      <w:tblPr>
        <w:tblW w:w="6491" w:type="dxa"/>
        <w:tblLook w:val="04A0" w:firstRow="1" w:lastRow="0" w:firstColumn="1" w:lastColumn="0" w:noHBand="0" w:noVBand="1"/>
      </w:tblPr>
      <w:tblGrid>
        <w:gridCol w:w="3027"/>
        <w:gridCol w:w="1241"/>
        <w:gridCol w:w="741"/>
        <w:gridCol w:w="908"/>
        <w:gridCol w:w="574"/>
      </w:tblGrid>
      <w:tr w:rsidR="003D53D5" w:rsidRPr="00294EEA" w14:paraId="0C66C7FE" w14:textId="77777777" w:rsidTr="00B02F9D">
        <w:trPr>
          <w:trHeight w:val="275"/>
        </w:trPr>
        <w:tc>
          <w:tcPr>
            <w:tcW w:w="0" w:type="auto"/>
            <w:tcBorders>
              <w:top w:val="single" w:sz="8" w:space="0" w:color="auto"/>
              <w:left w:val="nil"/>
              <w:bottom w:val="single" w:sz="8" w:space="0" w:color="auto"/>
              <w:right w:val="nil"/>
            </w:tcBorders>
            <w:shd w:val="clear" w:color="auto" w:fill="auto"/>
            <w:noWrap/>
            <w:hideMark/>
          </w:tcPr>
          <w:p w14:paraId="28613607" w14:textId="77777777" w:rsidR="003D53D5" w:rsidRPr="00294EEA" w:rsidRDefault="003D53D5" w:rsidP="00B02F9D">
            <w:pPr>
              <w:jc w:val="center"/>
              <w:rPr>
                <w:sz w:val="20"/>
                <w:szCs w:val="20"/>
              </w:rPr>
            </w:pPr>
          </w:p>
        </w:tc>
        <w:tc>
          <w:tcPr>
            <w:tcW w:w="0" w:type="auto"/>
            <w:tcBorders>
              <w:top w:val="single" w:sz="8" w:space="0" w:color="auto"/>
              <w:left w:val="nil"/>
              <w:bottom w:val="single" w:sz="8" w:space="0" w:color="auto"/>
              <w:right w:val="nil"/>
            </w:tcBorders>
            <w:shd w:val="clear" w:color="auto" w:fill="auto"/>
            <w:noWrap/>
            <w:hideMark/>
          </w:tcPr>
          <w:p w14:paraId="34627912" w14:textId="77777777" w:rsidR="003D53D5" w:rsidRPr="00294EEA" w:rsidRDefault="003D53D5" w:rsidP="00B02F9D">
            <w:pPr>
              <w:jc w:val="right"/>
              <w:rPr>
                <w:sz w:val="20"/>
                <w:szCs w:val="20"/>
              </w:rPr>
            </w:pPr>
            <w:r w:rsidRPr="00294EEA">
              <w:rPr>
                <w:sz w:val="20"/>
                <w:szCs w:val="20"/>
              </w:rPr>
              <w:t>Coefficient</w:t>
            </w:r>
          </w:p>
        </w:tc>
        <w:tc>
          <w:tcPr>
            <w:tcW w:w="0" w:type="auto"/>
            <w:tcBorders>
              <w:top w:val="single" w:sz="8" w:space="0" w:color="auto"/>
              <w:left w:val="nil"/>
              <w:bottom w:val="single" w:sz="8" w:space="0" w:color="auto"/>
              <w:right w:val="nil"/>
            </w:tcBorders>
            <w:shd w:val="clear" w:color="auto" w:fill="auto"/>
            <w:noWrap/>
            <w:hideMark/>
          </w:tcPr>
          <w:p w14:paraId="40CB68CD" w14:textId="77777777" w:rsidR="003D53D5" w:rsidRPr="00294EEA" w:rsidRDefault="003D53D5" w:rsidP="00B02F9D">
            <w:pPr>
              <w:jc w:val="center"/>
              <w:rPr>
                <w:sz w:val="20"/>
                <w:szCs w:val="20"/>
              </w:rPr>
            </w:pPr>
            <w:r w:rsidRPr="00294EEA">
              <w:rPr>
                <w:sz w:val="20"/>
                <w:szCs w:val="20"/>
              </w:rPr>
              <w:t>SE</w:t>
            </w:r>
          </w:p>
        </w:tc>
        <w:tc>
          <w:tcPr>
            <w:tcW w:w="0" w:type="auto"/>
            <w:tcBorders>
              <w:top w:val="single" w:sz="8" w:space="0" w:color="auto"/>
              <w:left w:val="nil"/>
              <w:bottom w:val="single" w:sz="8" w:space="0" w:color="auto"/>
              <w:right w:val="nil"/>
            </w:tcBorders>
            <w:shd w:val="clear" w:color="auto" w:fill="auto"/>
            <w:noWrap/>
            <w:hideMark/>
          </w:tcPr>
          <w:p w14:paraId="56806254" w14:textId="77777777" w:rsidR="003D53D5" w:rsidRPr="00294EEA" w:rsidRDefault="003D53D5" w:rsidP="00B02F9D">
            <w:pPr>
              <w:jc w:val="right"/>
              <w:rPr>
                <w:sz w:val="20"/>
                <w:szCs w:val="20"/>
              </w:rPr>
            </w:pPr>
            <w:r w:rsidRPr="00294EEA">
              <w:rPr>
                <w:sz w:val="20"/>
                <w:szCs w:val="20"/>
              </w:rPr>
              <w:t>p-value</w:t>
            </w:r>
          </w:p>
        </w:tc>
        <w:tc>
          <w:tcPr>
            <w:tcW w:w="0" w:type="auto"/>
            <w:tcBorders>
              <w:top w:val="single" w:sz="8" w:space="0" w:color="auto"/>
              <w:left w:val="nil"/>
              <w:bottom w:val="single" w:sz="8" w:space="0" w:color="auto"/>
              <w:right w:val="nil"/>
            </w:tcBorders>
            <w:shd w:val="clear" w:color="auto" w:fill="auto"/>
            <w:noWrap/>
            <w:hideMark/>
          </w:tcPr>
          <w:p w14:paraId="164912E6" w14:textId="77777777" w:rsidR="003D53D5" w:rsidRPr="00294EEA" w:rsidRDefault="003D53D5" w:rsidP="00B02F9D">
            <w:pPr>
              <w:jc w:val="center"/>
              <w:rPr>
                <w:sz w:val="20"/>
                <w:szCs w:val="20"/>
              </w:rPr>
            </w:pPr>
          </w:p>
        </w:tc>
      </w:tr>
      <w:tr w:rsidR="003D53D5" w:rsidRPr="00294EEA" w14:paraId="659B1D1A" w14:textId="77777777" w:rsidTr="00B02F9D">
        <w:trPr>
          <w:trHeight w:val="259"/>
        </w:trPr>
        <w:tc>
          <w:tcPr>
            <w:tcW w:w="0" w:type="auto"/>
            <w:tcBorders>
              <w:top w:val="nil"/>
              <w:left w:val="nil"/>
              <w:bottom w:val="nil"/>
              <w:right w:val="nil"/>
            </w:tcBorders>
            <w:shd w:val="clear" w:color="auto" w:fill="auto"/>
            <w:noWrap/>
            <w:hideMark/>
          </w:tcPr>
          <w:p w14:paraId="5E1304DB" w14:textId="77777777" w:rsidR="003D53D5" w:rsidRPr="00294EEA" w:rsidRDefault="003D53D5" w:rsidP="00B02F9D">
            <w:pPr>
              <w:rPr>
                <w:sz w:val="20"/>
                <w:szCs w:val="20"/>
              </w:rPr>
            </w:pPr>
            <w:r w:rsidRPr="00294EEA">
              <w:rPr>
                <w:sz w:val="20"/>
                <w:szCs w:val="20"/>
              </w:rPr>
              <w:t>Intercept</w:t>
            </w:r>
          </w:p>
        </w:tc>
        <w:tc>
          <w:tcPr>
            <w:tcW w:w="0" w:type="auto"/>
            <w:tcBorders>
              <w:top w:val="nil"/>
              <w:left w:val="nil"/>
              <w:bottom w:val="nil"/>
              <w:right w:val="nil"/>
            </w:tcBorders>
            <w:shd w:val="clear" w:color="auto" w:fill="auto"/>
            <w:noWrap/>
            <w:hideMark/>
          </w:tcPr>
          <w:p w14:paraId="1AAE3E7F" w14:textId="77777777" w:rsidR="003D53D5" w:rsidRPr="00294EEA" w:rsidRDefault="003D53D5" w:rsidP="00B02F9D">
            <w:pPr>
              <w:jc w:val="right"/>
              <w:rPr>
                <w:sz w:val="20"/>
                <w:szCs w:val="20"/>
              </w:rPr>
            </w:pPr>
            <w:r w:rsidRPr="00294EEA">
              <w:rPr>
                <w:sz w:val="20"/>
                <w:szCs w:val="20"/>
              </w:rPr>
              <w:t>-1.882</w:t>
            </w:r>
          </w:p>
        </w:tc>
        <w:tc>
          <w:tcPr>
            <w:tcW w:w="0" w:type="auto"/>
            <w:tcBorders>
              <w:top w:val="nil"/>
              <w:left w:val="nil"/>
              <w:bottom w:val="nil"/>
              <w:right w:val="nil"/>
            </w:tcBorders>
            <w:shd w:val="clear" w:color="auto" w:fill="auto"/>
            <w:noWrap/>
            <w:hideMark/>
          </w:tcPr>
          <w:p w14:paraId="29A0480F" w14:textId="77777777" w:rsidR="003D53D5" w:rsidRPr="00294EEA" w:rsidRDefault="003D53D5" w:rsidP="00B02F9D">
            <w:pPr>
              <w:jc w:val="right"/>
              <w:rPr>
                <w:sz w:val="20"/>
                <w:szCs w:val="20"/>
              </w:rPr>
            </w:pPr>
            <w:r w:rsidRPr="00294EEA">
              <w:rPr>
                <w:sz w:val="20"/>
                <w:szCs w:val="20"/>
              </w:rPr>
              <w:t>0.396</w:t>
            </w:r>
          </w:p>
        </w:tc>
        <w:tc>
          <w:tcPr>
            <w:tcW w:w="0" w:type="auto"/>
            <w:tcBorders>
              <w:top w:val="nil"/>
              <w:left w:val="nil"/>
              <w:bottom w:val="nil"/>
              <w:right w:val="nil"/>
            </w:tcBorders>
            <w:shd w:val="clear" w:color="auto" w:fill="auto"/>
            <w:noWrap/>
            <w:hideMark/>
          </w:tcPr>
          <w:p w14:paraId="04F92A97" w14:textId="77777777" w:rsidR="003D53D5" w:rsidRPr="00294EEA" w:rsidRDefault="003D53D5" w:rsidP="00B02F9D">
            <w:pPr>
              <w:jc w:val="right"/>
              <w:rPr>
                <w:sz w:val="20"/>
                <w:szCs w:val="20"/>
              </w:rPr>
            </w:pPr>
            <w:r w:rsidRPr="00294EEA">
              <w:rPr>
                <w:sz w:val="20"/>
                <w:szCs w:val="20"/>
              </w:rPr>
              <w:t>0.001</w:t>
            </w:r>
          </w:p>
        </w:tc>
        <w:tc>
          <w:tcPr>
            <w:tcW w:w="0" w:type="auto"/>
            <w:tcBorders>
              <w:top w:val="nil"/>
              <w:left w:val="nil"/>
              <w:bottom w:val="nil"/>
              <w:right w:val="nil"/>
            </w:tcBorders>
            <w:shd w:val="clear" w:color="auto" w:fill="auto"/>
            <w:noWrap/>
            <w:hideMark/>
          </w:tcPr>
          <w:p w14:paraId="65E38CBD" w14:textId="77777777" w:rsidR="003D53D5" w:rsidRPr="00294EEA" w:rsidRDefault="003D53D5" w:rsidP="00B02F9D">
            <w:pPr>
              <w:rPr>
                <w:sz w:val="20"/>
                <w:szCs w:val="20"/>
              </w:rPr>
            </w:pPr>
            <w:r w:rsidRPr="00294EEA">
              <w:rPr>
                <w:sz w:val="20"/>
                <w:szCs w:val="20"/>
              </w:rPr>
              <w:t>***</w:t>
            </w:r>
          </w:p>
        </w:tc>
      </w:tr>
      <w:tr w:rsidR="003D53D5" w:rsidRPr="00294EEA" w14:paraId="30A94739" w14:textId="77777777" w:rsidTr="00B02F9D">
        <w:trPr>
          <w:trHeight w:val="259"/>
        </w:trPr>
        <w:tc>
          <w:tcPr>
            <w:tcW w:w="0" w:type="auto"/>
            <w:tcBorders>
              <w:top w:val="nil"/>
              <w:left w:val="nil"/>
              <w:bottom w:val="nil"/>
              <w:right w:val="nil"/>
            </w:tcBorders>
            <w:shd w:val="clear" w:color="auto" w:fill="auto"/>
            <w:noWrap/>
            <w:hideMark/>
          </w:tcPr>
          <w:p w14:paraId="0AB8649C" w14:textId="2969863F" w:rsidR="003D53D5" w:rsidRPr="00294EEA" w:rsidRDefault="00AE07DF" w:rsidP="00B02F9D">
            <w:pPr>
              <w:rPr>
                <w:sz w:val="20"/>
                <w:szCs w:val="20"/>
              </w:rPr>
            </w:pPr>
            <w:r>
              <w:rPr>
                <w:sz w:val="20"/>
                <w:szCs w:val="20"/>
              </w:rPr>
              <w:t>Spatial a</w:t>
            </w:r>
            <w:r w:rsidR="003D53D5" w:rsidRPr="00294EEA">
              <w:rPr>
                <w:sz w:val="20"/>
                <w:szCs w:val="20"/>
              </w:rPr>
              <w:t>ccessibility</w:t>
            </w:r>
          </w:p>
        </w:tc>
        <w:tc>
          <w:tcPr>
            <w:tcW w:w="0" w:type="auto"/>
            <w:tcBorders>
              <w:top w:val="nil"/>
              <w:left w:val="nil"/>
              <w:bottom w:val="nil"/>
              <w:right w:val="nil"/>
            </w:tcBorders>
            <w:shd w:val="clear" w:color="auto" w:fill="auto"/>
            <w:noWrap/>
            <w:hideMark/>
          </w:tcPr>
          <w:p w14:paraId="5EF8794E" w14:textId="77777777" w:rsidR="003D53D5" w:rsidRPr="00294EEA" w:rsidRDefault="003D53D5" w:rsidP="00B02F9D">
            <w:pPr>
              <w:jc w:val="right"/>
              <w:rPr>
                <w:sz w:val="20"/>
                <w:szCs w:val="20"/>
              </w:rPr>
            </w:pPr>
            <w:r w:rsidRPr="00294EEA">
              <w:rPr>
                <w:sz w:val="20"/>
                <w:szCs w:val="20"/>
              </w:rPr>
              <w:t>-0.870</w:t>
            </w:r>
          </w:p>
        </w:tc>
        <w:tc>
          <w:tcPr>
            <w:tcW w:w="0" w:type="auto"/>
            <w:tcBorders>
              <w:top w:val="nil"/>
              <w:left w:val="nil"/>
              <w:bottom w:val="nil"/>
              <w:right w:val="nil"/>
            </w:tcBorders>
            <w:shd w:val="clear" w:color="auto" w:fill="auto"/>
            <w:noWrap/>
            <w:hideMark/>
          </w:tcPr>
          <w:p w14:paraId="7D528DDC" w14:textId="77777777" w:rsidR="003D53D5" w:rsidRPr="00294EEA" w:rsidRDefault="003D53D5" w:rsidP="00B02F9D">
            <w:pPr>
              <w:jc w:val="right"/>
              <w:rPr>
                <w:sz w:val="20"/>
                <w:szCs w:val="20"/>
              </w:rPr>
            </w:pPr>
            <w:r w:rsidRPr="00294EEA">
              <w:rPr>
                <w:sz w:val="20"/>
                <w:szCs w:val="20"/>
              </w:rPr>
              <w:t>0.243</w:t>
            </w:r>
          </w:p>
        </w:tc>
        <w:tc>
          <w:tcPr>
            <w:tcW w:w="0" w:type="auto"/>
            <w:tcBorders>
              <w:top w:val="nil"/>
              <w:left w:val="nil"/>
              <w:bottom w:val="nil"/>
              <w:right w:val="nil"/>
            </w:tcBorders>
            <w:shd w:val="clear" w:color="auto" w:fill="auto"/>
            <w:noWrap/>
            <w:hideMark/>
          </w:tcPr>
          <w:p w14:paraId="631919AB" w14:textId="77777777" w:rsidR="003D53D5" w:rsidRPr="00294EEA" w:rsidRDefault="003D53D5" w:rsidP="00B02F9D">
            <w:pPr>
              <w:jc w:val="right"/>
              <w:rPr>
                <w:sz w:val="20"/>
                <w:szCs w:val="20"/>
              </w:rPr>
            </w:pPr>
            <w:r w:rsidRPr="00294EEA">
              <w:rPr>
                <w:sz w:val="20"/>
                <w:szCs w:val="20"/>
              </w:rPr>
              <w:t>0.000</w:t>
            </w:r>
          </w:p>
        </w:tc>
        <w:tc>
          <w:tcPr>
            <w:tcW w:w="0" w:type="auto"/>
            <w:tcBorders>
              <w:top w:val="nil"/>
              <w:left w:val="nil"/>
              <w:bottom w:val="nil"/>
              <w:right w:val="nil"/>
            </w:tcBorders>
            <w:shd w:val="clear" w:color="auto" w:fill="auto"/>
            <w:noWrap/>
            <w:hideMark/>
          </w:tcPr>
          <w:p w14:paraId="54FAB2C6" w14:textId="77777777" w:rsidR="003D53D5" w:rsidRPr="00294EEA" w:rsidRDefault="003D53D5" w:rsidP="00B02F9D">
            <w:pPr>
              <w:rPr>
                <w:sz w:val="20"/>
                <w:szCs w:val="20"/>
              </w:rPr>
            </w:pPr>
            <w:r w:rsidRPr="00294EEA">
              <w:rPr>
                <w:sz w:val="20"/>
                <w:szCs w:val="20"/>
              </w:rPr>
              <w:t>***</w:t>
            </w:r>
          </w:p>
        </w:tc>
      </w:tr>
      <w:tr w:rsidR="003D53D5" w:rsidRPr="00294EEA" w14:paraId="2CE0B2D5" w14:textId="77777777" w:rsidTr="00B02F9D">
        <w:trPr>
          <w:trHeight w:val="259"/>
        </w:trPr>
        <w:tc>
          <w:tcPr>
            <w:tcW w:w="0" w:type="auto"/>
            <w:tcBorders>
              <w:top w:val="nil"/>
              <w:left w:val="nil"/>
              <w:bottom w:val="nil"/>
              <w:right w:val="nil"/>
            </w:tcBorders>
            <w:shd w:val="clear" w:color="auto" w:fill="auto"/>
            <w:noWrap/>
            <w:hideMark/>
          </w:tcPr>
          <w:p w14:paraId="691E21C2" w14:textId="77777777" w:rsidR="003D53D5" w:rsidRPr="00294EEA" w:rsidRDefault="003D53D5" w:rsidP="00B02F9D">
            <w:pPr>
              <w:rPr>
                <w:sz w:val="20"/>
                <w:szCs w:val="20"/>
              </w:rPr>
            </w:pPr>
            <w:r w:rsidRPr="00294EEA">
              <w:rPr>
                <w:sz w:val="20"/>
                <w:szCs w:val="20"/>
              </w:rPr>
              <w:t>Neighborhood type</w:t>
            </w:r>
          </w:p>
        </w:tc>
        <w:tc>
          <w:tcPr>
            <w:tcW w:w="0" w:type="auto"/>
            <w:tcBorders>
              <w:top w:val="nil"/>
              <w:left w:val="nil"/>
              <w:bottom w:val="nil"/>
              <w:right w:val="nil"/>
            </w:tcBorders>
            <w:shd w:val="clear" w:color="auto" w:fill="auto"/>
            <w:noWrap/>
            <w:hideMark/>
          </w:tcPr>
          <w:p w14:paraId="4401F754"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1A7A21EB"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5A73E406"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2AFFA81A" w14:textId="77777777" w:rsidR="003D53D5" w:rsidRPr="00294EEA" w:rsidRDefault="003D53D5" w:rsidP="00B02F9D">
            <w:pPr>
              <w:rPr>
                <w:sz w:val="20"/>
                <w:szCs w:val="20"/>
              </w:rPr>
            </w:pPr>
          </w:p>
        </w:tc>
      </w:tr>
      <w:tr w:rsidR="003D53D5" w:rsidRPr="00294EEA" w14:paraId="435EB621" w14:textId="77777777" w:rsidTr="00B02F9D">
        <w:trPr>
          <w:trHeight w:val="259"/>
        </w:trPr>
        <w:tc>
          <w:tcPr>
            <w:tcW w:w="0" w:type="auto"/>
            <w:gridSpan w:val="2"/>
            <w:tcBorders>
              <w:top w:val="nil"/>
              <w:left w:val="nil"/>
              <w:bottom w:val="nil"/>
              <w:right w:val="nil"/>
            </w:tcBorders>
            <w:shd w:val="clear" w:color="auto" w:fill="auto"/>
            <w:noWrap/>
            <w:hideMark/>
          </w:tcPr>
          <w:p w14:paraId="4339507F" w14:textId="77777777" w:rsidR="003D53D5" w:rsidRPr="00294EEA" w:rsidRDefault="003D53D5" w:rsidP="00B02F9D">
            <w:pPr>
              <w:rPr>
                <w:sz w:val="20"/>
                <w:szCs w:val="20"/>
              </w:rPr>
            </w:pPr>
            <w:r w:rsidRPr="00294EEA">
              <w:rPr>
                <w:sz w:val="20"/>
                <w:szCs w:val="20"/>
              </w:rPr>
              <w:t xml:space="preserve">   High-density Suburbs (reference)</w:t>
            </w:r>
          </w:p>
        </w:tc>
        <w:tc>
          <w:tcPr>
            <w:tcW w:w="0" w:type="auto"/>
            <w:tcBorders>
              <w:top w:val="nil"/>
              <w:left w:val="nil"/>
              <w:bottom w:val="nil"/>
              <w:right w:val="nil"/>
            </w:tcBorders>
            <w:shd w:val="clear" w:color="auto" w:fill="auto"/>
            <w:noWrap/>
            <w:hideMark/>
          </w:tcPr>
          <w:p w14:paraId="08D1FE0B"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7B0BA0AB"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081FB490" w14:textId="77777777" w:rsidR="003D53D5" w:rsidRPr="00294EEA" w:rsidRDefault="003D53D5" w:rsidP="00B02F9D">
            <w:pPr>
              <w:rPr>
                <w:sz w:val="20"/>
                <w:szCs w:val="20"/>
              </w:rPr>
            </w:pPr>
          </w:p>
        </w:tc>
      </w:tr>
      <w:tr w:rsidR="003D53D5" w:rsidRPr="00294EEA" w14:paraId="3CCA6429" w14:textId="77777777" w:rsidTr="00B02F9D">
        <w:trPr>
          <w:trHeight w:val="259"/>
        </w:trPr>
        <w:tc>
          <w:tcPr>
            <w:tcW w:w="0" w:type="auto"/>
            <w:tcBorders>
              <w:top w:val="nil"/>
              <w:left w:val="nil"/>
              <w:bottom w:val="nil"/>
              <w:right w:val="nil"/>
            </w:tcBorders>
            <w:shd w:val="clear" w:color="auto" w:fill="auto"/>
            <w:noWrap/>
            <w:hideMark/>
          </w:tcPr>
          <w:p w14:paraId="237DE436" w14:textId="77777777" w:rsidR="003D53D5" w:rsidRPr="00294EEA" w:rsidRDefault="003D53D5" w:rsidP="00B02F9D">
            <w:pPr>
              <w:rPr>
                <w:sz w:val="20"/>
                <w:szCs w:val="20"/>
              </w:rPr>
            </w:pPr>
            <w:r w:rsidRPr="00294EEA">
              <w:rPr>
                <w:sz w:val="20"/>
                <w:szCs w:val="20"/>
              </w:rPr>
              <w:t xml:space="preserve">   Urban Detroit</w:t>
            </w:r>
            <w:r>
              <w:rPr>
                <w:sz w:val="20"/>
                <w:szCs w:val="20"/>
              </w:rPr>
              <w:t xml:space="preserve"> neighborhoods</w:t>
            </w:r>
          </w:p>
        </w:tc>
        <w:tc>
          <w:tcPr>
            <w:tcW w:w="0" w:type="auto"/>
            <w:tcBorders>
              <w:top w:val="nil"/>
              <w:left w:val="nil"/>
              <w:bottom w:val="nil"/>
              <w:right w:val="nil"/>
            </w:tcBorders>
            <w:shd w:val="clear" w:color="auto" w:fill="auto"/>
            <w:noWrap/>
            <w:hideMark/>
          </w:tcPr>
          <w:p w14:paraId="2FA8A563" w14:textId="77777777" w:rsidR="003D53D5" w:rsidRPr="00294EEA" w:rsidRDefault="003D53D5" w:rsidP="00B02F9D">
            <w:pPr>
              <w:jc w:val="right"/>
              <w:rPr>
                <w:sz w:val="20"/>
                <w:szCs w:val="20"/>
              </w:rPr>
            </w:pPr>
            <w:r w:rsidRPr="00294EEA">
              <w:rPr>
                <w:sz w:val="20"/>
                <w:szCs w:val="20"/>
              </w:rPr>
              <w:t>0.608</w:t>
            </w:r>
          </w:p>
        </w:tc>
        <w:tc>
          <w:tcPr>
            <w:tcW w:w="0" w:type="auto"/>
            <w:tcBorders>
              <w:top w:val="nil"/>
              <w:left w:val="nil"/>
              <w:bottom w:val="nil"/>
              <w:right w:val="nil"/>
            </w:tcBorders>
            <w:shd w:val="clear" w:color="auto" w:fill="auto"/>
            <w:noWrap/>
            <w:hideMark/>
          </w:tcPr>
          <w:p w14:paraId="73DDA286" w14:textId="77777777" w:rsidR="003D53D5" w:rsidRPr="00294EEA" w:rsidRDefault="003D53D5" w:rsidP="00B02F9D">
            <w:pPr>
              <w:jc w:val="right"/>
              <w:rPr>
                <w:sz w:val="20"/>
                <w:szCs w:val="20"/>
              </w:rPr>
            </w:pPr>
            <w:r w:rsidRPr="00294EEA">
              <w:rPr>
                <w:sz w:val="20"/>
                <w:szCs w:val="20"/>
              </w:rPr>
              <w:t>0.433</w:t>
            </w:r>
          </w:p>
        </w:tc>
        <w:tc>
          <w:tcPr>
            <w:tcW w:w="0" w:type="auto"/>
            <w:tcBorders>
              <w:top w:val="nil"/>
              <w:left w:val="nil"/>
              <w:bottom w:val="nil"/>
              <w:right w:val="nil"/>
            </w:tcBorders>
            <w:shd w:val="clear" w:color="auto" w:fill="auto"/>
            <w:noWrap/>
            <w:hideMark/>
          </w:tcPr>
          <w:p w14:paraId="18B0ED89" w14:textId="77777777" w:rsidR="003D53D5" w:rsidRPr="00294EEA" w:rsidRDefault="003D53D5" w:rsidP="00B02F9D">
            <w:pPr>
              <w:jc w:val="right"/>
              <w:rPr>
                <w:sz w:val="20"/>
                <w:szCs w:val="20"/>
              </w:rPr>
            </w:pPr>
            <w:r w:rsidRPr="00294EEA">
              <w:rPr>
                <w:sz w:val="20"/>
                <w:szCs w:val="20"/>
              </w:rPr>
              <w:t>0.161</w:t>
            </w:r>
          </w:p>
        </w:tc>
        <w:tc>
          <w:tcPr>
            <w:tcW w:w="0" w:type="auto"/>
            <w:tcBorders>
              <w:top w:val="nil"/>
              <w:left w:val="nil"/>
              <w:bottom w:val="nil"/>
              <w:right w:val="nil"/>
            </w:tcBorders>
            <w:shd w:val="clear" w:color="auto" w:fill="auto"/>
            <w:noWrap/>
            <w:hideMark/>
          </w:tcPr>
          <w:p w14:paraId="5695682D" w14:textId="77777777" w:rsidR="003D53D5" w:rsidRPr="00294EEA" w:rsidRDefault="003D53D5" w:rsidP="00B02F9D">
            <w:pPr>
              <w:jc w:val="right"/>
              <w:rPr>
                <w:sz w:val="20"/>
                <w:szCs w:val="20"/>
              </w:rPr>
            </w:pPr>
          </w:p>
        </w:tc>
      </w:tr>
      <w:tr w:rsidR="003D53D5" w:rsidRPr="00294EEA" w14:paraId="416BAD6B" w14:textId="77777777" w:rsidTr="00B02F9D">
        <w:trPr>
          <w:trHeight w:val="259"/>
        </w:trPr>
        <w:tc>
          <w:tcPr>
            <w:tcW w:w="0" w:type="auto"/>
            <w:tcBorders>
              <w:top w:val="nil"/>
              <w:left w:val="nil"/>
              <w:bottom w:val="nil"/>
              <w:right w:val="nil"/>
            </w:tcBorders>
            <w:shd w:val="clear" w:color="auto" w:fill="auto"/>
            <w:noWrap/>
            <w:hideMark/>
          </w:tcPr>
          <w:p w14:paraId="3B713C41" w14:textId="77777777" w:rsidR="003D53D5" w:rsidRPr="00294EEA" w:rsidRDefault="003D53D5" w:rsidP="00B02F9D">
            <w:pPr>
              <w:rPr>
                <w:sz w:val="20"/>
                <w:szCs w:val="20"/>
              </w:rPr>
            </w:pPr>
            <w:r w:rsidRPr="00294EEA">
              <w:rPr>
                <w:sz w:val="20"/>
                <w:szCs w:val="20"/>
              </w:rPr>
              <w:t xml:space="preserve">   Low-density Suburbs</w:t>
            </w:r>
          </w:p>
        </w:tc>
        <w:tc>
          <w:tcPr>
            <w:tcW w:w="0" w:type="auto"/>
            <w:tcBorders>
              <w:top w:val="nil"/>
              <w:left w:val="nil"/>
              <w:bottom w:val="nil"/>
              <w:right w:val="nil"/>
            </w:tcBorders>
            <w:shd w:val="clear" w:color="auto" w:fill="auto"/>
            <w:noWrap/>
            <w:hideMark/>
          </w:tcPr>
          <w:p w14:paraId="02216EC5" w14:textId="77777777" w:rsidR="003D53D5" w:rsidRPr="00294EEA" w:rsidRDefault="003D53D5" w:rsidP="00B02F9D">
            <w:pPr>
              <w:jc w:val="right"/>
              <w:rPr>
                <w:sz w:val="20"/>
                <w:szCs w:val="20"/>
              </w:rPr>
            </w:pPr>
            <w:r w:rsidRPr="00294EEA">
              <w:rPr>
                <w:sz w:val="20"/>
                <w:szCs w:val="20"/>
              </w:rPr>
              <w:t>0.986</w:t>
            </w:r>
          </w:p>
        </w:tc>
        <w:tc>
          <w:tcPr>
            <w:tcW w:w="0" w:type="auto"/>
            <w:tcBorders>
              <w:top w:val="nil"/>
              <w:left w:val="nil"/>
              <w:bottom w:val="nil"/>
              <w:right w:val="nil"/>
            </w:tcBorders>
            <w:shd w:val="clear" w:color="auto" w:fill="auto"/>
            <w:noWrap/>
            <w:hideMark/>
          </w:tcPr>
          <w:p w14:paraId="57A33748" w14:textId="77777777" w:rsidR="003D53D5" w:rsidRPr="00294EEA" w:rsidRDefault="003D53D5" w:rsidP="00B02F9D">
            <w:pPr>
              <w:jc w:val="right"/>
              <w:rPr>
                <w:sz w:val="20"/>
                <w:szCs w:val="20"/>
              </w:rPr>
            </w:pPr>
            <w:r w:rsidRPr="00294EEA">
              <w:rPr>
                <w:sz w:val="20"/>
                <w:szCs w:val="20"/>
              </w:rPr>
              <w:t>0.197</w:t>
            </w:r>
          </w:p>
        </w:tc>
        <w:tc>
          <w:tcPr>
            <w:tcW w:w="0" w:type="auto"/>
            <w:tcBorders>
              <w:top w:val="nil"/>
              <w:left w:val="nil"/>
              <w:bottom w:val="nil"/>
              <w:right w:val="nil"/>
            </w:tcBorders>
            <w:shd w:val="clear" w:color="auto" w:fill="auto"/>
            <w:noWrap/>
            <w:hideMark/>
          </w:tcPr>
          <w:p w14:paraId="2B8CBC72" w14:textId="77777777" w:rsidR="003D53D5" w:rsidRPr="00294EEA" w:rsidRDefault="003D53D5" w:rsidP="00B02F9D">
            <w:pPr>
              <w:jc w:val="right"/>
              <w:rPr>
                <w:sz w:val="20"/>
                <w:szCs w:val="20"/>
              </w:rPr>
            </w:pPr>
            <w:r w:rsidRPr="00294EEA">
              <w:rPr>
                <w:sz w:val="20"/>
                <w:szCs w:val="20"/>
              </w:rPr>
              <w:t>0.000</w:t>
            </w:r>
          </w:p>
        </w:tc>
        <w:tc>
          <w:tcPr>
            <w:tcW w:w="0" w:type="auto"/>
            <w:tcBorders>
              <w:top w:val="nil"/>
              <w:left w:val="nil"/>
              <w:bottom w:val="nil"/>
              <w:right w:val="nil"/>
            </w:tcBorders>
            <w:shd w:val="clear" w:color="auto" w:fill="auto"/>
            <w:noWrap/>
            <w:hideMark/>
          </w:tcPr>
          <w:p w14:paraId="5126327C" w14:textId="77777777" w:rsidR="003D53D5" w:rsidRPr="00294EEA" w:rsidRDefault="003D53D5" w:rsidP="00B02F9D">
            <w:pPr>
              <w:rPr>
                <w:sz w:val="20"/>
                <w:szCs w:val="20"/>
              </w:rPr>
            </w:pPr>
            <w:r w:rsidRPr="00294EEA">
              <w:rPr>
                <w:sz w:val="20"/>
                <w:szCs w:val="20"/>
              </w:rPr>
              <w:t>***</w:t>
            </w:r>
          </w:p>
        </w:tc>
      </w:tr>
      <w:tr w:rsidR="003D53D5" w:rsidRPr="00294EEA" w14:paraId="09B210BD" w14:textId="77777777" w:rsidTr="00B02F9D">
        <w:trPr>
          <w:trHeight w:val="259"/>
        </w:trPr>
        <w:tc>
          <w:tcPr>
            <w:tcW w:w="0" w:type="auto"/>
            <w:tcBorders>
              <w:top w:val="nil"/>
              <w:left w:val="nil"/>
              <w:bottom w:val="nil"/>
              <w:right w:val="nil"/>
            </w:tcBorders>
            <w:shd w:val="clear" w:color="auto" w:fill="auto"/>
            <w:noWrap/>
            <w:hideMark/>
          </w:tcPr>
          <w:p w14:paraId="5AE8AAB3" w14:textId="77777777" w:rsidR="003D53D5" w:rsidRPr="00294EEA" w:rsidRDefault="003D53D5" w:rsidP="00B02F9D">
            <w:pPr>
              <w:rPr>
                <w:sz w:val="20"/>
                <w:szCs w:val="20"/>
              </w:rPr>
            </w:pPr>
            <w:r w:rsidRPr="00294EEA">
              <w:rPr>
                <w:sz w:val="20"/>
                <w:szCs w:val="20"/>
              </w:rPr>
              <w:t>Age</w:t>
            </w:r>
          </w:p>
        </w:tc>
        <w:tc>
          <w:tcPr>
            <w:tcW w:w="0" w:type="auto"/>
            <w:tcBorders>
              <w:top w:val="nil"/>
              <w:left w:val="nil"/>
              <w:bottom w:val="nil"/>
              <w:right w:val="nil"/>
            </w:tcBorders>
            <w:shd w:val="clear" w:color="auto" w:fill="auto"/>
            <w:noWrap/>
            <w:hideMark/>
          </w:tcPr>
          <w:p w14:paraId="2AE98426" w14:textId="77777777" w:rsidR="003D53D5" w:rsidRPr="00294EEA" w:rsidRDefault="003D53D5" w:rsidP="00B02F9D">
            <w:pPr>
              <w:jc w:val="right"/>
              <w:rPr>
                <w:sz w:val="20"/>
                <w:szCs w:val="20"/>
              </w:rPr>
            </w:pPr>
            <w:r w:rsidRPr="00294EEA">
              <w:rPr>
                <w:sz w:val="20"/>
                <w:szCs w:val="20"/>
              </w:rPr>
              <w:t>0.013</w:t>
            </w:r>
          </w:p>
        </w:tc>
        <w:tc>
          <w:tcPr>
            <w:tcW w:w="0" w:type="auto"/>
            <w:tcBorders>
              <w:top w:val="nil"/>
              <w:left w:val="nil"/>
              <w:bottom w:val="nil"/>
              <w:right w:val="nil"/>
            </w:tcBorders>
            <w:shd w:val="clear" w:color="auto" w:fill="auto"/>
            <w:noWrap/>
            <w:hideMark/>
          </w:tcPr>
          <w:p w14:paraId="5B7F6797" w14:textId="77777777" w:rsidR="003D53D5" w:rsidRPr="00294EEA" w:rsidRDefault="003D53D5" w:rsidP="00B02F9D">
            <w:pPr>
              <w:jc w:val="right"/>
              <w:rPr>
                <w:sz w:val="20"/>
                <w:szCs w:val="20"/>
              </w:rPr>
            </w:pPr>
            <w:r w:rsidRPr="00294EEA">
              <w:rPr>
                <w:sz w:val="20"/>
                <w:szCs w:val="20"/>
              </w:rPr>
              <w:t>0.005</w:t>
            </w:r>
          </w:p>
        </w:tc>
        <w:tc>
          <w:tcPr>
            <w:tcW w:w="0" w:type="auto"/>
            <w:tcBorders>
              <w:top w:val="nil"/>
              <w:left w:val="nil"/>
              <w:bottom w:val="nil"/>
              <w:right w:val="nil"/>
            </w:tcBorders>
            <w:shd w:val="clear" w:color="auto" w:fill="auto"/>
            <w:noWrap/>
            <w:hideMark/>
          </w:tcPr>
          <w:p w14:paraId="41B5F821" w14:textId="77777777" w:rsidR="003D53D5" w:rsidRPr="00294EEA" w:rsidRDefault="003D53D5" w:rsidP="00B02F9D">
            <w:pPr>
              <w:jc w:val="right"/>
              <w:rPr>
                <w:sz w:val="20"/>
                <w:szCs w:val="20"/>
              </w:rPr>
            </w:pPr>
            <w:r w:rsidRPr="00294EEA">
              <w:rPr>
                <w:sz w:val="20"/>
                <w:szCs w:val="20"/>
              </w:rPr>
              <w:t>0.021</w:t>
            </w:r>
          </w:p>
        </w:tc>
        <w:tc>
          <w:tcPr>
            <w:tcW w:w="0" w:type="auto"/>
            <w:tcBorders>
              <w:top w:val="nil"/>
              <w:left w:val="nil"/>
              <w:bottom w:val="nil"/>
              <w:right w:val="nil"/>
            </w:tcBorders>
            <w:shd w:val="clear" w:color="auto" w:fill="auto"/>
            <w:noWrap/>
            <w:hideMark/>
          </w:tcPr>
          <w:p w14:paraId="7CFCCF85" w14:textId="77777777" w:rsidR="003D53D5" w:rsidRPr="00294EEA" w:rsidRDefault="003D53D5" w:rsidP="00B02F9D">
            <w:pPr>
              <w:rPr>
                <w:sz w:val="20"/>
                <w:szCs w:val="20"/>
              </w:rPr>
            </w:pPr>
            <w:r w:rsidRPr="00294EEA">
              <w:rPr>
                <w:sz w:val="20"/>
                <w:szCs w:val="20"/>
              </w:rPr>
              <w:t>*</w:t>
            </w:r>
          </w:p>
        </w:tc>
      </w:tr>
      <w:tr w:rsidR="003D53D5" w:rsidRPr="00294EEA" w14:paraId="55CB7E8A" w14:textId="77777777" w:rsidTr="00B02F9D">
        <w:trPr>
          <w:trHeight w:val="259"/>
        </w:trPr>
        <w:tc>
          <w:tcPr>
            <w:tcW w:w="0" w:type="auto"/>
            <w:tcBorders>
              <w:top w:val="nil"/>
              <w:left w:val="nil"/>
              <w:bottom w:val="nil"/>
              <w:right w:val="nil"/>
            </w:tcBorders>
            <w:shd w:val="clear" w:color="auto" w:fill="auto"/>
            <w:noWrap/>
            <w:hideMark/>
          </w:tcPr>
          <w:p w14:paraId="0F38DA09" w14:textId="77777777" w:rsidR="003D53D5" w:rsidRPr="00294EEA" w:rsidRDefault="003D53D5" w:rsidP="00B02F9D">
            <w:pPr>
              <w:rPr>
                <w:sz w:val="20"/>
                <w:szCs w:val="20"/>
              </w:rPr>
            </w:pPr>
            <w:r w:rsidRPr="00294EEA">
              <w:rPr>
                <w:sz w:val="20"/>
                <w:szCs w:val="20"/>
              </w:rPr>
              <w:t>Female</w:t>
            </w:r>
          </w:p>
        </w:tc>
        <w:tc>
          <w:tcPr>
            <w:tcW w:w="0" w:type="auto"/>
            <w:tcBorders>
              <w:top w:val="nil"/>
              <w:left w:val="nil"/>
              <w:bottom w:val="nil"/>
              <w:right w:val="nil"/>
            </w:tcBorders>
            <w:shd w:val="clear" w:color="auto" w:fill="auto"/>
            <w:noWrap/>
            <w:hideMark/>
          </w:tcPr>
          <w:p w14:paraId="131147AA" w14:textId="77777777" w:rsidR="003D53D5" w:rsidRPr="00294EEA" w:rsidRDefault="003D53D5" w:rsidP="00B02F9D">
            <w:pPr>
              <w:jc w:val="right"/>
              <w:rPr>
                <w:sz w:val="20"/>
                <w:szCs w:val="20"/>
              </w:rPr>
            </w:pPr>
            <w:r w:rsidRPr="00294EEA">
              <w:rPr>
                <w:sz w:val="20"/>
                <w:szCs w:val="20"/>
              </w:rPr>
              <w:t>0.644</w:t>
            </w:r>
          </w:p>
        </w:tc>
        <w:tc>
          <w:tcPr>
            <w:tcW w:w="0" w:type="auto"/>
            <w:tcBorders>
              <w:top w:val="nil"/>
              <w:left w:val="nil"/>
              <w:bottom w:val="nil"/>
              <w:right w:val="nil"/>
            </w:tcBorders>
            <w:shd w:val="clear" w:color="auto" w:fill="auto"/>
            <w:noWrap/>
            <w:hideMark/>
          </w:tcPr>
          <w:p w14:paraId="18F707AC" w14:textId="77777777" w:rsidR="003D53D5" w:rsidRPr="00294EEA" w:rsidRDefault="003D53D5" w:rsidP="00B02F9D">
            <w:pPr>
              <w:jc w:val="right"/>
              <w:rPr>
                <w:sz w:val="20"/>
                <w:szCs w:val="20"/>
              </w:rPr>
            </w:pPr>
            <w:r w:rsidRPr="00294EEA">
              <w:rPr>
                <w:sz w:val="20"/>
                <w:szCs w:val="20"/>
              </w:rPr>
              <w:t>0.186</w:t>
            </w:r>
          </w:p>
        </w:tc>
        <w:tc>
          <w:tcPr>
            <w:tcW w:w="0" w:type="auto"/>
            <w:tcBorders>
              <w:top w:val="nil"/>
              <w:left w:val="nil"/>
              <w:bottom w:val="nil"/>
              <w:right w:val="nil"/>
            </w:tcBorders>
            <w:shd w:val="clear" w:color="auto" w:fill="auto"/>
            <w:noWrap/>
            <w:hideMark/>
          </w:tcPr>
          <w:p w14:paraId="57EE0CD4" w14:textId="77777777" w:rsidR="003D53D5" w:rsidRPr="00294EEA" w:rsidRDefault="003D53D5" w:rsidP="00B02F9D">
            <w:pPr>
              <w:jc w:val="right"/>
              <w:rPr>
                <w:sz w:val="20"/>
                <w:szCs w:val="20"/>
              </w:rPr>
            </w:pPr>
            <w:r w:rsidRPr="00294EEA">
              <w:rPr>
                <w:sz w:val="20"/>
                <w:szCs w:val="20"/>
              </w:rPr>
              <w:t>0.001</w:t>
            </w:r>
          </w:p>
        </w:tc>
        <w:tc>
          <w:tcPr>
            <w:tcW w:w="0" w:type="auto"/>
            <w:tcBorders>
              <w:top w:val="nil"/>
              <w:left w:val="nil"/>
              <w:bottom w:val="nil"/>
              <w:right w:val="nil"/>
            </w:tcBorders>
            <w:shd w:val="clear" w:color="auto" w:fill="auto"/>
            <w:noWrap/>
            <w:hideMark/>
          </w:tcPr>
          <w:p w14:paraId="626EF575" w14:textId="77777777" w:rsidR="003D53D5" w:rsidRPr="00294EEA" w:rsidRDefault="003D53D5" w:rsidP="00B02F9D">
            <w:pPr>
              <w:rPr>
                <w:sz w:val="20"/>
                <w:szCs w:val="20"/>
              </w:rPr>
            </w:pPr>
            <w:r w:rsidRPr="00294EEA">
              <w:rPr>
                <w:sz w:val="20"/>
                <w:szCs w:val="20"/>
              </w:rPr>
              <w:t>***</w:t>
            </w:r>
          </w:p>
        </w:tc>
      </w:tr>
      <w:tr w:rsidR="003D53D5" w:rsidRPr="00294EEA" w14:paraId="108BB3E9" w14:textId="77777777" w:rsidTr="00B02F9D">
        <w:trPr>
          <w:trHeight w:val="259"/>
        </w:trPr>
        <w:tc>
          <w:tcPr>
            <w:tcW w:w="0" w:type="auto"/>
            <w:tcBorders>
              <w:top w:val="nil"/>
              <w:left w:val="nil"/>
              <w:bottom w:val="nil"/>
              <w:right w:val="nil"/>
            </w:tcBorders>
            <w:shd w:val="clear" w:color="auto" w:fill="auto"/>
            <w:noWrap/>
            <w:hideMark/>
          </w:tcPr>
          <w:p w14:paraId="7AC269B1" w14:textId="77777777" w:rsidR="003D53D5" w:rsidRPr="00294EEA" w:rsidRDefault="003D53D5" w:rsidP="00B02F9D">
            <w:pPr>
              <w:rPr>
                <w:sz w:val="20"/>
                <w:szCs w:val="20"/>
              </w:rPr>
            </w:pPr>
            <w:r w:rsidRPr="00294EEA">
              <w:rPr>
                <w:sz w:val="20"/>
                <w:szCs w:val="20"/>
              </w:rPr>
              <w:t>Race</w:t>
            </w:r>
          </w:p>
        </w:tc>
        <w:tc>
          <w:tcPr>
            <w:tcW w:w="0" w:type="auto"/>
            <w:tcBorders>
              <w:top w:val="nil"/>
              <w:left w:val="nil"/>
              <w:bottom w:val="nil"/>
              <w:right w:val="nil"/>
            </w:tcBorders>
            <w:shd w:val="clear" w:color="auto" w:fill="auto"/>
            <w:noWrap/>
            <w:hideMark/>
          </w:tcPr>
          <w:p w14:paraId="0F5DAB48"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1780A5ED"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3D6A347D"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2E6C6C83" w14:textId="77777777" w:rsidR="003D53D5" w:rsidRPr="00294EEA" w:rsidRDefault="003D53D5" w:rsidP="00B02F9D">
            <w:pPr>
              <w:rPr>
                <w:sz w:val="20"/>
                <w:szCs w:val="20"/>
              </w:rPr>
            </w:pPr>
          </w:p>
        </w:tc>
      </w:tr>
      <w:tr w:rsidR="003D53D5" w:rsidRPr="00294EEA" w14:paraId="29D80ABB" w14:textId="77777777" w:rsidTr="00B02F9D">
        <w:trPr>
          <w:trHeight w:val="259"/>
        </w:trPr>
        <w:tc>
          <w:tcPr>
            <w:tcW w:w="0" w:type="auto"/>
            <w:tcBorders>
              <w:top w:val="nil"/>
              <w:left w:val="nil"/>
              <w:bottom w:val="nil"/>
              <w:right w:val="nil"/>
            </w:tcBorders>
            <w:shd w:val="clear" w:color="auto" w:fill="auto"/>
            <w:noWrap/>
            <w:hideMark/>
          </w:tcPr>
          <w:p w14:paraId="5A81AEB6" w14:textId="77777777" w:rsidR="003D53D5" w:rsidRPr="00294EEA" w:rsidRDefault="003D53D5" w:rsidP="00B02F9D">
            <w:pPr>
              <w:rPr>
                <w:sz w:val="20"/>
                <w:szCs w:val="20"/>
              </w:rPr>
            </w:pPr>
            <w:r w:rsidRPr="00294EEA">
              <w:rPr>
                <w:sz w:val="20"/>
                <w:szCs w:val="20"/>
              </w:rPr>
              <w:t xml:space="preserve">  white (reference)</w:t>
            </w:r>
          </w:p>
        </w:tc>
        <w:tc>
          <w:tcPr>
            <w:tcW w:w="0" w:type="auto"/>
            <w:tcBorders>
              <w:top w:val="nil"/>
              <w:left w:val="nil"/>
              <w:bottom w:val="nil"/>
              <w:right w:val="nil"/>
            </w:tcBorders>
            <w:shd w:val="clear" w:color="auto" w:fill="auto"/>
            <w:noWrap/>
            <w:hideMark/>
          </w:tcPr>
          <w:p w14:paraId="3C185761"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0CDD0739"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166AC72A"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1967453E" w14:textId="77777777" w:rsidR="003D53D5" w:rsidRPr="00294EEA" w:rsidRDefault="003D53D5" w:rsidP="00B02F9D">
            <w:pPr>
              <w:rPr>
                <w:sz w:val="20"/>
                <w:szCs w:val="20"/>
              </w:rPr>
            </w:pPr>
          </w:p>
        </w:tc>
      </w:tr>
      <w:tr w:rsidR="003D53D5" w:rsidRPr="00294EEA" w14:paraId="317DB671" w14:textId="77777777" w:rsidTr="00B02F9D">
        <w:trPr>
          <w:trHeight w:val="259"/>
        </w:trPr>
        <w:tc>
          <w:tcPr>
            <w:tcW w:w="0" w:type="auto"/>
            <w:tcBorders>
              <w:top w:val="nil"/>
              <w:left w:val="nil"/>
              <w:bottom w:val="nil"/>
              <w:right w:val="nil"/>
            </w:tcBorders>
            <w:shd w:val="clear" w:color="auto" w:fill="auto"/>
            <w:noWrap/>
            <w:hideMark/>
          </w:tcPr>
          <w:p w14:paraId="60206C0B" w14:textId="77777777" w:rsidR="003D53D5" w:rsidRPr="00294EEA" w:rsidRDefault="003D53D5" w:rsidP="00B02F9D">
            <w:pPr>
              <w:rPr>
                <w:sz w:val="20"/>
                <w:szCs w:val="20"/>
              </w:rPr>
            </w:pPr>
            <w:r w:rsidRPr="00294EEA">
              <w:rPr>
                <w:sz w:val="20"/>
                <w:szCs w:val="20"/>
              </w:rPr>
              <w:t xml:space="preserve">  black</w:t>
            </w:r>
          </w:p>
        </w:tc>
        <w:tc>
          <w:tcPr>
            <w:tcW w:w="0" w:type="auto"/>
            <w:tcBorders>
              <w:top w:val="nil"/>
              <w:left w:val="nil"/>
              <w:bottom w:val="nil"/>
              <w:right w:val="nil"/>
            </w:tcBorders>
            <w:shd w:val="clear" w:color="auto" w:fill="auto"/>
            <w:noWrap/>
            <w:hideMark/>
          </w:tcPr>
          <w:p w14:paraId="56DDC01B" w14:textId="77777777" w:rsidR="003D53D5" w:rsidRPr="00294EEA" w:rsidRDefault="003D53D5" w:rsidP="00B02F9D">
            <w:pPr>
              <w:jc w:val="right"/>
              <w:rPr>
                <w:sz w:val="20"/>
                <w:szCs w:val="20"/>
              </w:rPr>
            </w:pPr>
            <w:r w:rsidRPr="00294EEA">
              <w:rPr>
                <w:sz w:val="20"/>
                <w:szCs w:val="20"/>
              </w:rPr>
              <w:t>-0.230</w:t>
            </w:r>
          </w:p>
        </w:tc>
        <w:tc>
          <w:tcPr>
            <w:tcW w:w="0" w:type="auto"/>
            <w:tcBorders>
              <w:top w:val="nil"/>
              <w:left w:val="nil"/>
              <w:bottom w:val="nil"/>
              <w:right w:val="nil"/>
            </w:tcBorders>
            <w:shd w:val="clear" w:color="auto" w:fill="auto"/>
            <w:noWrap/>
            <w:hideMark/>
          </w:tcPr>
          <w:p w14:paraId="141FAB0C" w14:textId="77777777" w:rsidR="003D53D5" w:rsidRPr="00294EEA" w:rsidRDefault="003D53D5" w:rsidP="00B02F9D">
            <w:pPr>
              <w:jc w:val="right"/>
              <w:rPr>
                <w:sz w:val="20"/>
                <w:szCs w:val="20"/>
              </w:rPr>
            </w:pPr>
            <w:r w:rsidRPr="00294EEA">
              <w:rPr>
                <w:sz w:val="20"/>
                <w:szCs w:val="20"/>
              </w:rPr>
              <w:t>0.404</w:t>
            </w:r>
          </w:p>
        </w:tc>
        <w:tc>
          <w:tcPr>
            <w:tcW w:w="0" w:type="auto"/>
            <w:tcBorders>
              <w:top w:val="nil"/>
              <w:left w:val="nil"/>
              <w:bottom w:val="nil"/>
              <w:right w:val="nil"/>
            </w:tcBorders>
            <w:shd w:val="clear" w:color="auto" w:fill="auto"/>
            <w:noWrap/>
            <w:hideMark/>
          </w:tcPr>
          <w:p w14:paraId="1DF199AB" w14:textId="77777777" w:rsidR="003D53D5" w:rsidRPr="00294EEA" w:rsidRDefault="003D53D5" w:rsidP="00B02F9D">
            <w:pPr>
              <w:jc w:val="right"/>
              <w:rPr>
                <w:sz w:val="20"/>
                <w:szCs w:val="20"/>
              </w:rPr>
            </w:pPr>
            <w:r w:rsidRPr="00294EEA">
              <w:rPr>
                <w:sz w:val="20"/>
                <w:szCs w:val="20"/>
              </w:rPr>
              <w:t>0.568</w:t>
            </w:r>
          </w:p>
        </w:tc>
        <w:tc>
          <w:tcPr>
            <w:tcW w:w="0" w:type="auto"/>
            <w:tcBorders>
              <w:top w:val="nil"/>
              <w:left w:val="nil"/>
              <w:bottom w:val="nil"/>
              <w:right w:val="nil"/>
            </w:tcBorders>
            <w:shd w:val="clear" w:color="auto" w:fill="auto"/>
            <w:noWrap/>
            <w:hideMark/>
          </w:tcPr>
          <w:p w14:paraId="58A0F256" w14:textId="77777777" w:rsidR="003D53D5" w:rsidRPr="00294EEA" w:rsidRDefault="003D53D5" w:rsidP="00B02F9D">
            <w:pPr>
              <w:jc w:val="right"/>
              <w:rPr>
                <w:sz w:val="20"/>
                <w:szCs w:val="20"/>
              </w:rPr>
            </w:pPr>
          </w:p>
        </w:tc>
      </w:tr>
      <w:tr w:rsidR="003D53D5" w:rsidRPr="00294EEA" w14:paraId="326048F6" w14:textId="77777777" w:rsidTr="00B02F9D">
        <w:trPr>
          <w:trHeight w:val="259"/>
        </w:trPr>
        <w:tc>
          <w:tcPr>
            <w:tcW w:w="0" w:type="auto"/>
            <w:tcBorders>
              <w:top w:val="nil"/>
              <w:left w:val="nil"/>
              <w:bottom w:val="nil"/>
              <w:right w:val="nil"/>
            </w:tcBorders>
            <w:shd w:val="clear" w:color="auto" w:fill="auto"/>
            <w:noWrap/>
            <w:hideMark/>
          </w:tcPr>
          <w:p w14:paraId="3ECCE7CA" w14:textId="77777777" w:rsidR="003D53D5" w:rsidRPr="00294EEA" w:rsidRDefault="003D53D5" w:rsidP="00B02F9D">
            <w:pPr>
              <w:rPr>
                <w:sz w:val="20"/>
                <w:szCs w:val="20"/>
              </w:rPr>
            </w:pPr>
            <w:r w:rsidRPr="00294EEA">
              <w:rPr>
                <w:sz w:val="20"/>
                <w:szCs w:val="20"/>
              </w:rPr>
              <w:t xml:space="preserve">  other</w:t>
            </w:r>
          </w:p>
        </w:tc>
        <w:tc>
          <w:tcPr>
            <w:tcW w:w="0" w:type="auto"/>
            <w:tcBorders>
              <w:top w:val="nil"/>
              <w:left w:val="nil"/>
              <w:bottom w:val="nil"/>
              <w:right w:val="nil"/>
            </w:tcBorders>
            <w:shd w:val="clear" w:color="auto" w:fill="auto"/>
            <w:noWrap/>
            <w:hideMark/>
          </w:tcPr>
          <w:p w14:paraId="55E508F2" w14:textId="77777777" w:rsidR="003D53D5" w:rsidRPr="00294EEA" w:rsidRDefault="003D53D5" w:rsidP="00B02F9D">
            <w:pPr>
              <w:jc w:val="right"/>
              <w:rPr>
                <w:sz w:val="20"/>
                <w:szCs w:val="20"/>
              </w:rPr>
            </w:pPr>
            <w:r w:rsidRPr="00294EEA">
              <w:rPr>
                <w:sz w:val="20"/>
                <w:szCs w:val="20"/>
              </w:rPr>
              <w:t>0.030</w:t>
            </w:r>
          </w:p>
        </w:tc>
        <w:tc>
          <w:tcPr>
            <w:tcW w:w="0" w:type="auto"/>
            <w:tcBorders>
              <w:top w:val="nil"/>
              <w:left w:val="nil"/>
              <w:bottom w:val="nil"/>
              <w:right w:val="nil"/>
            </w:tcBorders>
            <w:shd w:val="clear" w:color="auto" w:fill="auto"/>
            <w:noWrap/>
            <w:hideMark/>
          </w:tcPr>
          <w:p w14:paraId="4E952094" w14:textId="77777777" w:rsidR="003D53D5" w:rsidRPr="00294EEA" w:rsidRDefault="003D53D5" w:rsidP="00B02F9D">
            <w:pPr>
              <w:jc w:val="right"/>
              <w:rPr>
                <w:sz w:val="20"/>
                <w:szCs w:val="20"/>
              </w:rPr>
            </w:pPr>
            <w:r w:rsidRPr="00294EEA">
              <w:rPr>
                <w:sz w:val="20"/>
                <w:szCs w:val="20"/>
              </w:rPr>
              <w:t>0.379</w:t>
            </w:r>
          </w:p>
        </w:tc>
        <w:tc>
          <w:tcPr>
            <w:tcW w:w="0" w:type="auto"/>
            <w:tcBorders>
              <w:top w:val="nil"/>
              <w:left w:val="nil"/>
              <w:bottom w:val="nil"/>
              <w:right w:val="nil"/>
            </w:tcBorders>
            <w:shd w:val="clear" w:color="auto" w:fill="auto"/>
            <w:noWrap/>
            <w:hideMark/>
          </w:tcPr>
          <w:p w14:paraId="4A0FA07C" w14:textId="77777777" w:rsidR="003D53D5" w:rsidRPr="00294EEA" w:rsidRDefault="003D53D5" w:rsidP="00B02F9D">
            <w:pPr>
              <w:jc w:val="right"/>
              <w:rPr>
                <w:sz w:val="20"/>
                <w:szCs w:val="20"/>
              </w:rPr>
            </w:pPr>
            <w:r w:rsidRPr="00294EEA">
              <w:rPr>
                <w:sz w:val="20"/>
                <w:szCs w:val="20"/>
              </w:rPr>
              <w:t>0.937</w:t>
            </w:r>
          </w:p>
        </w:tc>
        <w:tc>
          <w:tcPr>
            <w:tcW w:w="0" w:type="auto"/>
            <w:tcBorders>
              <w:top w:val="nil"/>
              <w:left w:val="nil"/>
              <w:bottom w:val="nil"/>
              <w:right w:val="nil"/>
            </w:tcBorders>
            <w:shd w:val="clear" w:color="auto" w:fill="auto"/>
            <w:noWrap/>
            <w:hideMark/>
          </w:tcPr>
          <w:p w14:paraId="548CA344" w14:textId="77777777" w:rsidR="003D53D5" w:rsidRPr="00294EEA" w:rsidRDefault="003D53D5" w:rsidP="00B02F9D">
            <w:pPr>
              <w:jc w:val="right"/>
              <w:rPr>
                <w:sz w:val="20"/>
                <w:szCs w:val="20"/>
              </w:rPr>
            </w:pPr>
          </w:p>
        </w:tc>
      </w:tr>
      <w:tr w:rsidR="003D53D5" w:rsidRPr="00294EEA" w14:paraId="36B7AE1D" w14:textId="77777777" w:rsidTr="00B02F9D">
        <w:trPr>
          <w:trHeight w:val="259"/>
        </w:trPr>
        <w:tc>
          <w:tcPr>
            <w:tcW w:w="0" w:type="auto"/>
            <w:tcBorders>
              <w:top w:val="nil"/>
              <w:left w:val="nil"/>
              <w:bottom w:val="nil"/>
              <w:right w:val="nil"/>
            </w:tcBorders>
            <w:shd w:val="clear" w:color="auto" w:fill="auto"/>
            <w:noWrap/>
            <w:hideMark/>
          </w:tcPr>
          <w:p w14:paraId="32DBD65E" w14:textId="77777777" w:rsidR="003D53D5" w:rsidRPr="00294EEA" w:rsidRDefault="003D53D5" w:rsidP="00B02F9D">
            <w:pPr>
              <w:rPr>
                <w:sz w:val="20"/>
                <w:szCs w:val="20"/>
              </w:rPr>
            </w:pPr>
            <w:r w:rsidRPr="00294EEA">
              <w:rPr>
                <w:sz w:val="20"/>
                <w:szCs w:val="20"/>
              </w:rPr>
              <w:t>Household income</w:t>
            </w:r>
          </w:p>
        </w:tc>
        <w:tc>
          <w:tcPr>
            <w:tcW w:w="0" w:type="auto"/>
            <w:tcBorders>
              <w:top w:val="nil"/>
              <w:left w:val="nil"/>
              <w:bottom w:val="nil"/>
              <w:right w:val="nil"/>
            </w:tcBorders>
            <w:shd w:val="clear" w:color="auto" w:fill="auto"/>
            <w:noWrap/>
            <w:hideMark/>
          </w:tcPr>
          <w:p w14:paraId="36BB9530"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55571F63"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0A5C07B6"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07A0966E" w14:textId="77777777" w:rsidR="003D53D5" w:rsidRPr="00294EEA" w:rsidRDefault="003D53D5" w:rsidP="00B02F9D">
            <w:pPr>
              <w:rPr>
                <w:sz w:val="20"/>
                <w:szCs w:val="20"/>
              </w:rPr>
            </w:pPr>
          </w:p>
        </w:tc>
      </w:tr>
      <w:tr w:rsidR="003D53D5" w:rsidRPr="00294EEA" w14:paraId="6F98B992" w14:textId="77777777" w:rsidTr="00B02F9D">
        <w:trPr>
          <w:trHeight w:val="259"/>
        </w:trPr>
        <w:tc>
          <w:tcPr>
            <w:tcW w:w="0" w:type="auto"/>
            <w:tcBorders>
              <w:top w:val="nil"/>
              <w:left w:val="nil"/>
              <w:bottom w:val="nil"/>
              <w:right w:val="nil"/>
            </w:tcBorders>
            <w:shd w:val="clear" w:color="auto" w:fill="auto"/>
            <w:noWrap/>
            <w:hideMark/>
          </w:tcPr>
          <w:p w14:paraId="3F9F5232" w14:textId="77777777" w:rsidR="003D53D5" w:rsidRPr="00294EEA" w:rsidRDefault="003D53D5" w:rsidP="00B02F9D">
            <w:pPr>
              <w:rPr>
                <w:sz w:val="20"/>
                <w:szCs w:val="20"/>
              </w:rPr>
            </w:pPr>
            <w:r w:rsidRPr="00294EEA">
              <w:rPr>
                <w:sz w:val="20"/>
                <w:szCs w:val="20"/>
              </w:rPr>
              <w:t xml:space="preserve">   &gt;50k (reference)</w:t>
            </w:r>
          </w:p>
        </w:tc>
        <w:tc>
          <w:tcPr>
            <w:tcW w:w="0" w:type="auto"/>
            <w:tcBorders>
              <w:top w:val="nil"/>
              <w:left w:val="nil"/>
              <w:bottom w:val="nil"/>
              <w:right w:val="nil"/>
            </w:tcBorders>
            <w:shd w:val="clear" w:color="auto" w:fill="auto"/>
            <w:noWrap/>
            <w:hideMark/>
          </w:tcPr>
          <w:p w14:paraId="5E2122D3"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3841F09D"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54B88975"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467E1FDA" w14:textId="77777777" w:rsidR="003D53D5" w:rsidRPr="00294EEA" w:rsidRDefault="003D53D5" w:rsidP="00B02F9D">
            <w:pPr>
              <w:rPr>
                <w:sz w:val="20"/>
                <w:szCs w:val="20"/>
              </w:rPr>
            </w:pPr>
          </w:p>
        </w:tc>
      </w:tr>
      <w:tr w:rsidR="003D53D5" w:rsidRPr="00294EEA" w14:paraId="08EEDAB0" w14:textId="77777777" w:rsidTr="00B02F9D">
        <w:trPr>
          <w:trHeight w:val="259"/>
        </w:trPr>
        <w:tc>
          <w:tcPr>
            <w:tcW w:w="0" w:type="auto"/>
            <w:tcBorders>
              <w:top w:val="nil"/>
              <w:left w:val="nil"/>
              <w:bottom w:val="nil"/>
              <w:right w:val="nil"/>
            </w:tcBorders>
            <w:shd w:val="clear" w:color="auto" w:fill="auto"/>
            <w:noWrap/>
            <w:hideMark/>
          </w:tcPr>
          <w:p w14:paraId="51140BE7" w14:textId="77777777" w:rsidR="003D53D5" w:rsidRPr="00294EEA" w:rsidRDefault="003D53D5" w:rsidP="00B02F9D">
            <w:pPr>
              <w:rPr>
                <w:sz w:val="20"/>
                <w:szCs w:val="20"/>
              </w:rPr>
            </w:pPr>
            <w:r w:rsidRPr="00294EEA">
              <w:rPr>
                <w:sz w:val="20"/>
                <w:szCs w:val="20"/>
              </w:rPr>
              <w:t xml:space="preserve">   0~20k</w:t>
            </w:r>
          </w:p>
        </w:tc>
        <w:tc>
          <w:tcPr>
            <w:tcW w:w="0" w:type="auto"/>
            <w:tcBorders>
              <w:top w:val="nil"/>
              <w:left w:val="nil"/>
              <w:bottom w:val="nil"/>
              <w:right w:val="nil"/>
            </w:tcBorders>
            <w:shd w:val="clear" w:color="auto" w:fill="auto"/>
            <w:noWrap/>
            <w:hideMark/>
          </w:tcPr>
          <w:p w14:paraId="09196C1F" w14:textId="77777777" w:rsidR="003D53D5" w:rsidRPr="00294EEA" w:rsidRDefault="003D53D5" w:rsidP="00B02F9D">
            <w:pPr>
              <w:jc w:val="right"/>
              <w:rPr>
                <w:sz w:val="20"/>
                <w:szCs w:val="20"/>
              </w:rPr>
            </w:pPr>
            <w:r w:rsidRPr="00294EEA">
              <w:rPr>
                <w:sz w:val="20"/>
                <w:szCs w:val="20"/>
              </w:rPr>
              <w:t>0.360</w:t>
            </w:r>
          </w:p>
        </w:tc>
        <w:tc>
          <w:tcPr>
            <w:tcW w:w="0" w:type="auto"/>
            <w:tcBorders>
              <w:top w:val="nil"/>
              <w:left w:val="nil"/>
              <w:bottom w:val="nil"/>
              <w:right w:val="nil"/>
            </w:tcBorders>
            <w:shd w:val="clear" w:color="auto" w:fill="auto"/>
            <w:noWrap/>
            <w:hideMark/>
          </w:tcPr>
          <w:p w14:paraId="2F559484" w14:textId="77777777" w:rsidR="003D53D5" w:rsidRPr="00294EEA" w:rsidRDefault="003D53D5" w:rsidP="00B02F9D">
            <w:pPr>
              <w:jc w:val="right"/>
              <w:rPr>
                <w:sz w:val="20"/>
                <w:szCs w:val="20"/>
              </w:rPr>
            </w:pPr>
            <w:r w:rsidRPr="00294EEA">
              <w:rPr>
                <w:sz w:val="20"/>
                <w:szCs w:val="20"/>
              </w:rPr>
              <w:t>0.294</w:t>
            </w:r>
          </w:p>
        </w:tc>
        <w:tc>
          <w:tcPr>
            <w:tcW w:w="0" w:type="auto"/>
            <w:tcBorders>
              <w:top w:val="nil"/>
              <w:left w:val="nil"/>
              <w:bottom w:val="nil"/>
              <w:right w:val="nil"/>
            </w:tcBorders>
            <w:shd w:val="clear" w:color="auto" w:fill="auto"/>
            <w:noWrap/>
            <w:hideMark/>
          </w:tcPr>
          <w:p w14:paraId="012F48B9" w14:textId="77777777" w:rsidR="003D53D5" w:rsidRPr="00294EEA" w:rsidRDefault="003D53D5" w:rsidP="00B02F9D">
            <w:pPr>
              <w:jc w:val="right"/>
              <w:rPr>
                <w:sz w:val="20"/>
                <w:szCs w:val="20"/>
              </w:rPr>
            </w:pPr>
            <w:r w:rsidRPr="00294EEA">
              <w:rPr>
                <w:sz w:val="20"/>
                <w:szCs w:val="20"/>
              </w:rPr>
              <w:t>0.220</w:t>
            </w:r>
          </w:p>
        </w:tc>
        <w:tc>
          <w:tcPr>
            <w:tcW w:w="0" w:type="auto"/>
            <w:tcBorders>
              <w:top w:val="nil"/>
              <w:left w:val="nil"/>
              <w:bottom w:val="nil"/>
              <w:right w:val="nil"/>
            </w:tcBorders>
            <w:shd w:val="clear" w:color="auto" w:fill="auto"/>
            <w:noWrap/>
            <w:hideMark/>
          </w:tcPr>
          <w:p w14:paraId="0E05A09A" w14:textId="77777777" w:rsidR="003D53D5" w:rsidRPr="00294EEA" w:rsidRDefault="003D53D5" w:rsidP="00B02F9D">
            <w:pPr>
              <w:jc w:val="right"/>
              <w:rPr>
                <w:sz w:val="20"/>
                <w:szCs w:val="20"/>
              </w:rPr>
            </w:pPr>
          </w:p>
        </w:tc>
      </w:tr>
      <w:tr w:rsidR="003D53D5" w:rsidRPr="00294EEA" w14:paraId="617B0DC6" w14:textId="77777777" w:rsidTr="00B02F9D">
        <w:trPr>
          <w:trHeight w:val="259"/>
        </w:trPr>
        <w:tc>
          <w:tcPr>
            <w:tcW w:w="0" w:type="auto"/>
            <w:tcBorders>
              <w:top w:val="nil"/>
              <w:left w:val="nil"/>
              <w:bottom w:val="nil"/>
              <w:right w:val="nil"/>
            </w:tcBorders>
            <w:shd w:val="clear" w:color="auto" w:fill="auto"/>
            <w:noWrap/>
            <w:hideMark/>
          </w:tcPr>
          <w:p w14:paraId="4E484D64" w14:textId="77777777" w:rsidR="003D53D5" w:rsidRPr="00294EEA" w:rsidRDefault="003D53D5" w:rsidP="00B02F9D">
            <w:pPr>
              <w:rPr>
                <w:sz w:val="20"/>
                <w:szCs w:val="20"/>
              </w:rPr>
            </w:pPr>
            <w:r w:rsidRPr="00294EEA">
              <w:rPr>
                <w:sz w:val="20"/>
                <w:szCs w:val="20"/>
              </w:rPr>
              <w:t xml:space="preserve">   20~50k</w:t>
            </w:r>
          </w:p>
        </w:tc>
        <w:tc>
          <w:tcPr>
            <w:tcW w:w="0" w:type="auto"/>
            <w:tcBorders>
              <w:top w:val="nil"/>
              <w:left w:val="nil"/>
              <w:bottom w:val="nil"/>
              <w:right w:val="nil"/>
            </w:tcBorders>
            <w:shd w:val="clear" w:color="auto" w:fill="auto"/>
            <w:noWrap/>
            <w:hideMark/>
          </w:tcPr>
          <w:p w14:paraId="46CDE768" w14:textId="77777777" w:rsidR="003D53D5" w:rsidRPr="00294EEA" w:rsidRDefault="003D53D5" w:rsidP="00B02F9D">
            <w:pPr>
              <w:jc w:val="right"/>
              <w:rPr>
                <w:sz w:val="20"/>
                <w:szCs w:val="20"/>
              </w:rPr>
            </w:pPr>
            <w:r w:rsidRPr="00294EEA">
              <w:rPr>
                <w:sz w:val="20"/>
                <w:szCs w:val="20"/>
              </w:rPr>
              <w:t>0.205</w:t>
            </w:r>
          </w:p>
        </w:tc>
        <w:tc>
          <w:tcPr>
            <w:tcW w:w="0" w:type="auto"/>
            <w:tcBorders>
              <w:top w:val="nil"/>
              <w:left w:val="nil"/>
              <w:bottom w:val="nil"/>
              <w:right w:val="nil"/>
            </w:tcBorders>
            <w:shd w:val="clear" w:color="auto" w:fill="auto"/>
            <w:noWrap/>
            <w:hideMark/>
          </w:tcPr>
          <w:p w14:paraId="64335C7E" w14:textId="77777777" w:rsidR="003D53D5" w:rsidRPr="00294EEA" w:rsidRDefault="003D53D5" w:rsidP="00B02F9D">
            <w:pPr>
              <w:jc w:val="right"/>
              <w:rPr>
                <w:sz w:val="20"/>
                <w:szCs w:val="20"/>
              </w:rPr>
            </w:pPr>
            <w:r w:rsidRPr="00294EEA">
              <w:rPr>
                <w:sz w:val="20"/>
                <w:szCs w:val="20"/>
              </w:rPr>
              <w:t>0.243</w:t>
            </w:r>
          </w:p>
        </w:tc>
        <w:tc>
          <w:tcPr>
            <w:tcW w:w="0" w:type="auto"/>
            <w:tcBorders>
              <w:top w:val="nil"/>
              <w:left w:val="nil"/>
              <w:bottom w:val="nil"/>
              <w:right w:val="nil"/>
            </w:tcBorders>
            <w:shd w:val="clear" w:color="auto" w:fill="auto"/>
            <w:noWrap/>
            <w:hideMark/>
          </w:tcPr>
          <w:p w14:paraId="21703434" w14:textId="77777777" w:rsidR="003D53D5" w:rsidRPr="00294EEA" w:rsidRDefault="003D53D5" w:rsidP="00B02F9D">
            <w:pPr>
              <w:jc w:val="right"/>
              <w:rPr>
                <w:sz w:val="20"/>
                <w:szCs w:val="20"/>
              </w:rPr>
            </w:pPr>
            <w:r w:rsidRPr="00294EEA">
              <w:rPr>
                <w:sz w:val="20"/>
                <w:szCs w:val="20"/>
              </w:rPr>
              <w:t>0.398</w:t>
            </w:r>
          </w:p>
        </w:tc>
        <w:tc>
          <w:tcPr>
            <w:tcW w:w="0" w:type="auto"/>
            <w:tcBorders>
              <w:top w:val="nil"/>
              <w:left w:val="nil"/>
              <w:bottom w:val="nil"/>
              <w:right w:val="nil"/>
            </w:tcBorders>
            <w:shd w:val="clear" w:color="auto" w:fill="auto"/>
            <w:noWrap/>
            <w:hideMark/>
          </w:tcPr>
          <w:p w14:paraId="688F6DFA" w14:textId="77777777" w:rsidR="003D53D5" w:rsidRPr="00294EEA" w:rsidRDefault="003D53D5" w:rsidP="00B02F9D">
            <w:pPr>
              <w:jc w:val="right"/>
              <w:rPr>
                <w:sz w:val="20"/>
                <w:szCs w:val="20"/>
              </w:rPr>
            </w:pPr>
          </w:p>
        </w:tc>
      </w:tr>
      <w:tr w:rsidR="003D53D5" w:rsidRPr="00294EEA" w14:paraId="5C8ED411" w14:textId="77777777" w:rsidTr="00B02F9D">
        <w:trPr>
          <w:trHeight w:val="259"/>
        </w:trPr>
        <w:tc>
          <w:tcPr>
            <w:tcW w:w="0" w:type="auto"/>
            <w:tcBorders>
              <w:top w:val="nil"/>
              <w:left w:val="nil"/>
              <w:bottom w:val="nil"/>
              <w:right w:val="nil"/>
            </w:tcBorders>
            <w:shd w:val="clear" w:color="auto" w:fill="auto"/>
            <w:noWrap/>
            <w:hideMark/>
          </w:tcPr>
          <w:p w14:paraId="48CC4BBB" w14:textId="77777777" w:rsidR="003D53D5" w:rsidRPr="00294EEA" w:rsidRDefault="003D53D5" w:rsidP="00B02F9D">
            <w:pPr>
              <w:rPr>
                <w:sz w:val="20"/>
                <w:szCs w:val="20"/>
              </w:rPr>
            </w:pPr>
            <w:r w:rsidRPr="00294EEA">
              <w:rPr>
                <w:sz w:val="20"/>
                <w:szCs w:val="20"/>
              </w:rPr>
              <w:t>Car ownership</w:t>
            </w:r>
          </w:p>
        </w:tc>
        <w:tc>
          <w:tcPr>
            <w:tcW w:w="0" w:type="auto"/>
            <w:tcBorders>
              <w:top w:val="nil"/>
              <w:left w:val="nil"/>
              <w:bottom w:val="nil"/>
              <w:right w:val="nil"/>
            </w:tcBorders>
            <w:shd w:val="clear" w:color="auto" w:fill="auto"/>
            <w:noWrap/>
            <w:hideMark/>
          </w:tcPr>
          <w:p w14:paraId="608226DD"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7C19D5A2"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06259088" w14:textId="77777777" w:rsidR="003D53D5" w:rsidRPr="00294EEA" w:rsidRDefault="003D53D5" w:rsidP="00B02F9D">
            <w:pPr>
              <w:rPr>
                <w:sz w:val="20"/>
                <w:szCs w:val="20"/>
              </w:rPr>
            </w:pPr>
          </w:p>
        </w:tc>
        <w:tc>
          <w:tcPr>
            <w:tcW w:w="0" w:type="auto"/>
            <w:tcBorders>
              <w:top w:val="nil"/>
              <w:left w:val="nil"/>
              <w:bottom w:val="nil"/>
              <w:right w:val="nil"/>
            </w:tcBorders>
            <w:shd w:val="clear" w:color="auto" w:fill="auto"/>
            <w:noWrap/>
            <w:hideMark/>
          </w:tcPr>
          <w:p w14:paraId="6A265B70" w14:textId="77777777" w:rsidR="003D53D5" w:rsidRPr="00294EEA" w:rsidRDefault="003D53D5" w:rsidP="00B02F9D">
            <w:pPr>
              <w:rPr>
                <w:sz w:val="20"/>
                <w:szCs w:val="20"/>
              </w:rPr>
            </w:pPr>
          </w:p>
        </w:tc>
      </w:tr>
      <w:tr w:rsidR="003D53D5" w:rsidRPr="00294EEA" w14:paraId="198115A3" w14:textId="77777777" w:rsidTr="00B02F9D">
        <w:trPr>
          <w:trHeight w:val="275"/>
        </w:trPr>
        <w:tc>
          <w:tcPr>
            <w:tcW w:w="0" w:type="auto"/>
            <w:tcBorders>
              <w:top w:val="nil"/>
              <w:left w:val="nil"/>
              <w:bottom w:val="nil"/>
              <w:right w:val="nil"/>
            </w:tcBorders>
            <w:shd w:val="clear" w:color="auto" w:fill="auto"/>
            <w:noWrap/>
            <w:hideMark/>
          </w:tcPr>
          <w:p w14:paraId="6E6A7E18" w14:textId="77777777" w:rsidR="003D53D5" w:rsidRPr="00294EEA" w:rsidRDefault="003D53D5" w:rsidP="00B02F9D">
            <w:pPr>
              <w:rPr>
                <w:sz w:val="20"/>
                <w:szCs w:val="20"/>
              </w:rPr>
            </w:pPr>
            <w:r w:rsidRPr="00294EEA">
              <w:rPr>
                <w:sz w:val="20"/>
                <w:szCs w:val="20"/>
              </w:rPr>
              <w:t xml:space="preserve">   no car</w:t>
            </w:r>
          </w:p>
        </w:tc>
        <w:tc>
          <w:tcPr>
            <w:tcW w:w="0" w:type="auto"/>
            <w:tcBorders>
              <w:top w:val="nil"/>
              <w:left w:val="nil"/>
              <w:bottom w:val="nil"/>
              <w:right w:val="nil"/>
            </w:tcBorders>
            <w:shd w:val="clear" w:color="auto" w:fill="auto"/>
            <w:noWrap/>
            <w:hideMark/>
          </w:tcPr>
          <w:p w14:paraId="06744A78" w14:textId="77777777" w:rsidR="003D53D5" w:rsidRPr="00294EEA" w:rsidRDefault="003D53D5" w:rsidP="00B02F9D">
            <w:pPr>
              <w:jc w:val="right"/>
              <w:rPr>
                <w:sz w:val="20"/>
                <w:szCs w:val="20"/>
              </w:rPr>
            </w:pPr>
            <w:r w:rsidRPr="00294EEA">
              <w:rPr>
                <w:sz w:val="20"/>
                <w:szCs w:val="20"/>
              </w:rPr>
              <w:t>-0.204</w:t>
            </w:r>
          </w:p>
        </w:tc>
        <w:tc>
          <w:tcPr>
            <w:tcW w:w="0" w:type="auto"/>
            <w:tcBorders>
              <w:top w:val="nil"/>
              <w:left w:val="nil"/>
              <w:bottom w:val="nil"/>
              <w:right w:val="nil"/>
            </w:tcBorders>
            <w:shd w:val="clear" w:color="auto" w:fill="auto"/>
            <w:noWrap/>
            <w:hideMark/>
          </w:tcPr>
          <w:p w14:paraId="365998B7" w14:textId="77777777" w:rsidR="003D53D5" w:rsidRPr="00294EEA" w:rsidRDefault="003D53D5" w:rsidP="00B02F9D">
            <w:pPr>
              <w:jc w:val="right"/>
              <w:rPr>
                <w:sz w:val="20"/>
                <w:szCs w:val="20"/>
              </w:rPr>
            </w:pPr>
            <w:r w:rsidRPr="00294EEA">
              <w:rPr>
                <w:sz w:val="20"/>
                <w:szCs w:val="20"/>
              </w:rPr>
              <w:t>0.355</w:t>
            </w:r>
          </w:p>
        </w:tc>
        <w:tc>
          <w:tcPr>
            <w:tcW w:w="0" w:type="auto"/>
            <w:tcBorders>
              <w:top w:val="nil"/>
              <w:left w:val="nil"/>
              <w:bottom w:val="nil"/>
              <w:right w:val="nil"/>
            </w:tcBorders>
            <w:shd w:val="clear" w:color="auto" w:fill="auto"/>
            <w:noWrap/>
            <w:hideMark/>
          </w:tcPr>
          <w:p w14:paraId="26446406" w14:textId="77777777" w:rsidR="003D53D5" w:rsidRPr="00294EEA" w:rsidRDefault="003D53D5" w:rsidP="00B02F9D">
            <w:pPr>
              <w:jc w:val="right"/>
              <w:rPr>
                <w:sz w:val="20"/>
                <w:szCs w:val="20"/>
              </w:rPr>
            </w:pPr>
            <w:r w:rsidRPr="00294EEA">
              <w:rPr>
                <w:sz w:val="20"/>
                <w:szCs w:val="20"/>
              </w:rPr>
              <w:t>0.566</w:t>
            </w:r>
          </w:p>
        </w:tc>
        <w:tc>
          <w:tcPr>
            <w:tcW w:w="0" w:type="auto"/>
            <w:tcBorders>
              <w:top w:val="nil"/>
              <w:left w:val="nil"/>
              <w:bottom w:val="nil"/>
              <w:right w:val="nil"/>
            </w:tcBorders>
            <w:shd w:val="clear" w:color="auto" w:fill="auto"/>
            <w:noWrap/>
            <w:hideMark/>
          </w:tcPr>
          <w:p w14:paraId="28BDEEDB" w14:textId="77777777" w:rsidR="003D53D5" w:rsidRPr="00294EEA" w:rsidRDefault="003D53D5" w:rsidP="00B02F9D">
            <w:pPr>
              <w:jc w:val="right"/>
              <w:rPr>
                <w:sz w:val="20"/>
                <w:szCs w:val="20"/>
              </w:rPr>
            </w:pPr>
          </w:p>
        </w:tc>
      </w:tr>
      <w:tr w:rsidR="003D53D5" w:rsidRPr="00294EEA" w14:paraId="291CC850" w14:textId="77777777" w:rsidTr="00B02F9D">
        <w:trPr>
          <w:trHeight w:val="259"/>
        </w:trPr>
        <w:tc>
          <w:tcPr>
            <w:tcW w:w="0" w:type="auto"/>
            <w:tcBorders>
              <w:top w:val="single" w:sz="8" w:space="0" w:color="auto"/>
              <w:left w:val="nil"/>
              <w:right w:val="nil"/>
            </w:tcBorders>
            <w:shd w:val="clear" w:color="auto" w:fill="auto"/>
            <w:noWrap/>
            <w:hideMark/>
          </w:tcPr>
          <w:p w14:paraId="0827CC09" w14:textId="77777777" w:rsidR="003D53D5" w:rsidRPr="00294EEA" w:rsidRDefault="003D53D5" w:rsidP="00B02F9D">
            <w:pPr>
              <w:rPr>
                <w:sz w:val="20"/>
                <w:szCs w:val="20"/>
              </w:rPr>
            </w:pPr>
            <w:r w:rsidRPr="00294EEA">
              <w:rPr>
                <w:sz w:val="20"/>
                <w:szCs w:val="20"/>
              </w:rPr>
              <w:t>Efron's R2 = 0.071</w:t>
            </w:r>
          </w:p>
        </w:tc>
        <w:tc>
          <w:tcPr>
            <w:tcW w:w="0" w:type="auto"/>
            <w:tcBorders>
              <w:top w:val="single" w:sz="8" w:space="0" w:color="auto"/>
              <w:left w:val="nil"/>
              <w:right w:val="nil"/>
            </w:tcBorders>
            <w:shd w:val="clear" w:color="auto" w:fill="auto"/>
            <w:noWrap/>
            <w:hideMark/>
          </w:tcPr>
          <w:p w14:paraId="79CB231F" w14:textId="77777777" w:rsidR="003D53D5" w:rsidRPr="00294EEA" w:rsidRDefault="003D53D5" w:rsidP="00B02F9D">
            <w:pPr>
              <w:rPr>
                <w:sz w:val="20"/>
                <w:szCs w:val="20"/>
              </w:rPr>
            </w:pPr>
            <w:r w:rsidRPr="00294EEA">
              <w:rPr>
                <w:sz w:val="20"/>
                <w:szCs w:val="20"/>
              </w:rPr>
              <w:t> </w:t>
            </w:r>
          </w:p>
        </w:tc>
        <w:tc>
          <w:tcPr>
            <w:tcW w:w="0" w:type="auto"/>
            <w:tcBorders>
              <w:top w:val="single" w:sz="8" w:space="0" w:color="auto"/>
              <w:left w:val="nil"/>
              <w:right w:val="nil"/>
            </w:tcBorders>
            <w:shd w:val="clear" w:color="auto" w:fill="auto"/>
            <w:noWrap/>
            <w:hideMark/>
          </w:tcPr>
          <w:p w14:paraId="010F62C3" w14:textId="77777777" w:rsidR="003D53D5" w:rsidRPr="00294EEA" w:rsidRDefault="003D53D5" w:rsidP="00B02F9D">
            <w:pPr>
              <w:rPr>
                <w:sz w:val="20"/>
                <w:szCs w:val="20"/>
              </w:rPr>
            </w:pPr>
            <w:r w:rsidRPr="00294EEA">
              <w:rPr>
                <w:sz w:val="20"/>
                <w:szCs w:val="20"/>
              </w:rPr>
              <w:t> </w:t>
            </w:r>
          </w:p>
        </w:tc>
        <w:tc>
          <w:tcPr>
            <w:tcW w:w="0" w:type="auto"/>
            <w:tcBorders>
              <w:top w:val="single" w:sz="8" w:space="0" w:color="auto"/>
              <w:left w:val="nil"/>
              <w:right w:val="nil"/>
            </w:tcBorders>
            <w:shd w:val="clear" w:color="auto" w:fill="auto"/>
            <w:noWrap/>
            <w:hideMark/>
          </w:tcPr>
          <w:p w14:paraId="464C881D" w14:textId="77777777" w:rsidR="003D53D5" w:rsidRPr="00294EEA" w:rsidRDefault="003D53D5" w:rsidP="00B02F9D">
            <w:pPr>
              <w:rPr>
                <w:sz w:val="20"/>
                <w:szCs w:val="20"/>
              </w:rPr>
            </w:pPr>
            <w:r w:rsidRPr="00294EEA">
              <w:rPr>
                <w:sz w:val="20"/>
                <w:szCs w:val="20"/>
              </w:rPr>
              <w:t> </w:t>
            </w:r>
          </w:p>
        </w:tc>
        <w:tc>
          <w:tcPr>
            <w:tcW w:w="0" w:type="auto"/>
            <w:tcBorders>
              <w:top w:val="single" w:sz="8" w:space="0" w:color="auto"/>
              <w:left w:val="nil"/>
              <w:right w:val="nil"/>
            </w:tcBorders>
            <w:shd w:val="clear" w:color="auto" w:fill="auto"/>
            <w:noWrap/>
            <w:hideMark/>
          </w:tcPr>
          <w:p w14:paraId="010EA000" w14:textId="77777777" w:rsidR="003D53D5" w:rsidRPr="00294EEA" w:rsidRDefault="003D53D5" w:rsidP="00B02F9D">
            <w:pPr>
              <w:rPr>
                <w:sz w:val="20"/>
                <w:szCs w:val="20"/>
              </w:rPr>
            </w:pPr>
            <w:r w:rsidRPr="00294EEA">
              <w:rPr>
                <w:sz w:val="20"/>
                <w:szCs w:val="20"/>
              </w:rPr>
              <w:t> </w:t>
            </w:r>
          </w:p>
        </w:tc>
      </w:tr>
      <w:tr w:rsidR="003D53D5" w:rsidRPr="00294EEA" w14:paraId="49DC4363" w14:textId="77777777" w:rsidTr="00B02F9D">
        <w:trPr>
          <w:trHeight w:val="275"/>
        </w:trPr>
        <w:tc>
          <w:tcPr>
            <w:tcW w:w="0" w:type="auto"/>
            <w:tcBorders>
              <w:top w:val="nil"/>
              <w:left w:val="nil"/>
              <w:bottom w:val="single" w:sz="4" w:space="0" w:color="auto"/>
              <w:right w:val="nil"/>
            </w:tcBorders>
            <w:shd w:val="clear" w:color="auto" w:fill="auto"/>
            <w:noWrap/>
            <w:hideMark/>
          </w:tcPr>
          <w:p w14:paraId="503D7443" w14:textId="77777777" w:rsidR="003D53D5" w:rsidRPr="00294EEA" w:rsidRDefault="003D53D5" w:rsidP="00B02F9D">
            <w:pPr>
              <w:rPr>
                <w:sz w:val="20"/>
                <w:szCs w:val="20"/>
              </w:rPr>
            </w:pPr>
            <w:r w:rsidRPr="00294EEA">
              <w:rPr>
                <w:sz w:val="20"/>
                <w:szCs w:val="20"/>
              </w:rPr>
              <w:t>N = 784 respondents</w:t>
            </w:r>
          </w:p>
        </w:tc>
        <w:tc>
          <w:tcPr>
            <w:tcW w:w="0" w:type="auto"/>
            <w:tcBorders>
              <w:top w:val="nil"/>
              <w:left w:val="nil"/>
              <w:bottom w:val="single" w:sz="4" w:space="0" w:color="auto"/>
              <w:right w:val="nil"/>
            </w:tcBorders>
            <w:shd w:val="clear" w:color="auto" w:fill="auto"/>
            <w:noWrap/>
            <w:hideMark/>
          </w:tcPr>
          <w:p w14:paraId="60A21374" w14:textId="77777777" w:rsidR="003D53D5" w:rsidRPr="00294EEA" w:rsidRDefault="003D53D5" w:rsidP="00B02F9D">
            <w:pPr>
              <w:rPr>
                <w:sz w:val="20"/>
                <w:szCs w:val="20"/>
              </w:rPr>
            </w:pPr>
            <w:r w:rsidRPr="00294EEA">
              <w:rPr>
                <w:sz w:val="20"/>
                <w:szCs w:val="20"/>
              </w:rPr>
              <w:t> </w:t>
            </w:r>
          </w:p>
        </w:tc>
        <w:tc>
          <w:tcPr>
            <w:tcW w:w="0" w:type="auto"/>
            <w:tcBorders>
              <w:top w:val="nil"/>
              <w:left w:val="nil"/>
              <w:bottom w:val="single" w:sz="4" w:space="0" w:color="auto"/>
              <w:right w:val="nil"/>
            </w:tcBorders>
            <w:shd w:val="clear" w:color="auto" w:fill="auto"/>
            <w:noWrap/>
            <w:hideMark/>
          </w:tcPr>
          <w:p w14:paraId="44D13AF5" w14:textId="77777777" w:rsidR="003D53D5" w:rsidRPr="00294EEA" w:rsidRDefault="003D53D5" w:rsidP="00B02F9D">
            <w:pPr>
              <w:rPr>
                <w:sz w:val="20"/>
                <w:szCs w:val="20"/>
              </w:rPr>
            </w:pPr>
            <w:r w:rsidRPr="00294EEA">
              <w:rPr>
                <w:sz w:val="20"/>
                <w:szCs w:val="20"/>
              </w:rPr>
              <w:t> </w:t>
            </w:r>
          </w:p>
        </w:tc>
        <w:tc>
          <w:tcPr>
            <w:tcW w:w="0" w:type="auto"/>
            <w:tcBorders>
              <w:top w:val="nil"/>
              <w:left w:val="nil"/>
              <w:bottom w:val="single" w:sz="4" w:space="0" w:color="auto"/>
              <w:right w:val="nil"/>
            </w:tcBorders>
            <w:shd w:val="clear" w:color="auto" w:fill="auto"/>
            <w:noWrap/>
            <w:hideMark/>
          </w:tcPr>
          <w:p w14:paraId="29CF9F79" w14:textId="77777777" w:rsidR="003D53D5" w:rsidRPr="00294EEA" w:rsidRDefault="003D53D5" w:rsidP="00B02F9D">
            <w:pPr>
              <w:rPr>
                <w:sz w:val="20"/>
                <w:szCs w:val="20"/>
              </w:rPr>
            </w:pPr>
            <w:r w:rsidRPr="00294EEA">
              <w:rPr>
                <w:sz w:val="20"/>
                <w:szCs w:val="20"/>
              </w:rPr>
              <w:t> </w:t>
            </w:r>
          </w:p>
        </w:tc>
        <w:tc>
          <w:tcPr>
            <w:tcW w:w="0" w:type="auto"/>
            <w:tcBorders>
              <w:top w:val="nil"/>
              <w:left w:val="nil"/>
              <w:bottom w:val="single" w:sz="4" w:space="0" w:color="auto"/>
              <w:right w:val="nil"/>
            </w:tcBorders>
            <w:shd w:val="clear" w:color="auto" w:fill="auto"/>
            <w:noWrap/>
            <w:hideMark/>
          </w:tcPr>
          <w:p w14:paraId="1D25AFF6" w14:textId="77777777" w:rsidR="003D53D5" w:rsidRPr="00294EEA" w:rsidRDefault="003D53D5" w:rsidP="00B02F9D">
            <w:pPr>
              <w:rPr>
                <w:sz w:val="20"/>
                <w:szCs w:val="20"/>
              </w:rPr>
            </w:pPr>
            <w:r w:rsidRPr="00294EEA">
              <w:rPr>
                <w:sz w:val="20"/>
                <w:szCs w:val="20"/>
              </w:rPr>
              <w:t> </w:t>
            </w:r>
          </w:p>
        </w:tc>
      </w:tr>
    </w:tbl>
    <w:p w14:paraId="221210B2" w14:textId="75E2CA7D" w:rsidR="003D53D5" w:rsidRPr="00294EEA" w:rsidRDefault="003D53D5" w:rsidP="003D53D5">
      <w:pPr>
        <w:pStyle w:val="Captionnote"/>
        <w:rPr>
          <w:noProof/>
        </w:rPr>
      </w:pPr>
      <w:r w:rsidRPr="00294EEA">
        <w:t xml:space="preserve">Note: </w:t>
      </w:r>
      <w:r w:rsidR="00534EE7">
        <w:t>Spatial a</w:t>
      </w:r>
      <w:r w:rsidRPr="00294EEA">
        <w:t xml:space="preserve">ccessibility was measured as </w:t>
      </w:r>
      <w:r>
        <w:t xml:space="preserve">the </w:t>
      </w:r>
      <w:r w:rsidRPr="00294EEA">
        <w:rPr>
          <w:noProof/>
        </w:rPr>
        <w:t>distance to the nearest pharmacy of any type</w:t>
      </w:r>
    </w:p>
    <w:p w14:paraId="6BF5EB24" w14:textId="08506566" w:rsidR="00473F4D" w:rsidRDefault="00473F4D" w:rsidP="00E77BA2"/>
    <w:p w14:paraId="544AC3FB" w14:textId="0D8D158D" w:rsidR="00473F4D" w:rsidRDefault="00473F4D" w:rsidP="00FC6668">
      <w:pPr>
        <w:pStyle w:val="Heading1"/>
      </w:pPr>
      <w:r>
        <w:lastRenderedPageBreak/>
        <w:t xml:space="preserve">About </w:t>
      </w:r>
      <w:r w:rsidR="00334D0B">
        <w:t xml:space="preserve">log transformation of </w:t>
      </w:r>
      <w:r>
        <w:t xml:space="preserve">trip distance </w:t>
      </w:r>
      <w:r w:rsidR="00334D0B">
        <w:t>for OLS regression</w:t>
      </w:r>
    </w:p>
    <w:p w14:paraId="534D506B" w14:textId="346853E3" w:rsidR="00473F4D" w:rsidRDefault="00473F4D" w:rsidP="00574CED">
      <w:r>
        <w:t xml:space="preserve">One-way trip distances to pharmacies were not </w:t>
      </w:r>
      <w:r w:rsidR="00B85A5D">
        <w:t>log-</w:t>
      </w:r>
      <w:r>
        <w:t xml:space="preserve">transformed in the OLS regressions shown in Figures 9-10, despite that the error terms were not normally distributed. This showed the relationship between trip distance and access intuitively. </w:t>
      </w:r>
      <w:r w:rsidR="00022F12">
        <w:t xml:space="preserve">Access maintained a </w:t>
      </w:r>
      <w:r w:rsidR="0073235E">
        <w:t xml:space="preserve">similarly </w:t>
      </w:r>
      <w:r w:rsidR="00022F12">
        <w:t xml:space="preserve">significant effect </w:t>
      </w:r>
      <w:r w:rsidR="00AA6868">
        <w:t>on</w:t>
      </w:r>
      <w:r>
        <w:t xml:space="preserve"> log-transformed trip distances</w:t>
      </w:r>
      <w:r w:rsidR="00AA6868">
        <w:t>,</w:t>
      </w:r>
      <w:r>
        <w:t xml:space="preserve"> with much higher R2 values.</w:t>
      </w:r>
      <w:r w:rsidR="0073235E">
        <w:t xml:space="preserve"> Therefore, the results with log-transformed trip distances were not reported. </w:t>
      </w:r>
      <w:r>
        <w:t xml:space="preserve"> </w:t>
      </w:r>
      <w:r w:rsidR="002D2A09">
        <w:t xml:space="preserve"> </w:t>
      </w:r>
    </w:p>
    <w:p w14:paraId="533EAB97" w14:textId="77777777" w:rsidR="003141FF" w:rsidRDefault="003141FF" w:rsidP="006D0A58"/>
    <w:p w14:paraId="59893EE3" w14:textId="77777777" w:rsidR="003E4EEA" w:rsidRDefault="003E4EEA" w:rsidP="006D0A58"/>
    <w:p w14:paraId="51C8D3F0" w14:textId="77777777" w:rsidR="003E4EEA" w:rsidRDefault="003E4EEA" w:rsidP="006D0A58"/>
    <w:p w14:paraId="124E0A4B" w14:textId="73FC9059" w:rsidR="00473F4D" w:rsidRDefault="00473F4D" w:rsidP="00473F4D">
      <w:pPr>
        <w:pStyle w:val="Heading1"/>
      </w:pPr>
      <w:r>
        <w:t>References</w:t>
      </w:r>
    </w:p>
    <w:sdt>
      <w:sdtPr>
        <w:tag w:val="MENDELEY_BIBLIOGRAPHY"/>
        <w:id w:val="1887838176"/>
        <w:placeholder>
          <w:docPart w:val="DefaultPlaceholder_-1854013440"/>
        </w:placeholder>
      </w:sdtPr>
      <w:sdtContent>
        <w:p w14:paraId="56980083" w14:textId="77777777" w:rsidR="00C91E2C" w:rsidRDefault="00C91E2C">
          <w:pPr>
            <w:ind w:hanging="640"/>
            <w:divId w:val="111557999"/>
            <w:rPr>
              <w:rFonts w:eastAsia="Times New Roman"/>
            </w:rPr>
          </w:pPr>
          <w:r>
            <w:rPr>
              <w:rFonts w:eastAsia="Times New Roman"/>
            </w:rPr>
            <w:t>1.</w:t>
          </w:r>
          <w:r>
            <w:rPr>
              <w:rFonts w:eastAsia="Times New Roman"/>
            </w:rPr>
            <w:tab/>
          </w:r>
          <w:proofErr w:type="spellStart"/>
          <w:r>
            <w:rPr>
              <w:rFonts w:eastAsia="Times New Roman"/>
            </w:rPr>
            <w:t>Pednekar</w:t>
          </w:r>
          <w:proofErr w:type="spellEnd"/>
          <w:r>
            <w:rPr>
              <w:rFonts w:eastAsia="Times New Roman"/>
            </w:rPr>
            <w:t xml:space="preserve"> P, Peterson A. Mapping pharmacy deserts and determining accessibility to community pharmacy services for elderly enrolled in a State Pharmaceutical Assistance Program. </w:t>
          </w:r>
          <w:proofErr w:type="spellStart"/>
          <w:r>
            <w:rPr>
              <w:rFonts w:eastAsia="Times New Roman"/>
              <w:i/>
              <w:iCs/>
            </w:rPr>
            <w:t>PLoS</w:t>
          </w:r>
          <w:proofErr w:type="spellEnd"/>
          <w:r>
            <w:rPr>
              <w:rFonts w:eastAsia="Times New Roman"/>
              <w:i/>
              <w:iCs/>
            </w:rPr>
            <w:t xml:space="preserve"> One</w:t>
          </w:r>
          <w:r>
            <w:rPr>
              <w:rFonts w:eastAsia="Times New Roman"/>
            </w:rPr>
            <w:t xml:space="preserve">. 2018;13(6):1-19. </w:t>
          </w:r>
          <w:proofErr w:type="gramStart"/>
          <w:r>
            <w:rPr>
              <w:rFonts w:eastAsia="Times New Roman"/>
            </w:rPr>
            <w:t>doi:10.1371/journal.pone</w:t>
          </w:r>
          <w:proofErr w:type="gramEnd"/>
          <w:r>
            <w:rPr>
              <w:rFonts w:eastAsia="Times New Roman"/>
            </w:rPr>
            <w:t>.0198173</w:t>
          </w:r>
        </w:p>
        <w:p w14:paraId="20588998" w14:textId="77777777" w:rsidR="00C91E2C" w:rsidRDefault="00C91E2C">
          <w:pPr>
            <w:ind w:hanging="640"/>
            <w:divId w:val="1903179937"/>
            <w:rPr>
              <w:rFonts w:eastAsia="Times New Roman"/>
            </w:rPr>
          </w:pPr>
          <w:r>
            <w:rPr>
              <w:rFonts w:eastAsia="Times New Roman"/>
            </w:rPr>
            <w:t>2.</w:t>
          </w:r>
          <w:r>
            <w:rPr>
              <w:rFonts w:eastAsia="Times New Roman"/>
            </w:rPr>
            <w:tab/>
          </w:r>
          <w:proofErr w:type="spellStart"/>
          <w:r>
            <w:rPr>
              <w:rFonts w:eastAsia="Times New Roman"/>
            </w:rPr>
            <w:t>Qato</w:t>
          </w:r>
          <w:proofErr w:type="spellEnd"/>
          <w:r>
            <w:rPr>
              <w:rFonts w:eastAsia="Times New Roman"/>
            </w:rPr>
            <w:t xml:space="preserve"> DM, </w:t>
          </w:r>
          <w:proofErr w:type="spellStart"/>
          <w:r>
            <w:rPr>
              <w:rFonts w:eastAsia="Times New Roman"/>
            </w:rPr>
            <w:t>Daviglus</w:t>
          </w:r>
          <w:proofErr w:type="spellEnd"/>
          <w:r>
            <w:rPr>
              <w:rFonts w:eastAsia="Times New Roman"/>
            </w:rPr>
            <w:t xml:space="preserve"> ML, Wilder J, Lee T, </w:t>
          </w:r>
          <w:proofErr w:type="spellStart"/>
          <w:r>
            <w:rPr>
              <w:rFonts w:eastAsia="Times New Roman"/>
            </w:rPr>
            <w:t>Qato</w:t>
          </w:r>
          <w:proofErr w:type="spellEnd"/>
          <w:r>
            <w:rPr>
              <w:rFonts w:eastAsia="Times New Roman"/>
            </w:rPr>
            <w:t xml:space="preserve"> D, Lambert B. “Pharmacy deserts” are prevalent in </w:t>
          </w:r>
          <w:proofErr w:type="spellStart"/>
          <w:r>
            <w:rPr>
              <w:rFonts w:eastAsia="Times New Roman"/>
            </w:rPr>
            <w:t>chicago’s</w:t>
          </w:r>
          <w:proofErr w:type="spellEnd"/>
          <w:r>
            <w:rPr>
              <w:rFonts w:eastAsia="Times New Roman"/>
            </w:rPr>
            <w:t xml:space="preserve"> predominantly minority communities, raising medication access concerns. </w:t>
          </w:r>
          <w:r>
            <w:rPr>
              <w:rFonts w:eastAsia="Times New Roman"/>
              <w:i/>
              <w:iCs/>
            </w:rPr>
            <w:t xml:space="preserve">Health </w:t>
          </w:r>
          <w:proofErr w:type="spellStart"/>
          <w:r>
            <w:rPr>
              <w:rFonts w:eastAsia="Times New Roman"/>
              <w:i/>
              <w:iCs/>
            </w:rPr>
            <w:t>Aff</w:t>
          </w:r>
          <w:proofErr w:type="spellEnd"/>
          <w:r>
            <w:rPr>
              <w:rFonts w:eastAsia="Times New Roman"/>
            </w:rPr>
            <w:t>. 2014;33(11):1958-1965. doi:10.1377/hlthaff.2013.1397</w:t>
          </w:r>
        </w:p>
        <w:p w14:paraId="7FA34430" w14:textId="77777777" w:rsidR="00C91E2C" w:rsidRDefault="00C91E2C">
          <w:pPr>
            <w:ind w:hanging="640"/>
            <w:divId w:val="237522130"/>
            <w:rPr>
              <w:rFonts w:eastAsia="Times New Roman"/>
            </w:rPr>
          </w:pPr>
          <w:r>
            <w:rPr>
              <w:rFonts w:eastAsia="Times New Roman"/>
            </w:rPr>
            <w:t>3.</w:t>
          </w:r>
          <w:r>
            <w:rPr>
              <w:rFonts w:eastAsia="Times New Roman"/>
            </w:rPr>
            <w:tab/>
            <w:t xml:space="preserve">Ikram SZ, Hu Y, Wang F. Disparities in Spatial Accessibility of Pharmacies in Baton Rouge, Louisiana. </w:t>
          </w:r>
          <w:proofErr w:type="spellStart"/>
          <w:r>
            <w:rPr>
              <w:rFonts w:eastAsia="Times New Roman"/>
              <w:i/>
              <w:iCs/>
            </w:rPr>
            <w:t>Geogr</w:t>
          </w:r>
          <w:proofErr w:type="spellEnd"/>
          <w:r>
            <w:rPr>
              <w:rFonts w:eastAsia="Times New Roman"/>
              <w:i/>
              <w:iCs/>
            </w:rPr>
            <w:t xml:space="preserve"> Rev</w:t>
          </w:r>
          <w:r>
            <w:rPr>
              <w:rFonts w:eastAsia="Times New Roman"/>
            </w:rPr>
            <w:t>. 2015;105(4):492-510. doi:10.1111/j.1931-0846.</w:t>
          </w:r>
          <w:proofErr w:type="gramStart"/>
          <w:r>
            <w:rPr>
              <w:rFonts w:eastAsia="Times New Roman"/>
            </w:rPr>
            <w:t>2015.12087.x</w:t>
          </w:r>
          <w:proofErr w:type="gramEnd"/>
        </w:p>
        <w:p w14:paraId="357BD994" w14:textId="77777777" w:rsidR="00C91E2C" w:rsidRDefault="00C91E2C">
          <w:pPr>
            <w:ind w:hanging="640"/>
            <w:divId w:val="774247617"/>
            <w:rPr>
              <w:rFonts w:eastAsia="Times New Roman"/>
            </w:rPr>
          </w:pPr>
          <w:r>
            <w:rPr>
              <w:rFonts w:eastAsia="Times New Roman"/>
            </w:rPr>
            <w:t>4.</w:t>
          </w:r>
          <w:r>
            <w:rPr>
              <w:rFonts w:eastAsia="Times New Roman"/>
            </w:rPr>
            <w:tab/>
            <w:t xml:space="preserve">Miller EJ. Accessibility: measurement and application in transportation planning. </w:t>
          </w:r>
          <w:proofErr w:type="spellStart"/>
          <w:r>
            <w:rPr>
              <w:rFonts w:eastAsia="Times New Roman"/>
              <w:i/>
              <w:iCs/>
            </w:rPr>
            <w:t>Transp</w:t>
          </w:r>
          <w:proofErr w:type="spellEnd"/>
          <w:r>
            <w:rPr>
              <w:rFonts w:eastAsia="Times New Roman"/>
              <w:i/>
              <w:iCs/>
            </w:rPr>
            <w:t xml:space="preserve"> Rev</w:t>
          </w:r>
          <w:r>
            <w:rPr>
              <w:rFonts w:eastAsia="Times New Roman"/>
            </w:rPr>
            <w:t>. 2018;38(5):551-555. doi:10.1080/01441647.2018.1492778</w:t>
          </w:r>
        </w:p>
        <w:p w14:paraId="6B56CB12" w14:textId="77777777" w:rsidR="00C91E2C" w:rsidRDefault="00C91E2C">
          <w:pPr>
            <w:ind w:hanging="640"/>
            <w:divId w:val="769473137"/>
            <w:rPr>
              <w:rFonts w:eastAsia="Times New Roman"/>
            </w:rPr>
          </w:pPr>
          <w:r>
            <w:rPr>
              <w:rFonts w:eastAsia="Times New Roman"/>
            </w:rPr>
            <w:t>5.</w:t>
          </w:r>
          <w:r>
            <w:rPr>
              <w:rFonts w:eastAsia="Times New Roman"/>
            </w:rPr>
            <w:tab/>
          </w:r>
          <w:proofErr w:type="spellStart"/>
          <w:r>
            <w:rPr>
              <w:rFonts w:eastAsia="Times New Roman"/>
            </w:rPr>
            <w:t>Páez</w:t>
          </w:r>
          <w:proofErr w:type="spellEnd"/>
          <w:r>
            <w:rPr>
              <w:rFonts w:eastAsia="Times New Roman"/>
            </w:rPr>
            <w:t xml:space="preserve"> A, Scott DM, </w:t>
          </w:r>
          <w:proofErr w:type="spellStart"/>
          <w:r>
            <w:rPr>
              <w:rFonts w:eastAsia="Times New Roman"/>
            </w:rPr>
            <w:t>Morency</w:t>
          </w:r>
          <w:proofErr w:type="spellEnd"/>
          <w:r>
            <w:rPr>
              <w:rFonts w:eastAsia="Times New Roman"/>
            </w:rPr>
            <w:t xml:space="preserve"> C. Measuring accessibility: Positive and normative implementations of various accessibility indicators. </w:t>
          </w:r>
          <w:r>
            <w:rPr>
              <w:rFonts w:eastAsia="Times New Roman"/>
              <w:i/>
              <w:iCs/>
            </w:rPr>
            <w:t xml:space="preserve">J </w:t>
          </w:r>
          <w:proofErr w:type="spellStart"/>
          <w:r>
            <w:rPr>
              <w:rFonts w:eastAsia="Times New Roman"/>
              <w:i/>
              <w:iCs/>
            </w:rPr>
            <w:t>Transp</w:t>
          </w:r>
          <w:proofErr w:type="spellEnd"/>
          <w:r>
            <w:rPr>
              <w:rFonts w:eastAsia="Times New Roman"/>
              <w:i/>
              <w:iCs/>
            </w:rPr>
            <w:t xml:space="preserve"> </w:t>
          </w:r>
          <w:proofErr w:type="spellStart"/>
          <w:r>
            <w:rPr>
              <w:rFonts w:eastAsia="Times New Roman"/>
              <w:i/>
              <w:iCs/>
            </w:rPr>
            <w:t>Geogr</w:t>
          </w:r>
          <w:proofErr w:type="spellEnd"/>
          <w:r>
            <w:rPr>
              <w:rFonts w:eastAsia="Times New Roman"/>
            </w:rPr>
            <w:t xml:space="preserve">. </w:t>
          </w:r>
          <w:proofErr w:type="gramStart"/>
          <w:r>
            <w:rPr>
              <w:rFonts w:eastAsia="Times New Roman"/>
            </w:rPr>
            <w:t>2012;25:141</w:t>
          </w:r>
          <w:proofErr w:type="gramEnd"/>
          <w:r>
            <w:rPr>
              <w:rFonts w:eastAsia="Times New Roman"/>
            </w:rPr>
            <w:t xml:space="preserve">-153. </w:t>
          </w:r>
          <w:proofErr w:type="gramStart"/>
          <w:r>
            <w:rPr>
              <w:rFonts w:eastAsia="Times New Roman"/>
            </w:rPr>
            <w:t>doi:10.1016/j.jtrangeo</w:t>
          </w:r>
          <w:proofErr w:type="gramEnd"/>
          <w:r>
            <w:rPr>
              <w:rFonts w:eastAsia="Times New Roman"/>
            </w:rPr>
            <w:t>.2012.03.016</w:t>
          </w:r>
        </w:p>
        <w:p w14:paraId="7BB9563D" w14:textId="77777777" w:rsidR="00C91E2C" w:rsidRDefault="00C91E2C">
          <w:pPr>
            <w:ind w:hanging="640"/>
            <w:divId w:val="631907099"/>
            <w:rPr>
              <w:rFonts w:eastAsia="Times New Roman"/>
            </w:rPr>
          </w:pPr>
          <w:r>
            <w:rPr>
              <w:rFonts w:eastAsia="Times New Roman"/>
            </w:rPr>
            <w:t>6.</w:t>
          </w:r>
          <w:r>
            <w:rPr>
              <w:rFonts w:eastAsia="Times New Roman"/>
            </w:rPr>
            <w:tab/>
            <w:t xml:space="preserve">Wang F. Measurement, Optimization, and Impact of Health Care Accessibility: A Methodological Review. </w:t>
          </w:r>
          <w:r>
            <w:rPr>
              <w:rFonts w:eastAsia="Times New Roman"/>
              <w:i/>
              <w:iCs/>
            </w:rPr>
            <w:t>Annals of the Association of American Geographers</w:t>
          </w:r>
          <w:r>
            <w:rPr>
              <w:rFonts w:eastAsia="Times New Roman"/>
            </w:rPr>
            <w:t>. 2012;102(5):1104-1112. doi:10.1080/00045608.2012.657146</w:t>
          </w:r>
        </w:p>
        <w:p w14:paraId="102E6729" w14:textId="77777777" w:rsidR="00C91E2C" w:rsidRDefault="00C91E2C">
          <w:pPr>
            <w:ind w:hanging="640"/>
            <w:divId w:val="1290362008"/>
            <w:rPr>
              <w:rFonts w:eastAsia="Times New Roman"/>
            </w:rPr>
          </w:pPr>
          <w:r>
            <w:rPr>
              <w:rFonts w:eastAsia="Times New Roman"/>
            </w:rPr>
            <w:t>7.</w:t>
          </w:r>
          <w:r>
            <w:rPr>
              <w:rFonts w:eastAsia="Times New Roman"/>
            </w:rPr>
            <w:tab/>
            <w:t xml:space="preserve">Wan N, Zou B, Sternberg T. A three-step floating catchment area method for analyzing spatial access to health services. </w:t>
          </w:r>
          <w:r>
            <w:rPr>
              <w:rFonts w:eastAsia="Times New Roman"/>
              <w:i/>
              <w:iCs/>
            </w:rPr>
            <w:t>International Journal of Geographical Information Science</w:t>
          </w:r>
          <w:r>
            <w:rPr>
              <w:rFonts w:eastAsia="Times New Roman"/>
            </w:rPr>
            <w:t>. 2012;26(6):1073-1089. doi:10.1080/13658816.2011.624987</w:t>
          </w:r>
        </w:p>
        <w:p w14:paraId="5F385341" w14:textId="77777777" w:rsidR="00C91E2C" w:rsidRDefault="00C91E2C">
          <w:pPr>
            <w:ind w:hanging="640"/>
            <w:divId w:val="1510412122"/>
            <w:rPr>
              <w:rFonts w:eastAsia="Times New Roman"/>
            </w:rPr>
          </w:pPr>
          <w:r>
            <w:rPr>
              <w:rFonts w:eastAsia="Times New Roman"/>
            </w:rPr>
            <w:t>8.</w:t>
          </w:r>
          <w:r>
            <w:rPr>
              <w:rFonts w:eastAsia="Times New Roman"/>
            </w:rPr>
            <w:tab/>
            <w:t xml:space="preserve">Gaskin DJ, Dinwiddie GY, Chan KS, McCleary R. Residential </w:t>
          </w:r>
          <w:proofErr w:type="gramStart"/>
          <w:r>
            <w:rPr>
              <w:rFonts w:eastAsia="Times New Roman"/>
            </w:rPr>
            <w:t>segregation</w:t>
          </w:r>
          <w:proofErr w:type="gramEnd"/>
          <w:r>
            <w:rPr>
              <w:rFonts w:eastAsia="Times New Roman"/>
            </w:rPr>
            <w:t xml:space="preserve"> and disparities in health care services utilization. </w:t>
          </w:r>
          <w:r>
            <w:rPr>
              <w:rFonts w:eastAsia="Times New Roman"/>
              <w:i/>
              <w:iCs/>
            </w:rPr>
            <w:t>Medical Care Research and Review</w:t>
          </w:r>
          <w:r>
            <w:rPr>
              <w:rFonts w:eastAsia="Times New Roman"/>
            </w:rPr>
            <w:t>. 2012;69(2):158-175. doi:10.1177/1077558711420263</w:t>
          </w:r>
        </w:p>
        <w:p w14:paraId="0EDEC9C5" w14:textId="77777777" w:rsidR="00C91E2C" w:rsidRDefault="00C91E2C">
          <w:pPr>
            <w:ind w:hanging="640"/>
            <w:divId w:val="147089699"/>
            <w:rPr>
              <w:rFonts w:eastAsia="Times New Roman"/>
            </w:rPr>
          </w:pPr>
          <w:r>
            <w:rPr>
              <w:rFonts w:eastAsia="Times New Roman"/>
            </w:rPr>
            <w:t>9.</w:t>
          </w:r>
          <w:r>
            <w:rPr>
              <w:rFonts w:eastAsia="Times New Roman"/>
            </w:rPr>
            <w:tab/>
            <w:t xml:space="preserve">Owens GM. Gender differences in health care expenditures, resource utilization, and quality of care. </w:t>
          </w:r>
          <w:r>
            <w:rPr>
              <w:rFonts w:eastAsia="Times New Roman"/>
              <w:i/>
              <w:iCs/>
            </w:rPr>
            <w:t>Journal of Managed Care Pharmacy</w:t>
          </w:r>
          <w:r>
            <w:rPr>
              <w:rFonts w:eastAsia="Times New Roman"/>
            </w:rPr>
            <w:t>. 2008;14(3 SUPPL.):2-6. doi:10.18553/jmcp.2008.</w:t>
          </w:r>
          <w:proofErr w:type="gramStart"/>
          <w:r>
            <w:rPr>
              <w:rFonts w:eastAsia="Times New Roman"/>
            </w:rPr>
            <w:t>14.s</w:t>
          </w:r>
          <w:proofErr w:type="gramEnd"/>
          <w:r>
            <w:rPr>
              <w:rFonts w:eastAsia="Times New Roman"/>
            </w:rPr>
            <w:t>3-a.2</w:t>
          </w:r>
        </w:p>
        <w:p w14:paraId="6D687A15" w14:textId="13EF464A" w:rsidR="00473F4D" w:rsidRPr="00B1450B" w:rsidRDefault="00C91E2C" w:rsidP="006B18B9">
          <w:pPr>
            <w:spacing w:after="120"/>
            <w:ind w:left="454" w:hanging="454"/>
          </w:pPr>
          <w:r>
            <w:rPr>
              <w:rFonts w:eastAsia="Times New Roman"/>
            </w:rPr>
            <w:t> </w:t>
          </w:r>
        </w:p>
      </w:sdtContent>
    </w:sdt>
    <w:sectPr w:rsidR="00473F4D" w:rsidRPr="00B145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0692"/>
    <w:multiLevelType w:val="hybridMultilevel"/>
    <w:tmpl w:val="551A2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D03A6"/>
    <w:multiLevelType w:val="hybridMultilevel"/>
    <w:tmpl w:val="6B04E28E"/>
    <w:lvl w:ilvl="0" w:tplc="03FC59A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7D33496"/>
    <w:multiLevelType w:val="hybridMultilevel"/>
    <w:tmpl w:val="33B063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DB764B"/>
    <w:multiLevelType w:val="hybridMultilevel"/>
    <w:tmpl w:val="5E80E488"/>
    <w:lvl w:ilvl="0" w:tplc="1CDA4180">
      <w:start w:val="1"/>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0309158">
    <w:abstractNumId w:val="2"/>
  </w:num>
  <w:num w:numId="2" w16cid:durableId="712272187">
    <w:abstractNumId w:val="0"/>
  </w:num>
  <w:num w:numId="3" w16cid:durableId="330766790">
    <w:abstractNumId w:val="1"/>
  </w:num>
  <w:num w:numId="4" w16cid:durableId="2393394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C2MLYEQgNzcxNTMyUdpeDU4uLM/DyQAsNaAKppKB8sAAAA"/>
  </w:docVars>
  <w:rsids>
    <w:rsidRoot w:val="00262261"/>
    <w:rsid w:val="000018A8"/>
    <w:rsid w:val="0000199B"/>
    <w:rsid w:val="000031C7"/>
    <w:rsid w:val="00022F12"/>
    <w:rsid w:val="00034524"/>
    <w:rsid w:val="00035192"/>
    <w:rsid w:val="00075974"/>
    <w:rsid w:val="00094190"/>
    <w:rsid w:val="000D6F95"/>
    <w:rsid w:val="000E2808"/>
    <w:rsid w:val="000E2DFB"/>
    <w:rsid w:val="000F0E53"/>
    <w:rsid w:val="000F2BFC"/>
    <w:rsid w:val="000F6B54"/>
    <w:rsid w:val="00104E41"/>
    <w:rsid w:val="0011635B"/>
    <w:rsid w:val="00124120"/>
    <w:rsid w:val="00143A0B"/>
    <w:rsid w:val="001479AD"/>
    <w:rsid w:val="00157F80"/>
    <w:rsid w:val="0016104D"/>
    <w:rsid w:val="00161BD4"/>
    <w:rsid w:val="00165152"/>
    <w:rsid w:val="00176E08"/>
    <w:rsid w:val="0018762D"/>
    <w:rsid w:val="001933A6"/>
    <w:rsid w:val="001A49CB"/>
    <w:rsid w:val="001B30E1"/>
    <w:rsid w:val="001B6C62"/>
    <w:rsid w:val="001B7700"/>
    <w:rsid w:val="001C20E6"/>
    <w:rsid w:val="001D7D81"/>
    <w:rsid w:val="001F167C"/>
    <w:rsid w:val="00204E19"/>
    <w:rsid w:val="00214147"/>
    <w:rsid w:val="002163C6"/>
    <w:rsid w:val="002164C6"/>
    <w:rsid w:val="002176BC"/>
    <w:rsid w:val="0022010F"/>
    <w:rsid w:val="00221C03"/>
    <w:rsid w:val="00230EE6"/>
    <w:rsid w:val="00235CE1"/>
    <w:rsid w:val="00237D8A"/>
    <w:rsid w:val="0025140F"/>
    <w:rsid w:val="00262261"/>
    <w:rsid w:val="00262FF1"/>
    <w:rsid w:val="00265945"/>
    <w:rsid w:val="00293719"/>
    <w:rsid w:val="002A22C6"/>
    <w:rsid w:val="002B2C94"/>
    <w:rsid w:val="002C0D70"/>
    <w:rsid w:val="002C5B77"/>
    <w:rsid w:val="002C676E"/>
    <w:rsid w:val="002D2A09"/>
    <w:rsid w:val="002D3DCA"/>
    <w:rsid w:val="002D5F59"/>
    <w:rsid w:val="002D6189"/>
    <w:rsid w:val="002E1A48"/>
    <w:rsid w:val="002E7AA2"/>
    <w:rsid w:val="00312D78"/>
    <w:rsid w:val="003141FF"/>
    <w:rsid w:val="00315066"/>
    <w:rsid w:val="003218A1"/>
    <w:rsid w:val="00331710"/>
    <w:rsid w:val="00334D0B"/>
    <w:rsid w:val="00336630"/>
    <w:rsid w:val="0034643A"/>
    <w:rsid w:val="00351538"/>
    <w:rsid w:val="00355135"/>
    <w:rsid w:val="003559E2"/>
    <w:rsid w:val="00371869"/>
    <w:rsid w:val="0037384F"/>
    <w:rsid w:val="003861B8"/>
    <w:rsid w:val="003876C1"/>
    <w:rsid w:val="00395E74"/>
    <w:rsid w:val="003A69E6"/>
    <w:rsid w:val="003A70C6"/>
    <w:rsid w:val="003B702E"/>
    <w:rsid w:val="003C102D"/>
    <w:rsid w:val="003C3070"/>
    <w:rsid w:val="003D2DC1"/>
    <w:rsid w:val="003D44AE"/>
    <w:rsid w:val="003D53D5"/>
    <w:rsid w:val="003E14A0"/>
    <w:rsid w:val="003E4EEA"/>
    <w:rsid w:val="003F1D15"/>
    <w:rsid w:val="00404C88"/>
    <w:rsid w:val="004152C7"/>
    <w:rsid w:val="004170CE"/>
    <w:rsid w:val="004343F2"/>
    <w:rsid w:val="00443DC7"/>
    <w:rsid w:val="0046309E"/>
    <w:rsid w:val="00473D6E"/>
    <w:rsid w:val="00473F4D"/>
    <w:rsid w:val="0048149D"/>
    <w:rsid w:val="00495370"/>
    <w:rsid w:val="0049611F"/>
    <w:rsid w:val="0049616F"/>
    <w:rsid w:val="004B6034"/>
    <w:rsid w:val="004B6477"/>
    <w:rsid w:val="004C210E"/>
    <w:rsid w:val="004C663B"/>
    <w:rsid w:val="004D3C30"/>
    <w:rsid w:val="004E223D"/>
    <w:rsid w:val="004F7860"/>
    <w:rsid w:val="0050795B"/>
    <w:rsid w:val="00507BA9"/>
    <w:rsid w:val="005123BD"/>
    <w:rsid w:val="005272A5"/>
    <w:rsid w:val="00534EE7"/>
    <w:rsid w:val="005500E9"/>
    <w:rsid w:val="00567C31"/>
    <w:rsid w:val="005744D9"/>
    <w:rsid w:val="00574CED"/>
    <w:rsid w:val="0057782C"/>
    <w:rsid w:val="005829B1"/>
    <w:rsid w:val="00593009"/>
    <w:rsid w:val="005934F7"/>
    <w:rsid w:val="005A1B02"/>
    <w:rsid w:val="005A6EA9"/>
    <w:rsid w:val="005A7BF4"/>
    <w:rsid w:val="005B7F40"/>
    <w:rsid w:val="005C532F"/>
    <w:rsid w:val="005D00F6"/>
    <w:rsid w:val="005F26EA"/>
    <w:rsid w:val="005F2FD8"/>
    <w:rsid w:val="005F497D"/>
    <w:rsid w:val="006050AB"/>
    <w:rsid w:val="00613523"/>
    <w:rsid w:val="0061378F"/>
    <w:rsid w:val="006148DD"/>
    <w:rsid w:val="00614AB3"/>
    <w:rsid w:val="00616338"/>
    <w:rsid w:val="00622D79"/>
    <w:rsid w:val="006236F1"/>
    <w:rsid w:val="00627BB9"/>
    <w:rsid w:val="00640066"/>
    <w:rsid w:val="006515B8"/>
    <w:rsid w:val="006570A3"/>
    <w:rsid w:val="006652CE"/>
    <w:rsid w:val="00682BEC"/>
    <w:rsid w:val="006836CD"/>
    <w:rsid w:val="00685659"/>
    <w:rsid w:val="006A1821"/>
    <w:rsid w:val="006A33B0"/>
    <w:rsid w:val="006A5249"/>
    <w:rsid w:val="006A646E"/>
    <w:rsid w:val="006A692B"/>
    <w:rsid w:val="006B18B9"/>
    <w:rsid w:val="006B3442"/>
    <w:rsid w:val="006B7FC5"/>
    <w:rsid w:val="006C40E6"/>
    <w:rsid w:val="006D0A58"/>
    <w:rsid w:val="006D518B"/>
    <w:rsid w:val="006E12D6"/>
    <w:rsid w:val="006E27A8"/>
    <w:rsid w:val="006E443F"/>
    <w:rsid w:val="006F331A"/>
    <w:rsid w:val="006F4F3D"/>
    <w:rsid w:val="00705045"/>
    <w:rsid w:val="007204DC"/>
    <w:rsid w:val="00724318"/>
    <w:rsid w:val="0073152D"/>
    <w:rsid w:val="00731867"/>
    <w:rsid w:val="00731DD2"/>
    <w:rsid w:val="0073235E"/>
    <w:rsid w:val="007504A0"/>
    <w:rsid w:val="00756409"/>
    <w:rsid w:val="007608C3"/>
    <w:rsid w:val="0076117D"/>
    <w:rsid w:val="00784768"/>
    <w:rsid w:val="00790FCC"/>
    <w:rsid w:val="007B1E43"/>
    <w:rsid w:val="007C7016"/>
    <w:rsid w:val="007C729A"/>
    <w:rsid w:val="007D29EA"/>
    <w:rsid w:val="007F066A"/>
    <w:rsid w:val="00804C10"/>
    <w:rsid w:val="0082348C"/>
    <w:rsid w:val="00830572"/>
    <w:rsid w:val="00840E2D"/>
    <w:rsid w:val="0084323E"/>
    <w:rsid w:val="008568A8"/>
    <w:rsid w:val="008705A6"/>
    <w:rsid w:val="00877318"/>
    <w:rsid w:val="00881D01"/>
    <w:rsid w:val="00886070"/>
    <w:rsid w:val="008867D5"/>
    <w:rsid w:val="00886DAF"/>
    <w:rsid w:val="00896F89"/>
    <w:rsid w:val="008A76DE"/>
    <w:rsid w:val="008B53C5"/>
    <w:rsid w:val="008C667C"/>
    <w:rsid w:val="008D0289"/>
    <w:rsid w:val="008D1099"/>
    <w:rsid w:val="008D147B"/>
    <w:rsid w:val="008D7FFD"/>
    <w:rsid w:val="008F2419"/>
    <w:rsid w:val="009070AC"/>
    <w:rsid w:val="00913917"/>
    <w:rsid w:val="0091616B"/>
    <w:rsid w:val="009165F5"/>
    <w:rsid w:val="009205ED"/>
    <w:rsid w:val="009210B2"/>
    <w:rsid w:val="00921D72"/>
    <w:rsid w:val="00937FA9"/>
    <w:rsid w:val="00965D4E"/>
    <w:rsid w:val="00973EAD"/>
    <w:rsid w:val="00981DB8"/>
    <w:rsid w:val="00990D65"/>
    <w:rsid w:val="009971E0"/>
    <w:rsid w:val="009A0D5C"/>
    <w:rsid w:val="009A2632"/>
    <w:rsid w:val="009A57D9"/>
    <w:rsid w:val="009B3F17"/>
    <w:rsid w:val="009D2E21"/>
    <w:rsid w:val="009E63DC"/>
    <w:rsid w:val="009E716E"/>
    <w:rsid w:val="009F07A5"/>
    <w:rsid w:val="009F5792"/>
    <w:rsid w:val="009F5ACC"/>
    <w:rsid w:val="009F7ADB"/>
    <w:rsid w:val="00A03586"/>
    <w:rsid w:val="00A1774A"/>
    <w:rsid w:val="00A30D6A"/>
    <w:rsid w:val="00A3395A"/>
    <w:rsid w:val="00A3606C"/>
    <w:rsid w:val="00A36631"/>
    <w:rsid w:val="00A50E27"/>
    <w:rsid w:val="00A50E45"/>
    <w:rsid w:val="00A53097"/>
    <w:rsid w:val="00A541BE"/>
    <w:rsid w:val="00A75EB6"/>
    <w:rsid w:val="00A900E3"/>
    <w:rsid w:val="00AA5340"/>
    <w:rsid w:val="00AA6868"/>
    <w:rsid w:val="00AC2B23"/>
    <w:rsid w:val="00AC2E7C"/>
    <w:rsid w:val="00AC4099"/>
    <w:rsid w:val="00AD6376"/>
    <w:rsid w:val="00AE07DF"/>
    <w:rsid w:val="00AE3CB6"/>
    <w:rsid w:val="00AF074C"/>
    <w:rsid w:val="00AF569F"/>
    <w:rsid w:val="00B0127A"/>
    <w:rsid w:val="00B1450B"/>
    <w:rsid w:val="00B1620D"/>
    <w:rsid w:val="00B24A20"/>
    <w:rsid w:val="00B3251F"/>
    <w:rsid w:val="00B3397D"/>
    <w:rsid w:val="00B3664F"/>
    <w:rsid w:val="00B4211A"/>
    <w:rsid w:val="00B47325"/>
    <w:rsid w:val="00B57BDB"/>
    <w:rsid w:val="00B60FCA"/>
    <w:rsid w:val="00B81129"/>
    <w:rsid w:val="00B85A5D"/>
    <w:rsid w:val="00B86DD4"/>
    <w:rsid w:val="00B87F59"/>
    <w:rsid w:val="00B95844"/>
    <w:rsid w:val="00BB1B12"/>
    <w:rsid w:val="00BB1E7C"/>
    <w:rsid w:val="00BB3C38"/>
    <w:rsid w:val="00BB6E54"/>
    <w:rsid w:val="00BB7129"/>
    <w:rsid w:val="00BB73CE"/>
    <w:rsid w:val="00BC21EF"/>
    <w:rsid w:val="00BC29F8"/>
    <w:rsid w:val="00BC6613"/>
    <w:rsid w:val="00BE2BBC"/>
    <w:rsid w:val="00BE4D92"/>
    <w:rsid w:val="00BE6875"/>
    <w:rsid w:val="00BF5476"/>
    <w:rsid w:val="00BF57CF"/>
    <w:rsid w:val="00C028E9"/>
    <w:rsid w:val="00C04082"/>
    <w:rsid w:val="00C136E3"/>
    <w:rsid w:val="00C15BCE"/>
    <w:rsid w:val="00C17557"/>
    <w:rsid w:val="00C20460"/>
    <w:rsid w:val="00C25016"/>
    <w:rsid w:val="00C32410"/>
    <w:rsid w:val="00C35B1A"/>
    <w:rsid w:val="00C36E2C"/>
    <w:rsid w:val="00C37144"/>
    <w:rsid w:val="00C64313"/>
    <w:rsid w:val="00C740C5"/>
    <w:rsid w:val="00C8442D"/>
    <w:rsid w:val="00C90949"/>
    <w:rsid w:val="00C91E2C"/>
    <w:rsid w:val="00CA4541"/>
    <w:rsid w:val="00CA5285"/>
    <w:rsid w:val="00CB04D5"/>
    <w:rsid w:val="00CB05E6"/>
    <w:rsid w:val="00CC3264"/>
    <w:rsid w:val="00CD188F"/>
    <w:rsid w:val="00CE7DBD"/>
    <w:rsid w:val="00D01A91"/>
    <w:rsid w:val="00D02844"/>
    <w:rsid w:val="00D0742C"/>
    <w:rsid w:val="00D17E85"/>
    <w:rsid w:val="00D258B3"/>
    <w:rsid w:val="00D36973"/>
    <w:rsid w:val="00D37E3E"/>
    <w:rsid w:val="00D40C5C"/>
    <w:rsid w:val="00D41E02"/>
    <w:rsid w:val="00D46B18"/>
    <w:rsid w:val="00D66745"/>
    <w:rsid w:val="00D74A77"/>
    <w:rsid w:val="00D82F3A"/>
    <w:rsid w:val="00D84AC3"/>
    <w:rsid w:val="00D91D7E"/>
    <w:rsid w:val="00D973F0"/>
    <w:rsid w:val="00DA3892"/>
    <w:rsid w:val="00DB4F0D"/>
    <w:rsid w:val="00DC06A9"/>
    <w:rsid w:val="00DC3119"/>
    <w:rsid w:val="00DE05AB"/>
    <w:rsid w:val="00E01663"/>
    <w:rsid w:val="00E038F3"/>
    <w:rsid w:val="00E0483A"/>
    <w:rsid w:val="00E04876"/>
    <w:rsid w:val="00E17A69"/>
    <w:rsid w:val="00E21D75"/>
    <w:rsid w:val="00E2281C"/>
    <w:rsid w:val="00E24522"/>
    <w:rsid w:val="00E25B36"/>
    <w:rsid w:val="00E32579"/>
    <w:rsid w:val="00E522B6"/>
    <w:rsid w:val="00E5585B"/>
    <w:rsid w:val="00E663BE"/>
    <w:rsid w:val="00E67090"/>
    <w:rsid w:val="00E70B97"/>
    <w:rsid w:val="00E77BA2"/>
    <w:rsid w:val="00E825CE"/>
    <w:rsid w:val="00E90596"/>
    <w:rsid w:val="00ED304F"/>
    <w:rsid w:val="00EE0CC0"/>
    <w:rsid w:val="00EE4185"/>
    <w:rsid w:val="00EF3BEB"/>
    <w:rsid w:val="00EF73D3"/>
    <w:rsid w:val="00F011BD"/>
    <w:rsid w:val="00F02E64"/>
    <w:rsid w:val="00F1022D"/>
    <w:rsid w:val="00F111EC"/>
    <w:rsid w:val="00F12858"/>
    <w:rsid w:val="00F128FF"/>
    <w:rsid w:val="00F13877"/>
    <w:rsid w:val="00F162FD"/>
    <w:rsid w:val="00F1729D"/>
    <w:rsid w:val="00F22D51"/>
    <w:rsid w:val="00F24563"/>
    <w:rsid w:val="00F27896"/>
    <w:rsid w:val="00F33350"/>
    <w:rsid w:val="00F33CD9"/>
    <w:rsid w:val="00F358BF"/>
    <w:rsid w:val="00F37FB9"/>
    <w:rsid w:val="00F40102"/>
    <w:rsid w:val="00F46225"/>
    <w:rsid w:val="00F47525"/>
    <w:rsid w:val="00F53983"/>
    <w:rsid w:val="00F56BD0"/>
    <w:rsid w:val="00F614F5"/>
    <w:rsid w:val="00F72FD9"/>
    <w:rsid w:val="00F84831"/>
    <w:rsid w:val="00F932D5"/>
    <w:rsid w:val="00F933FF"/>
    <w:rsid w:val="00FA08CF"/>
    <w:rsid w:val="00FA3C45"/>
    <w:rsid w:val="00FB6157"/>
    <w:rsid w:val="00FB7D88"/>
    <w:rsid w:val="00FC2F39"/>
    <w:rsid w:val="00FC6668"/>
    <w:rsid w:val="00FD1AE5"/>
    <w:rsid w:val="00FD283A"/>
    <w:rsid w:val="00FD3129"/>
    <w:rsid w:val="00FD50D7"/>
    <w:rsid w:val="00FE4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8438"/>
  <w15:chartTrackingRefBased/>
  <w15:docId w15:val="{4F2C1F5E-08FA-A64E-AA16-75833138F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A58"/>
    <w:pPr>
      <w:autoSpaceDE w:val="0"/>
      <w:autoSpaceDN w:val="0"/>
      <w:adjustRightInd w:val="0"/>
      <w:jc w:val="both"/>
    </w:pPr>
    <w:rPr>
      <w:rFonts w:ascii="Times New Roman" w:hAnsi="Times New Roman" w:cs="Times New Roman"/>
    </w:rPr>
  </w:style>
  <w:style w:type="paragraph" w:styleId="Heading1">
    <w:name w:val="heading 1"/>
    <w:basedOn w:val="Normal"/>
    <w:next w:val="Normal"/>
    <w:link w:val="Heading1Char"/>
    <w:uiPriority w:val="9"/>
    <w:qFormat/>
    <w:rsid w:val="00237D8A"/>
    <w:pPr>
      <w:keepNext/>
      <w:keepLines/>
      <w:spacing w:before="240" w:after="240"/>
      <w:outlineLvl w:val="0"/>
    </w:pPr>
    <w:rPr>
      <w:rFonts w:eastAsiaTheme="majorEastAsia"/>
      <w:b/>
      <w:bCs/>
      <w:shd w:val="clear" w:color="auto" w:fill="FFFFFF"/>
    </w:rPr>
  </w:style>
  <w:style w:type="paragraph" w:styleId="Heading2">
    <w:name w:val="heading 2"/>
    <w:basedOn w:val="Normal"/>
    <w:next w:val="Normal"/>
    <w:link w:val="Heading2Char"/>
    <w:uiPriority w:val="9"/>
    <w:unhideWhenUsed/>
    <w:qFormat/>
    <w:rsid w:val="005272A5"/>
    <w:pPr>
      <w:keepNext/>
      <w:keepLines/>
      <w:spacing w:before="40"/>
      <w:outlineLvl w:val="1"/>
    </w:pPr>
    <w:rPr>
      <w:rFonts w:eastAsiaTheme="majorEastAsia"/>
      <w:b/>
      <w:bCs/>
    </w:rPr>
  </w:style>
  <w:style w:type="paragraph" w:styleId="Heading3">
    <w:name w:val="heading 3"/>
    <w:basedOn w:val="Heading4"/>
    <w:next w:val="Normal"/>
    <w:link w:val="Heading3Char"/>
    <w:uiPriority w:val="9"/>
    <w:unhideWhenUsed/>
    <w:qFormat/>
    <w:rsid w:val="005272A5"/>
    <w:pPr>
      <w:outlineLvl w:val="2"/>
    </w:pPr>
    <w:rPr>
      <w:rFonts w:ascii="Times New Roman" w:hAnsi="Times New Roman" w:cs="Times New Roman"/>
      <w:color w:val="000000" w:themeColor="text1"/>
    </w:rPr>
  </w:style>
  <w:style w:type="paragraph" w:styleId="Heading4">
    <w:name w:val="heading 4"/>
    <w:basedOn w:val="Normal"/>
    <w:next w:val="Normal"/>
    <w:link w:val="Heading4Char"/>
    <w:uiPriority w:val="9"/>
    <w:semiHidden/>
    <w:unhideWhenUsed/>
    <w:qFormat/>
    <w:rsid w:val="005272A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9">
    <w:name w:val="heading 9"/>
    <w:basedOn w:val="Normal"/>
    <w:next w:val="Normal"/>
    <w:link w:val="Heading9Char"/>
    <w:uiPriority w:val="9"/>
    <w:semiHidden/>
    <w:unhideWhenUsed/>
    <w:qFormat/>
    <w:rsid w:val="003D53D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D8A"/>
    <w:rPr>
      <w:rFonts w:ascii="Times New Roman" w:eastAsiaTheme="majorEastAsia" w:hAnsi="Times New Roman" w:cs="Times New Roman"/>
      <w:b/>
      <w:bCs/>
    </w:rPr>
  </w:style>
  <w:style w:type="character" w:customStyle="1" w:styleId="Heading2Char">
    <w:name w:val="Heading 2 Char"/>
    <w:basedOn w:val="DefaultParagraphFont"/>
    <w:link w:val="Heading2"/>
    <w:uiPriority w:val="9"/>
    <w:rsid w:val="005272A5"/>
    <w:rPr>
      <w:rFonts w:ascii="Times New Roman" w:eastAsiaTheme="majorEastAsia" w:hAnsi="Times New Roman" w:cs="Times New Roman"/>
      <w:b/>
      <w:bCs/>
    </w:rPr>
  </w:style>
  <w:style w:type="paragraph" w:styleId="ListParagraph">
    <w:name w:val="List Paragraph"/>
    <w:basedOn w:val="Normal"/>
    <w:uiPriority w:val="34"/>
    <w:qFormat/>
    <w:rsid w:val="00E32579"/>
    <w:pPr>
      <w:ind w:left="720"/>
      <w:contextualSpacing/>
    </w:pPr>
  </w:style>
  <w:style w:type="character" w:styleId="CommentReference">
    <w:name w:val="annotation reference"/>
    <w:basedOn w:val="DefaultParagraphFont"/>
    <w:uiPriority w:val="99"/>
    <w:semiHidden/>
    <w:unhideWhenUsed/>
    <w:rsid w:val="00C37144"/>
    <w:rPr>
      <w:sz w:val="16"/>
      <w:szCs w:val="16"/>
    </w:rPr>
  </w:style>
  <w:style w:type="paragraph" w:styleId="CommentText">
    <w:name w:val="annotation text"/>
    <w:basedOn w:val="Normal"/>
    <w:link w:val="CommentTextChar"/>
    <w:uiPriority w:val="99"/>
    <w:unhideWhenUsed/>
    <w:rsid w:val="00C37144"/>
    <w:rPr>
      <w:sz w:val="20"/>
      <w:szCs w:val="20"/>
    </w:rPr>
  </w:style>
  <w:style w:type="character" w:customStyle="1" w:styleId="CommentTextChar">
    <w:name w:val="Comment Text Char"/>
    <w:basedOn w:val="DefaultParagraphFont"/>
    <w:link w:val="CommentText"/>
    <w:uiPriority w:val="99"/>
    <w:rsid w:val="00C37144"/>
    <w:rPr>
      <w:rFonts w:ascii="Times New Roman" w:hAnsi="Times New Roman"/>
      <w:sz w:val="20"/>
      <w:szCs w:val="20"/>
    </w:rPr>
  </w:style>
  <w:style w:type="character" w:customStyle="1" w:styleId="Heading3Char">
    <w:name w:val="Heading 3 Char"/>
    <w:basedOn w:val="DefaultParagraphFont"/>
    <w:link w:val="Heading3"/>
    <w:uiPriority w:val="9"/>
    <w:rsid w:val="005272A5"/>
    <w:rPr>
      <w:rFonts w:ascii="Times New Roman" w:eastAsiaTheme="majorEastAsia" w:hAnsi="Times New Roman" w:cs="Times New Roman"/>
      <w:i/>
      <w:iCs/>
      <w:color w:val="000000" w:themeColor="text1"/>
    </w:rPr>
  </w:style>
  <w:style w:type="paragraph" w:styleId="Title">
    <w:name w:val="Title"/>
    <w:basedOn w:val="Normal"/>
    <w:next w:val="Normal"/>
    <w:link w:val="TitleChar"/>
    <w:uiPriority w:val="10"/>
    <w:qFormat/>
    <w:rsid w:val="004170CE"/>
    <w:pPr>
      <w:contextualSpacing/>
      <w:jc w:val="center"/>
    </w:pPr>
    <w:rPr>
      <w:rFonts w:eastAsiaTheme="majorEastAsia"/>
      <w:b/>
      <w:bCs/>
      <w:color w:val="000000" w:themeColor="text1"/>
      <w:spacing w:val="-10"/>
      <w:kern w:val="28"/>
      <w:sz w:val="32"/>
      <w:szCs w:val="32"/>
    </w:rPr>
  </w:style>
  <w:style w:type="character" w:customStyle="1" w:styleId="TitleChar">
    <w:name w:val="Title Char"/>
    <w:basedOn w:val="DefaultParagraphFont"/>
    <w:link w:val="Title"/>
    <w:uiPriority w:val="10"/>
    <w:rsid w:val="004170CE"/>
    <w:rPr>
      <w:rFonts w:ascii="Times New Roman" w:eastAsiaTheme="majorEastAsia" w:hAnsi="Times New Roman" w:cs="Times New Roman"/>
      <w:b/>
      <w:bCs/>
      <w:color w:val="000000" w:themeColor="text1"/>
      <w:spacing w:val="-10"/>
      <w:kern w:val="28"/>
      <w:sz w:val="32"/>
      <w:szCs w:val="32"/>
    </w:rPr>
  </w:style>
  <w:style w:type="character" w:customStyle="1" w:styleId="Heading4Char">
    <w:name w:val="Heading 4 Char"/>
    <w:basedOn w:val="DefaultParagraphFont"/>
    <w:link w:val="Heading4"/>
    <w:uiPriority w:val="9"/>
    <w:semiHidden/>
    <w:rsid w:val="005272A5"/>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473F4D"/>
    <w:rPr>
      <w:color w:val="808080"/>
    </w:rPr>
  </w:style>
  <w:style w:type="paragraph" w:styleId="Revision">
    <w:name w:val="Revision"/>
    <w:hidden/>
    <w:uiPriority w:val="99"/>
    <w:semiHidden/>
    <w:rsid w:val="00E04876"/>
    <w:rPr>
      <w:rFonts w:ascii="Times New Roman" w:hAnsi="Times New Roman" w:cs="Times New Roman"/>
    </w:rPr>
  </w:style>
  <w:style w:type="paragraph" w:customStyle="1" w:styleId="Captions">
    <w:name w:val="Captions"/>
    <w:basedOn w:val="Heading9"/>
    <w:next w:val="Normal"/>
    <w:qFormat/>
    <w:rsid w:val="003D53D5"/>
    <w:pPr>
      <w:autoSpaceDE/>
      <w:autoSpaceDN/>
      <w:adjustRightInd/>
      <w:spacing w:before="0" w:after="120"/>
    </w:pPr>
    <w:rPr>
      <w:rFonts w:ascii="Times New Roman" w:hAnsi="Times New Roman"/>
      <w:i w:val="0"/>
      <w:sz w:val="24"/>
    </w:rPr>
  </w:style>
  <w:style w:type="paragraph" w:customStyle="1" w:styleId="Captionnote">
    <w:name w:val="Caption note"/>
    <w:basedOn w:val="Normal"/>
    <w:next w:val="Normal"/>
    <w:qFormat/>
    <w:rsid w:val="003D53D5"/>
    <w:pPr>
      <w:autoSpaceDE/>
      <w:autoSpaceDN/>
      <w:adjustRightInd/>
      <w:spacing w:after="360"/>
    </w:pPr>
    <w:rPr>
      <w:rFonts w:cstheme="minorBidi"/>
    </w:rPr>
  </w:style>
  <w:style w:type="character" w:customStyle="1" w:styleId="Heading9Char">
    <w:name w:val="Heading 9 Char"/>
    <w:basedOn w:val="DefaultParagraphFont"/>
    <w:link w:val="Heading9"/>
    <w:uiPriority w:val="9"/>
    <w:semiHidden/>
    <w:rsid w:val="003D53D5"/>
    <w:rPr>
      <w:rFonts w:asciiTheme="majorHAnsi" w:eastAsiaTheme="majorEastAsia" w:hAnsiTheme="majorHAnsi" w:cstheme="majorBidi"/>
      <w:i/>
      <w:iCs/>
      <w:color w:val="272727" w:themeColor="text1" w:themeTint="D8"/>
      <w:sz w:val="21"/>
      <w:szCs w:val="21"/>
    </w:rPr>
  </w:style>
  <w:style w:type="paragraph" w:styleId="CommentSubject">
    <w:name w:val="annotation subject"/>
    <w:basedOn w:val="CommentText"/>
    <w:next w:val="CommentText"/>
    <w:link w:val="CommentSubjectChar"/>
    <w:uiPriority w:val="99"/>
    <w:semiHidden/>
    <w:unhideWhenUsed/>
    <w:rsid w:val="009A2632"/>
    <w:rPr>
      <w:b/>
      <w:bCs/>
    </w:rPr>
  </w:style>
  <w:style w:type="character" w:customStyle="1" w:styleId="CommentSubjectChar">
    <w:name w:val="Comment Subject Char"/>
    <w:basedOn w:val="CommentTextChar"/>
    <w:link w:val="CommentSubject"/>
    <w:uiPriority w:val="99"/>
    <w:semiHidden/>
    <w:rsid w:val="009A2632"/>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53302">
      <w:bodyDiv w:val="1"/>
      <w:marLeft w:val="0"/>
      <w:marRight w:val="0"/>
      <w:marTop w:val="0"/>
      <w:marBottom w:val="0"/>
      <w:divBdr>
        <w:top w:val="none" w:sz="0" w:space="0" w:color="auto"/>
        <w:left w:val="none" w:sz="0" w:space="0" w:color="auto"/>
        <w:bottom w:val="none" w:sz="0" w:space="0" w:color="auto"/>
        <w:right w:val="none" w:sz="0" w:space="0" w:color="auto"/>
      </w:divBdr>
    </w:div>
    <w:div w:id="64765762">
      <w:bodyDiv w:val="1"/>
      <w:marLeft w:val="0"/>
      <w:marRight w:val="0"/>
      <w:marTop w:val="0"/>
      <w:marBottom w:val="0"/>
      <w:divBdr>
        <w:top w:val="none" w:sz="0" w:space="0" w:color="auto"/>
        <w:left w:val="none" w:sz="0" w:space="0" w:color="auto"/>
        <w:bottom w:val="none" w:sz="0" w:space="0" w:color="auto"/>
        <w:right w:val="none" w:sz="0" w:space="0" w:color="auto"/>
      </w:divBdr>
      <w:divsChild>
        <w:div w:id="111557999">
          <w:marLeft w:val="640"/>
          <w:marRight w:val="0"/>
          <w:marTop w:val="0"/>
          <w:marBottom w:val="0"/>
          <w:divBdr>
            <w:top w:val="none" w:sz="0" w:space="0" w:color="auto"/>
            <w:left w:val="none" w:sz="0" w:space="0" w:color="auto"/>
            <w:bottom w:val="none" w:sz="0" w:space="0" w:color="auto"/>
            <w:right w:val="none" w:sz="0" w:space="0" w:color="auto"/>
          </w:divBdr>
        </w:div>
        <w:div w:id="1903179937">
          <w:marLeft w:val="640"/>
          <w:marRight w:val="0"/>
          <w:marTop w:val="0"/>
          <w:marBottom w:val="0"/>
          <w:divBdr>
            <w:top w:val="none" w:sz="0" w:space="0" w:color="auto"/>
            <w:left w:val="none" w:sz="0" w:space="0" w:color="auto"/>
            <w:bottom w:val="none" w:sz="0" w:space="0" w:color="auto"/>
            <w:right w:val="none" w:sz="0" w:space="0" w:color="auto"/>
          </w:divBdr>
        </w:div>
        <w:div w:id="237522130">
          <w:marLeft w:val="640"/>
          <w:marRight w:val="0"/>
          <w:marTop w:val="0"/>
          <w:marBottom w:val="0"/>
          <w:divBdr>
            <w:top w:val="none" w:sz="0" w:space="0" w:color="auto"/>
            <w:left w:val="none" w:sz="0" w:space="0" w:color="auto"/>
            <w:bottom w:val="none" w:sz="0" w:space="0" w:color="auto"/>
            <w:right w:val="none" w:sz="0" w:space="0" w:color="auto"/>
          </w:divBdr>
        </w:div>
        <w:div w:id="774247617">
          <w:marLeft w:val="640"/>
          <w:marRight w:val="0"/>
          <w:marTop w:val="0"/>
          <w:marBottom w:val="0"/>
          <w:divBdr>
            <w:top w:val="none" w:sz="0" w:space="0" w:color="auto"/>
            <w:left w:val="none" w:sz="0" w:space="0" w:color="auto"/>
            <w:bottom w:val="none" w:sz="0" w:space="0" w:color="auto"/>
            <w:right w:val="none" w:sz="0" w:space="0" w:color="auto"/>
          </w:divBdr>
        </w:div>
        <w:div w:id="769473137">
          <w:marLeft w:val="640"/>
          <w:marRight w:val="0"/>
          <w:marTop w:val="0"/>
          <w:marBottom w:val="0"/>
          <w:divBdr>
            <w:top w:val="none" w:sz="0" w:space="0" w:color="auto"/>
            <w:left w:val="none" w:sz="0" w:space="0" w:color="auto"/>
            <w:bottom w:val="none" w:sz="0" w:space="0" w:color="auto"/>
            <w:right w:val="none" w:sz="0" w:space="0" w:color="auto"/>
          </w:divBdr>
        </w:div>
        <w:div w:id="631907099">
          <w:marLeft w:val="640"/>
          <w:marRight w:val="0"/>
          <w:marTop w:val="0"/>
          <w:marBottom w:val="0"/>
          <w:divBdr>
            <w:top w:val="none" w:sz="0" w:space="0" w:color="auto"/>
            <w:left w:val="none" w:sz="0" w:space="0" w:color="auto"/>
            <w:bottom w:val="none" w:sz="0" w:space="0" w:color="auto"/>
            <w:right w:val="none" w:sz="0" w:space="0" w:color="auto"/>
          </w:divBdr>
        </w:div>
        <w:div w:id="1290362008">
          <w:marLeft w:val="640"/>
          <w:marRight w:val="0"/>
          <w:marTop w:val="0"/>
          <w:marBottom w:val="0"/>
          <w:divBdr>
            <w:top w:val="none" w:sz="0" w:space="0" w:color="auto"/>
            <w:left w:val="none" w:sz="0" w:space="0" w:color="auto"/>
            <w:bottom w:val="none" w:sz="0" w:space="0" w:color="auto"/>
            <w:right w:val="none" w:sz="0" w:space="0" w:color="auto"/>
          </w:divBdr>
        </w:div>
        <w:div w:id="1510412122">
          <w:marLeft w:val="640"/>
          <w:marRight w:val="0"/>
          <w:marTop w:val="0"/>
          <w:marBottom w:val="0"/>
          <w:divBdr>
            <w:top w:val="none" w:sz="0" w:space="0" w:color="auto"/>
            <w:left w:val="none" w:sz="0" w:space="0" w:color="auto"/>
            <w:bottom w:val="none" w:sz="0" w:space="0" w:color="auto"/>
            <w:right w:val="none" w:sz="0" w:space="0" w:color="auto"/>
          </w:divBdr>
        </w:div>
        <w:div w:id="147089699">
          <w:marLeft w:val="640"/>
          <w:marRight w:val="0"/>
          <w:marTop w:val="0"/>
          <w:marBottom w:val="0"/>
          <w:divBdr>
            <w:top w:val="none" w:sz="0" w:space="0" w:color="auto"/>
            <w:left w:val="none" w:sz="0" w:space="0" w:color="auto"/>
            <w:bottom w:val="none" w:sz="0" w:space="0" w:color="auto"/>
            <w:right w:val="none" w:sz="0" w:space="0" w:color="auto"/>
          </w:divBdr>
        </w:div>
      </w:divsChild>
    </w:div>
    <w:div w:id="214465836">
      <w:bodyDiv w:val="1"/>
      <w:marLeft w:val="0"/>
      <w:marRight w:val="0"/>
      <w:marTop w:val="0"/>
      <w:marBottom w:val="0"/>
      <w:divBdr>
        <w:top w:val="none" w:sz="0" w:space="0" w:color="auto"/>
        <w:left w:val="none" w:sz="0" w:space="0" w:color="auto"/>
        <w:bottom w:val="none" w:sz="0" w:space="0" w:color="auto"/>
        <w:right w:val="none" w:sz="0" w:space="0" w:color="auto"/>
      </w:divBdr>
    </w:div>
    <w:div w:id="280114199">
      <w:bodyDiv w:val="1"/>
      <w:marLeft w:val="0"/>
      <w:marRight w:val="0"/>
      <w:marTop w:val="0"/>
      <w:marBottom w:val="0"/>
      <w:divBdr>
        <w:top w:val="none" w:sz="0" w:space="0" w:color="auto"/>
        <w:left w:val="none" w:sz="0" w:space="0" w:color="auto"/>
        <w:bottom w:val="none" w:sz="0" w:space="0" w:color="auto"/>
        <w:right w:val="none" w:sz="0" w:space="0" w:color="auto"/>
      </w:divBdr>
    </w:div>
    <w:div w:id="308824034">
      <w:bodyDiv w:val="1"/>
      <w:marLeft w:val="0"/>
      <w:marRight w:val="0"/>
      <w:marTop w:val="0"/>
      <w:marBottom w:val="0"/>
      <w:divBdr>
        <w:top w:val="none" w:sz="0" w:space="0" w:color="auto"/>
        <w:left w:val="none" w:sz="0" w:space="0" w:color="auto"/>
        <w:bottom w:val="none" w:sz="0" w:space="0" w:color="auto"/>
        <w:right w:val="none" w:sz="0" w:space="0" w:color="auto"/>
      </w:divBdr>
      <w:divsChild>
        <w:div w:id="104741138">
          <w:marLeft w:val="0"/>
          <w:marRight w:val="0"/>
          <w:marTop w:val="0"/>
          <w:marBottom w:val="0"/>
          <w:divBdr>
            <w:top w:val="none" w:sz="0" w:space="0" w:color="auto"/>
            <w:left w:val="none" w:sz="0" w:space="0" w:color="auto"/>
            <w:bottom w:val="none" w:sz="0" w:space="0" w:color="auto"/>
            <w:right w:val="none" w:sz="0" w:space="0" w:color="auto"/>
          </w:divBdr>
        </w:div>
        <w:div w:id="2056923150">
          <w:marLeft w:val="0"/>
          <w:marRight w:val="0"/>
          <w:marTop w:val="0"/>
          <w:marBottom w:val="0"/>
          <w:divBdr>
            <w:top w:val="none" w:sz="0" w:space="0" w:color="auto"/>
            <w:left w:val="none" w:sz="0" w:space="0" w:color="auto"/>
            <w:bottom w:val="none" w:sz="0" w:space="0" w:color="auto"/>
            <w:right w:val="none" w:sz="0" w:space="0" w:color="auto"/>
          </w:divBdr>
        </w:div>
        <w:div w:id="697434507">
          <w:marLeft w:val="0"/>
          <w:marRight w:val="0"/>
          <w:marTop w:val="0"/>
          <w:marBottom w:val="0"/>
          <w:divBdr>
            <w:top w:val="none" w:sz="0" w:space="0" w:color="auto"/>
            <w:left w:val="none" w:sz="0" w:space="0" w:color="auto"/>
            <w:bottom w:val="none" w:sz="0" w:space="0" w:color="auto"/>
            <w:right w:val="none" w:sz="0" w:space="0" w:color="auto"/>
          </w:divBdr>
        </w:div>
        <w:div w:id="1000085508">
          <w:marLeft w:val="0"/>
          <w:marRight w:val="0"/>
          <w:marTop w:val="0"/>
          <w:marBottom w:val="0"/>
          <w:divBdr>
            <w:top w:val="none" w:sz="0" w:space="0" w:color="auto"/>
            <w:left w:val="none" w:sz="0" w:space="0" w:color="auto"/>
            <w:bottom w:val="none" w:sz="0" w:space="0" w:color="auto"/>
            <w:right w:val="none" w:sz="0" w:space="0" w:color="auto"/>
          </w:divBdr>
        </w:div>
        <w:div w:id="1814440633">
          <w:marLeft w:val="0"/>
          <w:marRight w:val="0"/>
          <w:marTop w:val="0"/>
          <w:marBottom w:val="0"/>
          <w:divBdr>
            <w:top w:val="none" w:sz="0" w:space="0" w:color="auto"/>
            <w:left w:val="none" w:sz="0" w:space="0" w:color="auto"/>
            <w:bottom w:val="none" w:sz="0" w:space="0" w:color="auto"/>
            <w:right w:val="none" w:sz="0" w:space="0" w:color="auto"/>
          </w:divBdr>
        </w:div>
        <w:div w:id="553395456">
          <w:marLeft w:val="0"/>
          <w:marRight w:val="0"/>
          <w:marTop w:val="0"/>
          <w:marBottom w:val="0"/>
          <w:divBdr>
            <w:top w:val="none" w:sz="0" w:space="0" w:color="auto"/>
            <w:left w:val="none" w:sz="0" w:space="0" w:color="auto"/>
            <w:bottom w:val="none" w:sz="0" w:space="0" w:color="auto"/>
            <w:right w:val="none" w:sz="0" w:space="0" w:color="auto"/>
          </w:divBdr>
        </w:div>
        <w:div w:id="235630471">
          <w:marLeft w:val="0"/>
          <w:marRight w:val="0"/>
          <w:marTop w:val="0"/>
          <w:marBottom w:val="0"/>
          <w:divBdr>
            <w:top w:val="none" w:sz="0" w:space="0" w:color="auto"/>
            <w:left w:val="none" w:sz="0" w:space="0" w:color="auto"/>
            <w:bottom w:val="none" w:sz="0" w:space="0" w:color="auto"/>
            <w:right w:val="none" w:sz="0" w:space="0" w:color="auto"/>
          </w:divBdr>
        </w:div>
        <w:div w:id="1174564282">
          <w:marLeft w:val="0"/>
          <w:marRight w:val="0"/>
          <w:marTop w:val="0"/>
          <w:marBottom w:val="0"/>
          <w:divBdr>
            <w:top w:val="none" w:sz="0" w:space="0" w:color="auto"/>
            <w:left w:val="none" w:sz="0" w:space="0" w:color="auto"/>
            <w:bottom w:val="none" w:sz="0" w:space="0" w:color="auto"/>
            <w:right w:val="none" w:sz="0" w:space="0" w:color="auto"/>
          </w:divBdr>
        </w:div>
      </w:divsChild>
    </w:div>
    <w:div w:id="327249137">
      <w:bodyDiv w:val="1"/>
      <w:marLeft w:val="0"/>
      <w:marRight w:val="0"/>
      <w:marTop w:val="0"/>
      <w:marBottom w:val="0"/>
      <w:divBdr>
        <w:top w:val="none" w:sz="0" w:space="0" w:color="auto"/>
        <w:left w:val="none" w:sz="0" w:space="0" w:color="auto"/>
        <w:bottom w:val="none" w:sz="0" w:space="0" w:color="auto"/>
        <w:right w:val="none" w:sz="0" w:space="0" w:color="auto"/>
      </w:divBdr>
    </w:div>
    <w:div w:id="454756020">
      <w:bodyDiv w:val="1"/>
      <w:marLeft w:val="0"/>
      <w:marRight w:val="0"/>
      <w:marTop w:val="0"/>
      <w:marBottom w:val="0"/>
      <w:divBdr>
        <w:top w:val="none" w:sz="0" w:space="0" w:color="auto"/>
        <w:left w:val="none" w:sz="0" w:space="0" w:color="auto"/>
        <w:bottom w:val="none" w:sz="0" w:space="0" w:color="auto"/>
        <w:right w:val="none" w:sz="0" w:space="0" w:color="auto"/>
      </w:divBdr>
    </w:div>
    <w:div w:id="473064537">
      <w:bodyDiv w:val="1"/>
      <w:marLeft w:val="0"/>
      <w:marRight w:val="0"/>
      <w:marTop w:val="0"/>
      <w:marBottom w:val="0"/>
      <w:divBdr>
        <w:top w:val="none" w:sz="0" w:space="0" w:color="auto"/>
        <w:left w:val="none" w:sz="0" w:space="0" w:color="auto"/>
        <w:bottom w:val="none" w:sz="0" w:space="0" w:color="auto"/>
        <w:right w:val="none" w:sz="0" w:space="0" w:color="auto"/>
      </w:divBdr>
    </w:div>
    <w:div w:id="625937557">
      <w:bodyDiv w:val="1"/>
      <w:marLeft w:val="0"/>
      <w:marRight w:val="0"/>
      <w:marTop w:val="0"/>
      <w:marBottom w:val="0"/>
      <w:divBdr>
        <w:top w:val="none" w:sz="0" w:space="0" w:color="auto"/>
        <w:left w:val="none" w:sz="0" w:space="0" w:color="auto"/>
        <w:bottom w:val="none" w:sz="0" w:space="0" w:color="auto"/>
        <w:right w:val="none" w:sz="0" w:space="0" w:color="auto"/>
      </w:divBdr>
      <w:divsChild>
        <w:div w:id="2133593878">
          <w:marLeft w:val="0"/>
          <w:marRight w:val="0"/>
          <w:marTop w:val="0"/>
          <w:marBottom w:val="0"/>
          <w:divBdr>
            <w:top w:val="none" w:sz="0" w:space="0" w:color="auto"/>
            <w:left w:val="none" w:sz="0" w:space="0" w:color="auto"/>
            <w:bottom w:val="none" w:sz="0" w:space="0" w:color="auto"/>
            <w:right w:val="none" w:sz="0" w:space="0" w:color="auto"/>
          </w:divBdr>
        </w:div>
        <w:div w:id="1229877298">
          <w:marLeft w:val="0"/>
          <w:marRight w:val="0"/>
          <w:marTop w:val="0"/>
          <w:marBottom w:val="0"/>
          <w:divBdr>
            <w:top w:val="none" w:sz="0" w:space="0" w:color="auto"/>
            <w:left w:val="none" w:sz="0" w:space="0" w:color="auto"/>
            <w:bottom w:val="none" w:sz="0" w:space="0" w:color="auto"/>
            <w:right w:val="none" w:sz="0" w:space="0" w:color="auto"/>
          </w:divBdr>
        </w:div>
        <w:div w:id="1757022027">
          <w:marLeft w:val="0"/>
          <w:marRight w:val="0"/>
          <w:marTop w:val="0"/>
          <w:marBottom w:val="0"/>
          <w:divBdr>
            <w:top w:val="none" w:sz="0" w:space="0" w:color="auto"/>
            <w:left w:val="none" w:sz="0" w:space="0" w:color="auto"/>
            <w:bottom w:val="none" w:sz="0" w:space="0" w:color="auto"/>
            <w:right w:val="none" w:sz="0" w:space="0" w:color="auto"/>
          </w:divBdr>
        </w:div>
        <w:div w:id="1292243433">
          <w:marLeft w:val="0"/>
          <w:marRight w:val="0"/>
          <w:marTop w:val="0"/>
          <w:marBottom w:val="0"/>
          <w:divBdr>
            <w:top w:val="none" w:sz="0" w:space="0" w:color="auto"/>
            <w:left w:val="none" w:sz="0" w:space="0" w:color="auto"/>
            <w:bottom w:val="none" w:sz="0" w:space="0" w:color="auto"/>
            <w:right w:val="none" w:sz="0" w:space="0" w:color="auto"/>
          </w:divBdr>
        </w:div>
        <w:div w:id="720400428">
          <w:marLeft w:val="0"/>
          <w:marRight w:val="0"/>
          <w:marTop w:val="0"/>
          <w:marBottom w:val="0"/>
          <w:divBdr>
            <w:top w:val="none" w:sz="0" w:space="0" w:color="auto"/>
            <w:left w:val="none" w:sz="0" w:space="0" w:color="auto"/>
            <w:bottom w:val="none" w:sz="0" w:space="0" w:color="auto"/>
            <w:right w:val="none" w:sz="0" w:space="0" w:color="auto"/>
          </w:divBdr>
        </w:div>
        <w:div w:id="2020426856">
          <w:marLeft w:val="0"/>
          <w:marRight w:val="0"/>
          <w:marTop w:val="0"/>
          <w:marBottom w:val="0"/>
          <w:divBdr>
            <w:top w:val="none" w:sz="0" w:space="0" w:color="auto"/>
            <w:left w:val="none" w:sz="0" w:space="0" w:color="auto"/>
            <w:bottom w:val="none" w:sz="0" w:space="0" w:color="auto"/>
            <w:right w:val="none" w:sz="0" w:space="0" w:color="auto"/>
          </w:divBdr>
        </w:div>
        <w:div w:id="2012683261">
          <w:marLeft w:val="0"/>
          <w:marRight w:val="0"/>
          <w:marTop w:val="0"/>
          <w:marBottom w:val="0"/>
          <w:divBdr>
            <w:top w:val="none" w:sz="0" w:space="0" w:color="auto"/>
            <w:left w:val="none" w:sz="0" w:space="0" w:color="auto"/>
            <w:bottom w:val="none" w:sz="0" w:space="0" w:color="auto"/>
            <w:right w:val="none" w:sz="0" w:space="0" w:color="auto"/>
          </w:divBdr>
        </w:div>
        <w:div w:id="1060519182">
          <w:marLeft w:val="0"/>
          <w:marRight w:val="0"/>
          <w:marTop w:val="0"/>
          <w:marBottom w:val="0"/>
          <w:divBdr>
            <w:top w:val="none" w:sz="0" w:space="0" w:color="auto"/>
            <w:left w:val="none" w:sz="0" w:space="0" w:color="auto"/>
            <w:bottom w:val="none" w:sz="0" w:space="0" w:color="auto"/>
            <w:right w:val="none" w:sz="0" w:space="0" w:color="auto"/>
          </w:divBdr>
        </w:div>
        <w:div w:id="1451819119">
          <w:marLeft w:val="0"/>
          <w:marRight w:val="0"/>
          <w:marTop w:val="0"/>
          <w:marBottom w:val="0"/>
          <w:divBdr>
            <w:top w:val="none" w:sz="0" w:space="0" w:color="auto"/>
            <w:left w:val="none" w:sz="0" w:space="0" w:color="auto"/>
            <w:bottom w:val="none" w:sz="0" w:space="0" w:color="auto"/>
            <w:right w:val="none" w:sz="0" w:space="0" w:color="auto"/>
          </w:divBdr>
        </w:div>
      </w:divsChild>
    </w:div>
    <w:div w:id="640384208">
      <w:bodyDiv w:val="1"/>
      <w:marLeft w:val="0"/>
      <w:marRight w:val="0"/>
      <w:marTop w:val="0"/>
      <w:marBottom w:val="0"/>
      <w:divBdr>
        <w:top w:val="none" w:sz="0" w:space="0" w:color="auto"/>
        <w:left w:val="none" w:sz="0" w:space="0" w:color="auto"/>
        <w:bottom w:val="none" w:sz="0" w:space="0" w:color="auto"/>
        <w:right w:val="none" w:sz="0" w:space="0" w:color="auto"/>
      </w:divBdr>
    </w:div>
    <w:div w:id="744305963">
      <w:bodyDiv w:val="1"/>
      <w:marLeft w:val="0"/>
      <w:marRight w:val="0"/>
      <w:marTop w:val="0"/>
      <w:marBottom w:val="0"/>
      <w:divBdr>
        <w:top w:val="none" w:sz="0" w:space="0" w:color="auto"/>
        <w:left w:val="none" w:sz="0" w:space="0" w:color="auto"/>
        <w:bottom w:val="none" w:sz="0" w:space="0" w:color="auto"/>
        <w:right w:val="none" w:sz="0" w:space="0" w:color="auto"/>
      </w:divBdr>
      <w:divsChild>
        <w:div w:id="688408348">
          <w:marLeft w:val="0"/>
          <w:marRight w:val="0"/>
          <w:marTop w:val="0"/>
          <w:marBottom w:val="0"/>
          <w:divBdr>
            <w:top w:val="none" w:sz="0" w:space="0" w:color="auto"/>
            <w:left w:val="none" w:sz="0" w:space="0" w:color="auto"/>
            <w:bottom w:val="none" w:sz="0" w:space="0" w:color="auto"/>
            <w:right w:val="none" w:sz="0" w:space="0" w:color="auto"/>
          </w:divBdr>
        </w:div>
        <w:div w:id="684290150">
          <w:marLeft w:val="0"/>
          <w:marRight w:val="0"/>
          <w:marTop w:val="0"/>
          <w:marBottom w:val="0"/>
          <w:divBdr>
            <w:top w:val="none" w:sz="0" w:space="0" w:color="auto"/>
            <w:left w:val="none" w:sz="0" w:space="0" w:color="auto"/>
            <w:bottom w:val="none" w:sz="0" w:space="0" w:color="auto"/>
            <w:right w:val="none" w:sz="0" w:space="0" w:color="auto"/>
          </w:divBdr>
        </w:div>
        <w:div w:id="777063581">
          <w:marLeft w:val="0"/>
          <w:marRight w:val="0"/>
          <w:marTop w:val="0"/>
          <w:marBottom w:val="0"/>
          <w:divBdr>
            <w:top w:val="none" w:sz="0" w:space="0" w:color="auto"/>
            <w:left w:val="none" w:sz="0" w:space="0" w:color="auto"/>
            <w:bottom w:val="none" w:sz="0" w:space="0" w:color="auto"/>
            <w:right w:val="none" w:sz="0" w:space="0" w:color="auto"/>
          </w:divBdr>
        </w:div>
        <w:div w:id="1615554899">
          <w:marLeft w:val="0"/>
          <w:marRight w:val="0"/>
          <w:marTop w:val="0"/>
          <w:marBottom w:val="0"/>
          <w:divBdr>
            <w:top w:val="none" w:sz="0" w:space="0" w:color="auto"/>
            <w:left w:val="none" w:sz="0" w:space="0" w:color="auto"/>
            <w:bottom w:val="none" w:sz="0" w:space="0" w:color="auto"/>
            <w:right w:val="none" w:sz="0" w:space="0" w:color="auto"/>
          </w:divBdr>
        </w:div>
        <w:div w:id="1097212558">
          <w:marLeft w:val="0"/>
          <w:marRight w:val="0"/>
          <w:marTop w:val="0"/>
          <w:marBottom w:val="0"/>
          <w:divBdr>
            <w:top w:val="none" w:sz="0" w:space="0" w:color="auto"/>
            <w:left w:val="none" w:sz="0" w:space="0" w:color="auto"/>
            <w:bottom w:val="none" w:sz="0" w:space="0" w:color="auto"/>
            <w:right w:val="none" w:sz="0" w:space="0" w:color="auto"/>
          </w:divBdr>
        </w:div>
        <w:div w:id="953944832">
          <w:marLeft w:val="0"/>
          <w:marRight w:val="0"/>
          <w:marTop w:val="0"/>
          <w:marBottom w:val="0"/>
          <w:divBdr>
            <w:top w:val="none" w:sz="0" w:space="0" w:color="auto"/>
            <w:left w:val="none" w:sz="0" w:space="0" w:color="auto"/>
            <w:bottom w:val="none" w:sz="0" w:space="0" w:color="auto"/>
            <w:right w:val="none" w:sz="0" w:space="0" w:color="auto"/>
          </w:divBdr>
        </w:div>
        <w:div w:id="169639514">
          <w:marLeft w:val="0"/>
          <w:marRight w:val="0"/>
          <w:marTop w:val="0"/>
          <w:marBottom w:val="0"/>
          <w:divBdr>
            <w:top w:val="none" w:sz="0" w:space="0" w:color="auto"/>
            <w:left w:val="none" w:sz="0" w:space="0" w:color="auto"/>
            <w:bottom w:val="none" w:sz="0" w:space="0" w:color="auto"/>
            <w:right w:val="none" w:sz="0" w:space="0" w:color="auto"/>
          </w:divBdr>
        </w:div>
        <w:div w:id="2115903064">
          <w:marLeft w:val="0"/>
          <w:marRight w:val="0"/>
          <w:marTop w:val="0"/>
          <w:marBottom w:val="0"/>
          <w:divBdr>
            <w:top w:val="none" w:sz="0" w:space="0" w:color="auto"/>
            <w:left w:val="none" w:sz="0" w:space="0" w:color="auto"/>
            <w:bottom w:val="none" w:sz="0" w:space="0" w:color="auto"/>
            <w:right w:val="none" w:sz="0" w:space="0" w:color="auto"/>
          </w:divBdr>
        </w:div>
        <w:div w:id="408962361">
          <w:marLeft w:val="0"/>
          <w:marRight w:val="0"/>
          <w:marTop w:val="0"/>
          <w:marBottom w:val="0"/>
          <w:divBdr>
            <w:top w:val="none" w:sz="0" w:space="0" w:color="auto"/>
            <w:left w:val="none" w:sz="0" w:space="0" w:color="auto"/>
            <w:bottom w:val="none" w:sz="0" w:space="0" w:color="auto"/>
            <w:right w:val="none" w:sz="0" w:space="0" w:color="auto"/>
          </w:divBdr>
        </w:div>
      </w:divsChild>
    </w:div>
    <w:div w:id="776564468">
      <w:bodyDiv w:val="1"/>
      <w:marLeft w:val="0"/>
      <w:marRight w:val="0"/>
      <w:marTop w:val="0"/>
      <w:marBottom w:val="0"/>
      <w:divBdr>
        <w:top w:val="none" w:sz="0" w:space="0" w:color="auto"/>
        <w:left w:val="none" w:sz="0" w:space="0" w:color="auto"/>
        <w:bottom w:val="none" w:sz="0" w:space="0" w:color="auto"/>
        <w:right w:val="none" w:sz="0" w:space="0" w:color="auto"/>
      </w:divBdr>
    </w:div>
    <w:div w:id="800999671">
      <w:bodyDiv w:val="1"/>
      <w:marLeft w:val="0"/>
      <w:marRight w:val="0"/>
      <w:marTop w:val="0"/>
      <w:marBottom w:val="0"/>
      <w:divBdr>
        <w:top w:val="none" w:sz="0" w:space="0" w:color="auto"/>
        <w:left w:val="none" w:sz="0" w:space="0" w:color="auto"/>
        <w:bottom w:val="none" w:sz="0" w:space="0" w:color="auto"/>
        <w:right w:val="none" w:sz="0" w:space="0" w:color="auto"/>
      </w:divBdr>
      <w:divsChild>
        <w:div w:id="1823615270">
          <w:marLeft w:val="0"/>
          <w:marRight w:val="0"/>
          <w:marTop w:val="0"/>
          <w:marBottom w:val="0"/>
          <w:divBdr>
            <w:top w:val="none" w:sz="0" w:space="0" w:color="auto"/>
            <w:left w:val="none" w:sz="0" w:space="0" w:color="auto"/>
            <w:bottom w:val="none" w:sz="0" w:space="0" w:color="auto"/>
            <w:right w:val="none" w:sz="0" w:space="0" w:color="auto"/>
          </w:divBdr>
        </w:div>
        <w:div w:id="633603552">
          <w:marLeft w:val="0"/>
          <w:marRight w:val="0"/>
          <w:marTop w:val="0"/>
          <w:marBottom w:val="0"/>
          <w:divBdr>
            <w:top w:val="none" w:sz="0" w:space="0" w:color="auto"/>
            <w:left w:val="none" w:sz="0" w:space="0" w:color="auto"/>
            <w:bottom w:val="none" w:sz="0" w:space="0" w:color="auto"/>
            <w:right w:val="none" w:sz="0" w:space="0" w:color="auto"/>
          </w:divBdr>
        </w:div>
        <w:div w:id="1860121858">
          <w:marLeft w:val="0"/>
          <w:marRight w:val="0"/>
          <w:marTop w:val="0"/>
          <w:marBottom w:val="0"/>
          <w:divBdr>
            <w:top w:val="none" w:sz="0" w:space="0" w:color="auto"/>
            <w:left w:val="none" w:sz="0" w:space="0" w:color="auto"/>
            <w:bottom w:val="none" w:sz="0" w:space="0" w:color="auto"/>
            <w:right w:val="none" w:sz="0" w:space="0" w:color="auto"/>
          </w:divBdr>
        </w:div>
        <w:div w:id="754547271">
          <w:marLeft w:val="0"/>
          <w:marRight w:val="0"/>
          <w:marTop w:val="0"/>
          <w:marBottom w:val="0"/>
          <w:divBdr>
            <w:top w:val="none" w:sz="0" w:space="0" w:color="auto"/>
            <w:left w:val="none" w:sz="0" w:space="0" w:color="auto"/>
            <w:bottom w:val="none" w:sz="0" w:space="0" w:color="auto"/>
            <w:right w:val="none" w:sz="0" w:space="0" w:color="auto"/>
          </w:divBdr>
        </w:div>
        <w:div w:id="796995835">
          <w:marLeft w:val="0"/>
          <w:marRight w:val="0"/>
          <w:marTop w:val="0"/>
          <w:marBottom w:val="0"/>
          <w:divBdr>
            <w:top w:val="none" w:sz="0" w:space="0" w:color="auto"/>
            <w:left w:val="none" w:sz="0" w:space="0" w:color="auto"/>
            <w:bottom w:val="none" w:sz="0" w:space="0" w:color="auto"/>
            <w:right w:val="none" w:sz="0" w:space="0" w:color="auto"/>
          </w:divBdr>
        </w:div>
        <w:div w:id="484125269">
          <w:marLeft w:val="0"/>
          <w:marRight w:val="0"/>
          <w:marTop w:val="0"/>
          <w:marBottom w:val="0"/>
          <w:divBdr>
            <w:top w:val="none" w:sz="0" w:space="0" w:color="auto"/>
            <w:left w:val="none" w:sz="0" w:space="0" w:color="auto"/>
            <w:bottom w:val="none" w:sz="0" w:space="0" w:color="auto"/>
            <w:right w:val="none" w:sz="0" w:space="0" w:color="auto"/>
          </w:divBdr>
        </w:div>
        <w:div w:id="605430759">
          <w:marLeft w:val="0"/>
          <w:marRight w:val="0"/>
          <w:marTop w:val="0"/>
          <w:marBottom w:val="0"/>
          <w:divBdr>
            <w:top w:val="none" w:sz="0" w:space="0" w:color="auto"/>
            <w:left w:val="none" w:sz="0" w:space="0" w:color="auto"/>
            <w:bottom w:val="none" w:sz="0" w:space="0" w:color="auto"/>
            <w:right w:val="none" w:sz="0" w:space="0" w:color="auto"/>
          </w:divBdr>
        </w:div>
        <w:div w:id="1596473687">
          <w:marLeft w:val="0"/>
          <w:marRight w:val="0"/>
          <w:marTop w:val="0"/>
          <w:marBottom w:val="0"/>
          <w:divBdr>
            <w:top w:val="none" w:sz="0" w:space="0" w:color="auto"/>
            <w:left w:val="none" w:sz="0" w:space="0" w:color="auto"/>
            <w:bottom w:val="none" w:sz="0" w:space="0" w:color="auto"/>
            <w:right w:val="none" w:sz="0" w:space="0" w:color="auto"/>
          </w:divBdr>
        </w:div>
        <w:div w:id="952203263">
          <w:marLeft w:val="0"/>
          <w:marRight w:val="0"/>
          <w:marTop w:val="0"/>
          <w:marBottom w:val="0"/>
          <w:divBdr>
            <w:top w:val="none" w:sz="0" w:space="0" w:color="auto"/>
            <w:left w:val="none" w:sz="0" w:space="0" w:color="auto"/>
            <w:bottom w:val="none" w:sz="0" w:space="0" w:color="auto"/>
            <w:right w:val="none" w:sz="0" w:space="0" w:color="auto"/>
          </w:divBdr>
        </w:div>
      </w:divsChild>
    </w:div>
    <w:div w:id="886572581">
      <w:bodyDiv w:val="1"/>
      <w:marLeft w:val="0"/>
      <w:marRight w:val="0"/>
      <w:marTop w:val="0"/>
      <w:marBottom w:val="0"/>
      <w:divBdr>
        <w:top w:val="none" w:sz="0" w:space="0" w:color="auto"/>
        <w:left w:val="none" w:sz="0" w:space="0" w:color="auto"/>
        <w:bottom w:val="none" w:sz="0" w:space="0" w:color="auto"/>
        <w:right w:val="none" w:sz="0" w:space="0" w:color="auto"/>
      </w:divBdr>
    </w:div>
    <w:div w:id="1044598649">
      <w:bodyDiv w:val="1"/>
      <w:marLeft w:val="0"/>
      <w:marRight w:val="0"/>
      <w:marTop w:val="0"/>
      <w:marBottom w:val="0"/>
      <w:divBdr>
        <w:top w:val="none" w:sz="0" w:space="0" w:color="auto"/>
        <w:left w:val="none" w:sz="0" w:space="0" w:color="auto"/>
        <w:bottom w:val="none" w:sz="0" w:space="0" w:color="auto"/>
        <w:right w:val="none" w:sz="0" w:space="0" w:color="auto"/>
      </w:divBdr>
    </w:div>
    <w:div w:id="1363282434">
      <w:bodyDiv w:val="1"/>
      <w:marLeft w:val="0"/>
      <w:marRight w:val="0"/>
      <w:marTop w:val="0"/>
      <w:marBottom w:val="0"/>
      <w:divBdr>
        <w:top w:val="none" w:sz="0" w:space="0" w:color="auto"/>
        <w:left w:val="none" w:sz="0" w:space="0" w:color="auto"/>
        <w:bottom w:val="none" w:sz="0" w:space="0" w:color="auto"/>
        <w:right w:val="none" w:sz="0" w:space="0" w:color="auto"/>
      </w:divBdr>
      <w:divsChild>
        <w:div w:id="1799369724">
          <w:marLeft w:val="0"/>
          <w:marRight w:val="0"/>
          <w:marTop w:val="0"/>
          <w:marBottom w:val="0"/>
          <w:divBdr>
            <w:top w:val="none" w:sz="0" w:space="0" w:color="auto"/>
            <w:left w:val="none" w:sz="0" w:space="0" w:color="auto"/>
            <w:bottom w:val="none" w:sz="0" w:space="0" w:color="auto"/>
            <w:right w:val="none" w:sz="0" w:space="0" w:color="auto"/>
          </w:divBdr>
        </w:div>
        <w:div w:id="1461877394">
          <w:marLeft w:val="0"/>
          <w:marRight w:val="0"/>
          <w:marTop w:val="0"/>
          <w:marBottom w:val="0"/>
          <w:divBdr>
            <w:top w:val="none" w:sz="0" w:space="0" w:color="auto"/>
            <w:left w:val="none" w:sz="0" w:space="0" w:color="auto"/>
            <w:bottom w:val="none" w:sz="0" w:space="0" w:color="auto"/>
            <w:right w:val="none" w:sz="0" w:space="0" w:color="auto"/>
          </w:divBdr>
        </w:div>
        <w:div w:id="1623072027">
          <w:marLeft w:val="0"/>
          <w:marRight w:val="0"/>
          <w:marTop w:val="0"/>
          <w:marBottom w:val="0"/>
          <w:divBdr>
            <w:top w:val="none" w:sz="0" w:space="0" w:color="auto"/>
            <w:left w:val="none" w:sz="0" w:space="0" w:color="auto"/>
            <w:bottom w:val="none" w:sz="0" w:space="0" w:color="auto"/>
            <w:right w:val="none" w:sz="0" w:space="0" w:color="auto"/>
          </w:divBdr>
        </w:div>
        <w:div w:id="410081189">
          <w:marLeft w:val="0"/>
          <w:marRight w:val="0"/>
          <w:marTop w:val="0"/>
          <w:marBottom w:val="0"/>
          <w:divBdr>
            <w:top w:val="none" w:sz="0" w:space="0" w:color="auto"/>
            <w:left w:val="none" w:sz="0" w:space="0" w:color="auto"/>
            <w:bottom w:val="none" w:sz="0" w:space="0" w:color="auto"/>
            <w:right w:val="none" w:sz="0" w:space="0" w:color="auto"/>
          </w:divBdr>
        </w:div>
        <w:div w:id="2110854240">
          <w:marLeft w:val="0"/>
          <w:marRight w:val="0"/>
          <w:marTop w:val="0"/>
          <w:marBottom w:val="0"/>
          <w:divBdr>
            <w:top w:val="none" w:sz="0" w:space="0" w:color="auto"/>
            <w:left w:val="none" w:sz="0" w:space="0" w:color="auto"/>
            <w:bottom w:val="none" w:sz="0" w:space="0" w:color="auto"/>
            <w:right w:val="none" w:sz="0" w:space="0" w:color="auto"/>
          </w:divBdr>
        </w:div>
        <w:div w:id="869949030">
          <w:marLeft w:val="0"/>
          <w:marRight w:val="0"/>
          <w:marTop w:val="0"/>
          <w:marBottom w:val="0"/>
          <w:divBdr>
            <w:top w:val="none" w:sz="0" w:space="0" w:color="auto"/>
            <w:left w:val="none" w:sz="0" w:space="0" w:color="auto"/>
            <w:bottom w:val="none" w:sz="0" w:space="0" w:color="auto"/>
            <w:right w:val="none" w:sz="0" w:space="0" w:color="auto"/>
          </w:divBdr>
        </w:div>
        <w:div w:id="396244980">
          <w:marLeft w:val="0"/>
          <w:marRight w:val="0"/>
          <w:marTop w:val="0"/>
          <w:marBottom w:val="0"/>
          <w:divBdr>
            <w:top w:val="none" w:sz="0" w:space="0" w:color="auto"/>
            <w:left w:val="none" w:sz="0" w:space="0" w:color="auto"/>
            <w:bottom w:val="none" w:sz="0" w:space="0" w:color="auto"/>
            <w:right w:val="none" w:sz="0" w:space="0" w:color="auto"/>
          </w:divBdr>
        </w:div>
        <w:div w:id="631447808">
          <w:marLeft w:val="0"/>
          <w:marRight w:val="0"/>
          <w:marTop w:val="0"/>
          <w:marBottom w:val="0"/>
          <w:divBdr>
            <w:top w:val="none" w:sz="0" w:space="0" w:color="auto"/>
            <w:left w:val="none" w:sz="0" w:space="0" w:color="auto"/>
            <w:bottom w:val="none" w:sz="0" w:space="0" w:color="auto"/>
            <w:right w:val="none" w:sz="0" w:space="0" w:color="auto"/>
          </w:divBdr>
        </w:div>
        <w:div w:id="463930357">
          <w:marLeft w:val="0"/>
          <w:marRight w:val="0"/>
          <w:marTop w:val="0"/>
          <w:marBottom w:val="0"/>
          <w:divBdr>
            <w:top w:val="none" w:sz="0" w:space="0" w:color="auto"/>
            <w:left w:val="none" w:sz="0" w:space="0" w:color="auto"/>
            <w:bottom w:val="none" w:sz="0" w:space="0" w:color="auto"/>
            <w:right w:val="none" w:sz="0" w:space="0" w:color="auto"/>
          </w:divBdr>
        </w:div>
      </w:divsChild>
    </w:div>
    <w:div w:id="1394081839">
      <w:bodyDiv w:val="1"/>
      <w:marLeft w:val="0"/>
      <w:marRight w:val="0"/>
      <w:marTop w:val="0"/>
      <w:marBottom w:val="0"/>
      <w:divBdr>
        <w:top w:val="none" w:sz="0" w:space="0" w:color="auto"/>
        <w:left w:val="none" w:sz="0" w:space="0" w:color="auto"/>
        <w:bottom w:val="none" w:sz="0" w:space="0" w:color="auto"/>
        <w:right w:val="none" w:sz="0" w:space="0" w:color="auto"/>
      </w:divBdr>
      <w:divsChild>
        <w:div w:id="1148477164">
          <w:marLeft w:val="0"/>
          <w:marRight w:val="0"/>
          <w:marTop w:val="0"/>
          <w:marBottom w:val="0"/>
          <w:divBdr>
            <w:top w:val="none" w:sz="0" w:space="0" w:color="auto"/>
            <w:left w:val="none" w:sz="0" w:space="0" w:color="auto"/>
            <w:bottom w:val="none" w:sz="0" w:space="0" w:color="auto"/>
            <w:right w:val="none" w:sz="0" w:space="0" w:color="auto"/>
          </w:divBdr>
        </w:div>
        <w:div w:id="892541092">
          <w:marLeft w:val="0"/>
          <w:marRight w:val="0"/>
          <w:marTop w:val="0"/>
          <w:marBottom w:val="0"/>
          <w:divBdr>
            <w:top w:val="none" w:sz="0" w:space="0" w:color="auto"/>
            <w:left w:val="none" w:sz="0" w:space="0" w:color="auto"/>
            <w:bottom w:val="none" w:sz="0" w:space="0" w:color="auto"/>
            <w:right w:val="none" w:sz="0" w:space="0" w:color="auto"/>
          </w:divBdr>
        </w:div>
        <w:div w:id="1492792297">
          <w:marLeft w:val="0"/>
          <w:marRight w:val="0"/>
          <w:marTop w:val="0"/>
          <w:marBottom w:val="0"/>
          <w:divBdr>
            <w:top w:val="none" w:sz="0" w:space="0" w:color="auto"/>
            <w:left w:val="none" w:sz="0" w:space="0" w:color="auto"/>
            <w:bottom w:val="none" w:sz="0" w:space="0" w:color="auto"/>
            <w:right w:val="none" w:sz="0" w:space="0" w:color="auto"/>
          </w:divBdr>
        </w:div>
        <w:div w:id="20015980">
          <w:marLeft w:val="0"/>
          <w:marRight w:val="0"/>
          <w:marTop w:val="0"/>
          <w:marBottom w:val="0"/>
          <w:divBdr>
            <w:top w:val="none" w:sz="0" w:space="0" w:color="auto"/>
            <w:left w:val="none" w:sz="0" w:space="0" w:color="auto"/>
            <w:bottom w:val="none" w:sz="0" w:space="0" w:color="auto"/>
            <w:right w:val="none" w:sz="0" w:space="0" w:color="auto"/>
          </w:divBdr>
        </w:div>
        <w:div w:id="1209798195">
          <w:marLeft w:val="0"/>
          <w:marRight w:val="0"/>
          <w:marTop w:val="0"/>
          <w:marBottom w:val="0"/>
          <w:divBdr>
            <w:top w:val="none" w:sz="0" w:space="0" w:color="auto"/>
            <w:left w:val="none" w:sz="0" w:space="0" w:color="auto"/>
            <w:bottom w:val="none" w:sz="0" w:space="0" w:color="auto"/>
            <w:right w:val="none" w:sz="0" w:space="0" w:color="auto"/>
          </w:divBdr>
        </w:div>
        <w:div w:id="1326470675">
          <w:marLeft w:val="0"/>
          <w:marRight w:val="0"/>
          <w:marTop w:val="0"/>
          <w:marBottom w:val="0"/>
          <w:divBdr>
            <w:top w:val="none" w:sz="0" w:space="0" w:color="auto"/>
            <w:left w:val="none" w:sz="0" w:space="0" w:color="auto"/>
            <w:bottom w:val="none" w:sz="0" w:space="0" w:color="auto"/>
            <w:right w:val="none" w:sz="0" w:space="0" w:color="auto"/>
          </w:divBdr>
        </w:div>
        <w:div w:id="1262029195">
          <w:marLeft w:val="0"/>
          <w:marRight w:val="0"/>
          <w:marTop w:val="0"/>
          <w:marBottom w:val="0"/>
          <w:divBdr>
            <w:top w:val="none" w:sz="0" w:space="0" w:color="auto"/>
            <w:left w:val="none" w:sz="0" w:space="0" w:color="auto"/>
            <w:bottom w:val="none" w:sz="0" w:space="0" w:color="auto"/>
            <w:right w:val="none" w:sz="0" w:space="0" w:color="auto"/>
          </w:divBdr>
        </w:div>
        <w:div w:id="797376941">
          <w:marLeft w:val="0"/>
          <w:marRight w:val="0"/>
          <w:marTop w:val="0"/>
          <w:marBottom w:val="0"/>
          <w:divBdr>
            <w:top w:val="none" w:sz="0" w:space="0" w:color="auto"/>
            <w:left w:val="none" w:sz="0" w:space="0" w:color="auto"/>
            <w:bottom w:val="none" w:sz="0" w:space="0" w:color="auto"/>
            <w:right w:val="none" w:sz="0" w:space="0" w:color="auto"/>
          </w:divBdr>
        </w:div>
      </w:divsChild>
    </w:div>
    <w:div w:id="1426993353">
      <w:bodyDiv w:val="1"/>
      <w:marLeft w:val="0"/>
      <w:marRight w:val="0"/>
      <w:marTop w:val="0"/>
      <w:marBottom w:val="0"/>
      <w:divBdr>
        <w:top w:val="none" w:sz="0" w:space="0" w:color="auto"/>
        <w:left w:val="none" w:sz="0" w:space="0" w:color="auto"/>
        <w:bottom w:val="none" w:sz="0" w:space="0" w:color="auto"/>
        <w:right w:val="none" w:sz="0" w:space="0" w:color="auto"/>
      </w:divBdr>
      <w:divsChild>
        <w:div w:id="89132979">
          <w:marLeft w:val="0"/>
          <w:marRight w:val="0"/>
          <w:marTop w:val="0"/>
          <w:marBottom w:val="0"/>
          <w:divBdr>
            <w:top w:val="none" w:sz="0" w:space="0" w:color="auto"/>
            <w:left w:val="none" w:sz="0" w:space="0" w:color="auto"/>
            <w:bottom w:val="none" w:sz="0" w:space="0" w:color="auto"/>
            <w:right w:val="none" w:sz="0" w:space="0" w:color="auto"/>
          </w:divBdr>
        </w:div>
        <w:div w:id="1608384726">
          <w:marLeft w:val="0"/>
          <w:marRight w:val="0"/>
          <w:marTop w:val="0"/>
          <w:marBottom w:val="0"/>
          <w:divBdr>
            <w:top w:val="none" w:sz="0" w:space="0" w:color="auto"/>
            <w:left w:val="none" w:sz="0" w:space="0" w:color="auto"/>
            <w:bottom w:val="none" w:sz="0" w:space="0" w:color="auto"/>
            <w:right w:val="none" w:sz="0" w:space="0" w:color="auto"/>
          </w:divBdr>
        </w:div>
        <w:div w:id="391467172">
          <w:marLeft w:val="0"/>
          <w:marRight w:val="0"/>
          <w:marTop w:val="0"/>
          <w:marBottom w:val="0"/>
          <w:divBdr>
            <w:top w:val="none" w:sz="0" w:space="0" w:color="auto"/>
            <w:left w:val="none" w:sz="0" w:space="0" w:color="auto"/>
            <w:bottom w:val="none" w:sz="0" w:space="0" w:color="auto"/>
            <w:right w:val="none" w:sz="0" w:space="0" w:color="auto"/>
          </w:divBdr>
        </w:div>
        <w:div w:id="902299715">
          <w:marLeft w:val="0"/>
          <w:marRight w:val="0"/>
          <w:marTop w:val="0"/>
          <w:marBottom w:val="0"/>
          <w:divBdr>
            <w:top w:val="none" w:sz="0" w:space="0" w:color="auto"/>
            <w:left w:val="none" w:sz="0" w:space="0" w:color="auto"/>
            <w:bottom w:val="none" w:sz="0" w:space="0" w:color="auto"/>
            <w:right w:val="none" w:sz="0" w:space="0" w:color="auto"/>
          </w:divBdr>
        </w:div>
        <w:div w:id="608202548">
          <w:marLeft w:val="0"/>
          <w:marRight w:val="0"/>
          <w:marTop w:val="0"/>
          <w:marBottom w:val="0"/>
          <w:divBdr>
            <w:top w:val="none" w:sz="0" w:space="0" w:color="auto"/>
            <w:left w:val="none" w:sz="0" w:space="0" w:color="auto"/>
            <w:bottom w:val="none" w:sz="0" w:space="0" w:color="auto"/>
            <w:right w:val="none" w:sz="0" w:space="0" w:color="auto"/>
          </w:divBdr>
        </w:div>
        <w:div w:id="1366053123">
          <w:marLeft w:val="0"/>
          <w:marRight w:val="0"/>
          <w:marTop w:val="0"/>
          <w:marBottom w:val="0"/>
          <w:divBdr>
            <w:top w:val="none" w:sz="0" w:space="0" w:color="auto"/>
            <w:left w:val="none" w:sz="0" w:space="0" w:color="auto"/>
            <w:bottom w:val="none" w:sz="0" w:space="0" w:color="auto"/>
            <w:right w:val="none" w:sz="0" w:space="0" w:color="auto"/>
          </w:divBdr>
        </w:div>
        <w:div w:id="90782518">
          <w:marLeft w:val="0"/>
          <w:marRight w:val="0"/>
          <w:marTop w:val="0"/>
          <w:marBottom w:val="0"/>
          <w:divBdr>
            <w:top w:val="none" w:sz="0" w:space="0" w:color="auto"/>
            <w:left w:val="none" w:sz="0" w:space="0" w:color="auto"/>
            <w:bottom w:val="none" w:sz="0" w:space="0" w:color="auto"/>
            <w:right w:val="none" w:sz="0" w:space="0" w:color="auto"/>
          </w:divBdr>
        </w:div>
        <w:div w:id="237060997">
          <w:marLeft w:val="0"/>
          <w:marRight w:val="0"/>
          <w:marTop w:val="0"/>
          <w:marBottom w:val="0"/>
          <w:divBdr>
            <w:top w:val="none" w:sz="0" w:space="0" w:color="auto"/>
            <w:left w:val="none" w:sz="0" w:space="0" w:color="auto"/>
            <w:bottom w:val="none" w:sz="0" w:space="0" w:color="auto"/>
            <w:right w:val="none" w:sz="0" w:space="0" w:color="auto"/>
          </w:divBdr>
        </w:div>
      </w:divsChild>
    </w:div>
    <w:div w:id="1427075095">
      <w:bodyDiv w:val="1"/>
      <w:marLeft w:val="0"/>
      <w:marRight w:val="0"/>
      <w:marTop w:val="0"/>
      <w:marBottom w:val="0"/>
      <w:divBdr>
        <w:top w:val="none" w:sz="0" w:space="0" w:color="auto"/>
        <w:left w:val="none" w:sz="0" w:space="0" w:color="auto"/>
        <w:bottom w:val="none" w:sz="0" w:space="0" w:color="auto"/>
        <w:right w:val="none" w:sz="0" w:space="0" w:color="auto"/>
      </w:divBdr>
    </w:div>
    <w:div w:id="1495948081">
      <w:bodyDiv w:val="1"/>
      <w:marLeft w:val="0"/>
      <w:marRight w:val="0"/>
      <w:marTop w:val="0"/>
      <w:marBottom w:val="0"/>
      <w:divBdr>
        <w:top w:val="none" w:sz="0" w:space="0" w:color="auto"/>
        <w:left w:val="none" w:sz="0" w:space="0" w:color="auto"/>
        <w:bottom w:val="none" w:sz="0" w:space="0" w:color="auto"/>
        <w:right w:val="none" w:sz="0" w:space="0" w:color="auto"/>
      </w:divBdr>
    </w:div>
    <w:div w:id="1506244374">
      <w:bodyDiv w:val="1"/>
      <w:marLeft w:val="0"/>
      <w:marRight w:val="0"/>
      <w:marTop w:val="0"/>
      <w:marBottom w:val="0"/>
      <w:divBdr>
        <w:top w:val="none" w:sz="0" w:space="0" w:color="auto"/>
        <w:left w:val="none" w:sz="0" w:space="0" w:color="auto"/>
        <w:bottom w:val="none" w:sz="0" w:space="0" w:color="auto"/>
        <w:right w:val="none" w:sz="0" w:space="0" w:color="auto"/>
      </w:divBdr>
    </w:div>
    <w:div w:id="1507480911">
      <w:bodyDiv w:val="1"/>
      <w:marLeft w:val="0"/>
      <w:marRight w:val="0"/>
      <w:marTop w:val="0"/>
      <w:marBottom w:val="0"/>
      <w:divBdr>
        <w:top w:val="none" w:sz="0" w:space="0" w:color="auto"/>
        <w:left w:val="none" w:sz="0" w:space="0" w:color="auto"/>
        <w:bottom w:val="none" w:sz="0" w:space="0" w:color="auto"/>
        <w:right w:val="none" w:sz="0" w:space="0" w:color="auto"/>
      </w:divBdr>
    </w:div>
    <w:div w:id="1542093045">
      <w:bodyDiv w:val="1"/>
      <w:marLeft w:val="0"/>
      <w:marRight w:val="0"/>
      <w:marTop w:val="0"/>
      <w:marBottom w:val="0"/>
      <w:divBdr>
        <w:top w:val="none" w:sz="0" w:space="0" w:color="auto"/>
        <w:left w:val="none" w:sz="0" w:space="0" w:color="auto"/>
        <w:bottom w:val="none" w:sz="0" w:space="0" w:color="auto"/>
        <w:right w:val="none" w:sz="0" w:space="0" w:color="auto"/>
      </w:divBdr>
    </w:div>
    <w:div w:id="1561210895">
      <w:bodyDiv w:val="1"/>
      <w:marLeft w:val="0"/>
      <w:marRight w:val="0"/>
      <w:marTop w:val="0"/>
      <w:marBottom w:val="0"/>
      <w:divBdr>
        <w:top w:val="none" w:sz="0" w:space="0" w:color="auto"/>
        <w:left w:val="none" w:sz="0" w:space="0" w:color="auto"/>
        <w:bottom w:val="none" w:sz="0" w:space="0" w:color="auto"/>
        <w:right w:val="none" w:sz="0" w:space="0" w:color="auto"/>
      </w:divBdr>
    </w:div>
    <w:div w:id="1702584279">
      <w:bodyDiv w:val="1"/>
      <w:marLeft w:val="0"/>
      <w:marRight w:val="0"/>
      <w:marTop w:val="0"/>
      <w:marBottom w:val="0"/>
      <w:divBdr>
        <w:top w:val="none" w:sz="0" w:space="0" w:color="auto"/>
        <w:left w:val="none" w:sz="0" w:space="0" w:color="auto"/>
        <w:bottom w:val="none" w:sz="0" w:space="0" w:color="auto"/>
        <w:right w:val="none" w:sz="0" w:space="0" w:color="auto"/>
      </w:divBdr>
      <w:divsChild>
        <w:div w:id="1547257686">
          <w:marLeft w:val="0"/>
          <w:marRight w:val="0"/>
          <w:marTop w:val="0"/>
          <w:marBottom w:val="0"/>
          <w:divBdr>
            <w:top w:val="none" w:sz="0" w:space="0" w:color="auto"/>
            <w:left w:val="none" w:sz="0" w:space="0" w:color="auto"/>
            <w:bottom w:val="none" w:sz="0" w:space="0" w:color="auto"/>
            <w:right w:val="none" w:sz="0" w:space="0" w:color="auto"/>
          </w:divBdr>
        </w:div>
        <w:div w:id="1025252837">
          <w:marLeft w:val="0"/>
          <w:marRight w:val="0"/>
          <w:marTop w:val="0"/>
          <w:marBottom w:val="0"/>
          <w:divBdr>
            <w:top w:val="none" w:sz="0" w:space="0" w:color="auto"/>
            <w:left w:val="none" w:sz="0" w:space="0" w:color="auto"/>
            <w:bottom w:val="none" w:sz="0" w:space="0" w:color="auto"/>
            <w:right w:val="none" w:sz="0" w:space="0" w:color="auto"/>
          </w:divBdr>
        </w:div>
        <w:div w:id="1939488021">
          <w:marLeft w:val="0"/>
          <w:marRight w:val="0"/>
          <w:marTop w:val="0"/>
          <w:marBottom w:val="0"/>
          <w:divBdr>
            <w:top w:val="none" w:sz="0" w:space="0" w:color="auto"/>
            <w:left w:val="none" w:sz="0" w:space="0" w:color="auto"/>
            <w:bottom w:val="none" w:sz="0" w:space="0" w:color="auto"/>
            <w:right w:val="none" w:sz="0" w:space="0" w:color="auto"/>
          </w:divBdr>
        </w:div>
        <w:div w:id="1665280607">
          <w:marLeft w:val="0"/>
          <w:marRight w:val="0"/>
          <w:marTop w:val="0"/>
          <w:marBottom w:val="0"/>
          <w:divBdr>
            <w:top w:val="none" w:sz="0" w:space="0" w:color="auto"/>
            <w:left w:val="none" w:sz="0" w:space="0" w:color="auto"/>
            <w:bottom w:val="none" w:sz="0" w:space="0" w:color="auto"/>
            <w:right w:val="none" w:sz="0" w:space="0" w:color="auto"/>
          </w:divBdr>
        </w:div>
        <w:div w:id="296448508">
          <w:marLeft w:val="0"/>
          <w:marRight w:val="0"/>
          <w:marTop w:val="0"/>
          <w:marBottom w:val="0"/>
          <w:divBdr>
            <w:top w:val="none" w:sz="0" w:space="0" w:color="auto"/>
            <w:left w:val="none" w:sz="0" w:space="0" w:color="auto"/>
            <w:bottom w:val="none" w:sz="0" w:space="0" w:color="auto"/>
            <w:right w:val="none" w:sz="0" w:space="0" w:color="auto"/>
          </w:divBdr>
        </w:div>
        <w:div w:id="1906791849">
          <w:marLeft w:val="0"/>
          <w:marRight w:val="0"/>
          <w:marTop w:val="0"/>
          <w:marBottom w:val="0"/>
          <w:divBdr>
            <w:top w:val="none" w:sz="0" w:space="0" w:color="auto"/>
            <w:left w:val="none" w:sz="0" w:space="0" w:color="auto"/>
            <w:bottom w:val="none" w:sz="0" w:space="0" w:color="auto"/>
            <w:right w:val="none" w:sz="0" w:space="0" w:color="auto"/>
          </w:divBdr>
        </w:div>
        <w:div w:id="1376852332">
          <w:marLeft w:val="0"/>
          <w:marRight w:val="0"/>
          <w:marTop w:val="0"/>
          <w:marBottom w:val="0"/>
          <w:divBdr>
            <w:top w:val="none" w:sz="0" w:space="0" w:color="auto"/>
            <w:left w:val="none" w:sz="0" w:space="0" w:color="auto"/>
            <w:bottom w:val="none" w:sz="0" w:space="0" w:color="auto"/>
            <w:right w:val="none" w:sz="0" w:space="0" w:color="auto"/>
          </w:divBdr>
        </w:div>
      </w:divsChild>
    </w:div>
    <w:div w:id="1828666739">
      <w:bodyDiv w:val="1"/>
      <w:marLeft w:val="0"/>
      <w:marRight w:val="0"/>
      <w:marTop w:val="0"/>
      <w:marBottom w:val="0"/>
      <w:divBdr>
        <w:top w:val="none" w:sz="0" w:space="0" w:color="auto"/>
        <w:left w:val="none" w:sz="0" w:space="0" w:color="auto"/>
        <w:bottom w:val="none" w:sz="0" w:space="0" w:color="auto"/>
        <w:right w:val="none" w:sz="0" w:space="0" w:color="auto"/>
      </w:divBdr>
    </w:div>
    <w:div w:id="1923679390">
      <w:bodyDiv w:val="1"/>
      <w:marLeft w:val="0"/>
      <w:marRight w:val="0"/>
      <w:marTop w:val="0"/>
      <w:marBottom w:val="0"/>
      <w:divBdr>
        <w:top w:val="none" w:sz="0" w:space="0" w:color="auto"/>
        <w:left w:val="none" w:sz="0" w:space="0" w:color="auto"/>
        <w:bottom w:val="none" w:sz="0" w:space="0" w:color="auto"/>
        <w:right w:val="none" w:sz="0" w:space="0" w:color="auto"/>
      </w:divBdr>
    </w:div>
    <w:div w:id="213020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CCF4302-9BD9-1944-8ADA-F59097748C67}"/>
      </w:docPartPr>
      <w:docPartBody>
        <w:p w:rsidR="006D33B6" w:rsidRDefault="00623174">
          <w:r w:rsidRPr="0050712F">
            <w:rPr>
              <w:rStyle w:val="PlaceholderText"/>
            </w:rPr>
            <w:t>Click or tap here to enter text.</w:t>
          </w:r>
        </w:p>
      </w:docPartBody>
    </w:docPart>
    <w:docPart>
      <w:docPartPr>
        <w:name w:val="3429009668C42B4F80AB5532F338CCC2"/>
        <w:category>
          <w:name w:val="General"/>
          <w:gallery w:val="placeholder"/>
        </w:category>
        <w:types>
          <w:type w:val="bbPlcHdr"/>
        </w:types>
        <w:behaviors>
          <w:behavior w:val="content"/>
        </w:behaviors>
        <w:guid w:val="{DBDDD108-10D1-F849-88E3-6F4240CC9320}"/>
      </w:docPartPr>
      <w:docPartBody>
        <w:p w:rsidR="009F753D" w:rsidRDefault="00D60FBA" w:rsidP="00D60FBA">
          <w:pPr>
            <w:pStyle w:val="3429009668C42B4F80AB5532F338CCC2"/>
          </w:pPr>
          <w:r w:rsidRPr="004B66A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174"/>
    <w:rsid w:val="00020C8C"/>
    <w:rsid w:val="00185D4A"/>
    <w:rsid w:val="001B691D"/>
    <w:rsid w:val="00245362"/>
    <w:rsid w:val="00326233"/>
    <w:rsid w:val="0039720F"/>
    <w:rsid w:val="0044339A"/>
    <w:rsid w:val="004555F5"/>
    <w:rsid w:val="004F6F8E"/>
    <w:rsid w:val="005724ED"/>
    <w:rsid w:val="00623174"/>
    <w:rsid w:val="006A7329"/>
    <w:rsid w:val="006D33B6"/>
    <w:rsid w:val="009062D2"/>
    <w:rsid w:val="009F753D"/>
    <w:rsid w:val="00A129C5"/>
    <w:rsid w:val="00A20B1C"/>
    <w:rsid w:val="00BD1C03"/>
    <w:rsid w:val="00D60FBA"/>
    <w:rsid w:val="00DE762E"/>
    <w:rsid w:val="00E2091F"/>
    <w:rsid w:val="00F80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FBA"/>
    <w:rPr>
      <w:color w:val="808080"/>
    </w:rPr>
  </w:style>
  <w:style w:type="paragraph" w:customStyle="1" w:styleId="3429009668C42B4F80AB5532F338CCC2">
    <w:name w:val="3429009668C42B4F80AB5532F338CCC2"/>
    <w:rsid w:val="00D60FB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E7DC5C-5F79-E34F-A057-88CDB80F7469}">
  <we:reference id="wa104382081" version="1.35.0.0" store="en-US" storeType="OMEX"/>
  <we:alternateReferences>
    <we:reference id="wa104382081" version="1.35.0.0" store="" storeType="OMEX"/>
  </we:alternateReferences>
  <we:properties>
    <we:property name="MENDELEY_CITATIONS" value="[{&quot;citationID&quot;:&quot;MENDELEY_CITATION_fbb4665a-96f4-4bda-af88-9e19c643d2da&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&quot;,&quot;citationItems&quot;:[{&quot;id&quot;:&quot;510531c7-4672-3c71-83a2-c629de3f1d33&quot;,&quot;itemData&quot;:{&quot;type&quot;:&quot;article-journal&quot;,&quot;id&quot;:&quot;510531c7-4672-3c71-83a2-c629de3f1d33&quot;,&quot;title&quot;:&quot;Mapping pharmacy deserts and determining accessibility to community pharmacy services for elderly enrolled in a State Pharmaceutical Assistance Program&quot;,&quot;author&quot;:[{&quot;family&quot;:&quot;Pednekar&quot;,&quot;given&quot;:&quot;Priti&quot;,&quot;parse-names&quot;:false,&quot;dropping-particle&quot;:&quot;&quot;,&quot;non-dropping-particle&quot;:&quot;&quot;},{&quot;family&quot;:&quot;Peterson&quot;,&quot;given&quot;:&quot;Andrew&quot;,&quot;parse-names&quot;:false,&quot;dropping-particle&quot;:&quot;&quot;,&quot;non-dropping-particle&quot;:&quot;&quot;}],&quot;container-title&quot;:&quot;PLoS ONE&quot;,&quot;DOI&quot;:&quot;10.1371/journal.pone.0198173&quot;,&quot;ISBN&quot;:&quot;1111111111&quot;,&quot;ISSN&quot;:&quot;19326203&quot;,&quot;PMID&quot;:&quot;29864159&quot;,&quot;issued&quot;:{&quot;date-parts&quot;:[[2018]]},&quot;page&quot;:&quot;1-19&quot;,&quot;abstract&quot;:&quot;Objectives Limited studies have investigated geographic accessibility to a nearby community pharmacy for elderly which is an essential determinant of the access to medications and pharmacy services. This research identified pharmacy deserts and investigated availability of different types of community pharmacies and their services for elderly enrolled in a State Pharmaceutical Assistance Program (SPAP). Methods The state of Pennsylvania in the US was used as a case to demonstrate the geographic accessibility to community pharmacy and services for elderly enrolled in SPAP. The locations of community pharmacies and households of elderly enrolled in SPAP were derived from Pharmaceutical Assistance Contract for the Elderly programs’ database. The street addresses were geocoded and the distance to a nearby community pharmacy was calculated for study sample using the haversine formula. The demographic and geographic data were aggregated to Census Tracts and pharmacy deserts were identified using the predefined criteria. Descriptive statistical analysis was used to determine whether there are statistical differences in the socio-demographic profiles and distribution of different types of community pharmacies and their services in pharmacy deserts and non-deserts. This research used hot spot analyses at county level to identify clusters of pharmacy deserts, areas with high concentration of different racial/ethnic groups and clusters of high densities of chain and independent pharmacies. Results The Spatial analysis revealed that 39% and 61% Census Tracts in Pennsylvania were pharmacy deserts and non-deserts respectively (p &lt; 0.001). Pharmacy deserts were found to have significantly more females, married and white elderly and fewer blacks and Hispanics compared to pharmacy non-deserts. Pharmacy deserts had significantly fewer chain and independent pharmacies and less delivery and 24-hour services in pharmacies than pharmacy non-deserts. Hot spot analyses showed that clusters of pharmacy deserts were more concentrated in southcentral, northwest and northeast regions of the state which represent rural areas and overlapped with clusters of high concentration of white individuals. Conclusions The findings suggest that urban-rural inequality, racial/ethnic disparity and differences in availability of pharmacies and their services exist between pharmacy deserts and non-deserts. The methodological approach and analyses used in this study can also be applied to other public health programs to evaluate the coverage and breadth of public health services.&quot;,&quot;issue&quot;:&quot;6&quot;,&quot;volume&quot;:&quot;13&quot;,&quot;container-title-short&quot;:&quot;PLoS One&quot;},&quot;uris&quot;:[&quot;http://www.mendeley.com/documents/?uuid=d2a32df6-aac8-4f8d-a8c1-7c3824712e18&quot;],&quot;isTemporary&quot;:false,&quot;legacyDesktopId&quot;:&quot;d2a32df6-aac8-4f8d-a8c1-7c3824712e18&quot;}]},{&quot;citationID&quot;:&quot;MENDELEY_CITATION_9d977dd7-8052-430f-800c-3dccadeef93f&quot;,&quot;properties&quot;:{&quot;noteIndex&quot;:0},&quot;isEdited&quot;:false,&quot;manualOverride&quot;:{&quot;citeprocText&quot;:&quot;&lt;sup&gt;2&lt;/sup&gt;&quot;,&quot;isManuallyOverridden&quot;:false,&quot;manualOverrideText&quot;:&quot;&quot;},&quot;citationTag&quot;:&quot;MENDELEY_CITATION_v3_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&quot;,&quot;citationItems&quot;:[{&quot;id&quot;:&quot;d5880599-a9af-34d2-9b6f-707012f9c1f1&quot;,&quot;itemData&quot;:{&quot;type&quot;:&quot;article-journal&quot;,&quot;id&quot;:&quot;d5880599-a9af-34d2-9b6f-707012f9c1f1&quot;,&quot;title&quot;:&quot;'Pharmacy deserts' are prevalent in chicago's predominantly minority communities, raising medication access concerns&quot;,&quot;author&quot;:[{&quot;family&quot;:&quot;Qato&quot;,&quot;given&quot;:&quot;Dima M.&quot;,&quot;parse-names&quot;:false,&quot;dropping-particle&quot;:&quot;&quot;,&quot;non-dropping-particle&quot;:&quot;&quot;},{&quot;family&quot;:&quot;Daviglus&quot;,&quot;given&quot;:&quot;Martha L.&quot;,&quot;parse-names&quot;:false,&quot;dropping-particle&quot;:&quot;&quot;,&quot;non-dropping-particle&quot;:&quot;&quot;},{&quot;family&quot;:&quot;Wilder&quot;,&quot;given&quot;:&quot;Jocelyn&quot;,&quot;parse-names&quot;:false,&quot;dropping-particle&quot;:&quot;&quot;,&quot;non-dropping-particle&quot;:&quot;&quot;},{&quot;family&quot;:&quot;Lee&quot;,&quot;given&quot;:&quot;Todd&quot;,&quot;parse-names&quot;:false,&quot;dropping-particle&quot;:&quot;&quot;,&quot;non-dropping-particle&quot;:&quot;&quot;},{&quot;family&quot;:&quot;Qato&quot;,&quot;given&quot;:&quot;Danya&quot;,&quot;parse-names&quot;:false,&quot;dropping-particle&quot;:&quot;&quot;,&quot;non-dropping-particle&quot;:&quot;&quot;},{&quot;family&quot;:&quot;Lambert&quot;,&quot;given&quot;:&quot;Bruce&quot;,&quot;parse-names&quot;:false,&quot;dropping-particle&quot;:&quot;&quot;,&quot;non-dropping-particle&quot;:&quot;&quot;}],&quot;container-title&quot;:&quot;Health Affairs&quot;,&quot;DOI&quot;:&quot;10.1377/hlthaff.2013.1397&quot;,&quot;ISSN&quot;:&quot;15445208&quot;,&quot;PMID&quot;:&quot;25367990&quot;,&quot;issued&quot;:{&quot;date-parts&quot;:[[2014]]},&quot;page&quot;:&quot;1958-1965&quot;,&quot;abstract&quot;:&quot;Attempts to explain and address disparities in the use of prescription medications have focused almost exclusively on their affordability. However, the segregation of residential neighborhoods by race or ethnicity also may influence access to the pharmacies that, in turn, provide access to prescription medications within a community.We examined whether trends in the availability of pharmacies varied across communities in Chicago with different racial or ethnic compositions. We also examined the geographic accessibility of pharmacies to determine whether \&quot;pharmacy deserts,\&quot; or low-access neighborhoods, were more common in segregated black and Hispanic communities than elsewhere. We found that throughout the period 2000-2012 the number of pharmacies was lower in segregated minority communities than in segregated white communities and integrated communities. In 2012 there were disproportionately more pharmacy deserts in segregated black communities, as well as in low-income communities and federally designated Medically Underserved Areas. Our findings suggest that public policies aimed at improving access to prescription medications may need to address factors beyond insurance coverage and medication affordability. Such policies could include financial incentives to locate pharmacies in pharmacy deserts or the incorporation of pharmacies into community health centers in Medically Underserved Areas.&quot;,&quot;issue&quot;:&quot;11&quot;,&quot;volume&quot;:&quot;33&quot;,&quot;container-title-short&quot;:&quot;Health Aff&quot;},&quot;uris&quot;:[&quot;http://www.mendeley.com/documents/?uuid=1364a7cf-ec79-48fc-99b5-7e81c2cc72de&quot;],&quot;isTemporary&quot;:false,&quot;legacyDesktopId&quot;:&quot;1364a7cf-ec79-48fc-99b5-7e81c2cc72de&quot;}]},{&quot;citationID&quot;:&quot;MENDELEY_CITATION_a8a120c3-4991-49a2-8bb3-dda9e2a59134&quot;,&quot;properties&quot;:{&quot;noteIndex&quot;:0},&quot;isEdited&quot;:false,&quot;manualOverride&quot;:{&quot;citeprocText&quot;:&quot;&lt;sup&gt;3&lt;/sup&gt;&quot;,&quot;isManuallyOverridden&quot;:false,&quot;manualOverrideText&quot;:&quot;&quot;},&quot;citationTag&quot;:&quot;MENDELEY_CITATION_v3_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&quot;,&quot;citationItems&quot;:[{&quot;id&quot;:&quot;b5d89ac4-40ae-39e3-a9c4-7ad64b0cb894&quot;,&quot;itemData&quot;:{&quot;type&quot;:&quot;article-journal&quot;,&quot;id&quot;:&quot;b5d89ac4-40ae-39e3-a9c4-7ad64b0cb894&quot;,&quot;title&quot;:&quot;Disparities in Spatial Accessibility of Pharmacies in Baton Rouge, Louisiana&quot;,&quot;author&quot;:[{&quot;family&quot;:&quot;Ikram&quot;,&quot;given&quot;:&quot;Samina Z.&quot;,&quot;parse-names&quot;:false,&quot;dropping-particle&quot;:&quot;&quot;,&quot;non-dropping-particle&quot;:&quot;&quot;},{&quot;family&quot;:&quot;Hu&quot;,&quot;given&quot;:&quot;Yujie&quot;,&quot;parse-names&quot;:false,&quot;dropping-particle&quot;:&quot;&quot;,&quot;non-dropping-particle&quot;:&quot;&quot;},{&quot;family&quot;:&quot;Wang&quot;,&quot;given&quot;:&quot;Fahui&quot;,&quot;parse-names&quot;:false,&quot;dropping-particle&quot;:&quot;&quot;,&quot;non-dropping-particle&quot;:&quot;&quot;}],&quot;container-title&quot;:&quot;Geographical Review&quot;,&quot;DOI&quot;:&quot;10.1111/j.1931-0846.2015.12087.x&quot;,&quot;ISSN&quot;:&quot;19310846&quot;,&quot;issued&quot;:{&quot;date-parts&quot;:[[2015]]},&quot;page&quot;:&quot;492-510&quot;,&quot;abstract&quot;:&quot;This study examines spatial accessibility of pharmacies in Baton Rouge, Louisiana. Two popular geographic information systems (GIS)-based methods are compared: the proximity method uses the distance (travel time) from the nearest pharmacy, and the two-step floating catchment area (2SFCA) method considers the match ratio between providers and population as well as the complex spatial interaction between them. The study indicates that disproportionally higher percentages of African-Americans are in areas with shorter travel time to the nearest pharmacies than whites, but suffer from poorer accessibility measured by the 2SFCA method-that is, fewer pharmacies per 10,000 residents. Seniors, particularly those of seventy-five years or older, tend to be disproportionally concentrated in areas that not only are closer to pharmacies, but also have more pharmacies per 10,000 residents. The two methods used in the study capture different elements in spatial accessibility: one being physically close to a facility and another adding the crowdedness in service. Both properties can be valuable for residents. The two may not always coincide with each other in spatial variability, as it is the case for racial disparity in our study area. However, when they do, as in the case for seniors, it may imply a true (dis)advantage for a demographic group in terms of both properties of spatial accessibility.&quot;,&quot;issue&quot;:&quot;4&quot;,&quot;volume&quot;:&quot;105&quot;,&quot;container-title-short&quot;:&quot;Geogr Rev&quot;},&quot;uris&quot;:[&quot;http://www.mendeley.com/documents/?uuid=dd731c6d-8e2e-4591-88bf-a131e2d2fc56&quot;],&quot;isTemporary&quot;:false,&quot;legacyDesktopId&quot;:&quot;dd731c6d-8e2e-4591-88bf-a131e2d2fc56&quot;}]},{&quot;citationID&quot;:&quot;MENDELEY_CITATION_92fcd1d9-cf07-43b9-be52-9f09165b3bd3&quot;,&quot;properties&quot;:{&quot;noteIndex&quot;:0},&quot;isEdited&quot;:false,&quot;manualOverride&quot;:{&quot;citeprocText&quot;:&quot;&lt;sup&gt;4&lt;/sup&gt;&quot;,&quot;isManuallyOverridden&quot;:false,&quot;manualOverrideText&quot;:&quot;&quot;},&quot;citationTag&quot;:&quot;MENDELEY_CITATION_v3_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&quot;,&quot;citationItems&quot;:[{&quot;id&quot;:&quot;3aee1e47-4a63-3ace-88ee-6e86d677f489&quot;,&quot;itemData&quot;:{&quot;DOI&quot;:&quot;10.1080/01441647.2018.1492778&quot;,&quot;ISSN&quot;:&quot;14645327&quot;,&quot;author&quot;:[{&quot;dropping-particle&quot;:&quot;&quot;,&quot;family&quot;:&quot;Miller&quot;,&quot;given&quot;:&quot;Eric J.&quot;,&quot;non-dropping-particle&quot;:&quot;&quot;,&quot;parse-names&quot;:false,&quot;suffix&quot;:&quot;&quot;}],&quot;container-title&quot;:&quot;Transport Reviews&quot;,&quot;id&quot;:&quot;3aee1e47-4a63-3ace-88ee-6e86d677f489&quot;,&quot;issue&quot;:&quot;5&quot;,&quot;issued&quot;:{&quot;date-parts&quot;:[[&quot;2018&quot;]]},&quot;page&quot;:&quot;551-555&quot;,&quot;publisher&quot;:&quot;Taylor &amp; Francis&quot;,&quot;title&quot;:&quot;Accessibility: measurement and application in transportation planning&quot;,&quot;type&quot;:&quot;article-journal&quot;,&quot;volume&quot;:&quot;38&quot;,&quot;container-title-short&quot;:&quot;Transp Rev&quot;},&quot;uris&quot;:[&quot;http://www.mendeley.com/documents/?uuid=98b4660d-ef21-4cc6-929a-914367357236&quot;],&quot;isTemporary&quot;:false,&quot;legacyDesktopId&quot;:&quot;98b4660d-ef21-4cc6-929a-914367357236&quot;}]},{&quot;citationID&quot;:&quot;MENDELEY_CITATION_d550c8cb-caec-4f98-b8ba-b70025b71834&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&quot;,&quot;citationItems&quot;:[{&quot;id&quot;:&quot;a7bc8fe7-7177-37ec-90b4-b70f2cf1e8cd&quot;,&quot;itemData&quot;:{&quot;DOI&quot;:&quot;10.1016/j.jtrangeo.2012.03.016&quot;,&quot;ISBN&quot;:&quot;0966-6923&quot;,&quot;ISSN&quot;:&quot;09666923&quot;,&quot;abstract&quot;:&quot;Accessibility is a concept of continuing relevance in transportation research. A number of different measures of accessibility, defined as the potential to reach spatially dispersed opportunities, have been proposed in the literature, and used to address various substantive planning and policy questions. Our objective in this paper is to conduct a review of various commonly used measures of accessibility, with a particular view to clarifying their normative (i.e. prescriptive), as well as positive (i.e. descriptive) aspects. This is a distinction that has seldom been made in the literature and that helps to better understand the meaning of alternative ways to implement the concept of accessibility. Our discussion of the positive and normative aspects of accessibility measurements is illustrated using the city of Montreal, Canada, as a case study. The example highlights the differences in the measured levels of accessibility depending on implementation. Comparison of the two by means of a relative indicator of accessibility helps to identify the gap between desired (as normative defined) and actual (as revealed) accessibility levels. © 2012 Elsevier Ltd.&quot;,&quot;author&quot;:[{&quot;dropping-particle&quot;:&quot;&quot;,&quot;family&quot;:&quot;Páez&quot;,&quot;given&quot;:&quot;Antonio&quot;,&quot;non-dropping-particle&quot;:&quot;&quot;,&quot;parse-names&quot;:false,&quot;suffix&quot;:&quot;&quot;},{&quot;dropping-particle&quot;:&quot;&quot;,&quot;family&quot;:&quot;Scott&quot;,&quot;given&quot;:&quot;Darren M.&quot;,&quot;non-dropping-particle&quot;:&quot;&quot;,&quot;parse-names&quot;:false,&quot;suffix&quot;:&quot;&quot;},{&quot;dropping-particle&quot;:&quot;&quot;,&quot;family&quot;:&quot;Morency&quot;,&quot;given&quot;:&quot;Catherine&quot;,&quot;non-dropping-particle&quot;:&quot;&quot;,&quot;parse-names&quot;:false,&quot;suffix&quot;:&quot;&quot;}],&quot;container-title&quot;:&quot;Journal of Transport Geography&quot;,&quot;id&quot;:&quot;a7bc8fe7-7177-37ec-90b4-b70f2cf1e8cd&quot;,&quot;issued&quot;:{&quot;date-parts&quot;:[[&quot;2012&quot;]]},&quot;page&quot;:&quot;141-153&quot;,&quot;publisher&quot;:&quot;Elsevier Ltd&quot;,&quot;title&quot;:&quot;Measuring accessibility: Positive and normative implementations of various accessibility indicators&quot;,&quot;type&quot;:&quot;article-journal&quot;,&quot;volume&quot;:&quot;25&quot;,&quot;container-title-short&quot;:&quot;J Transp Geogr&quot;},&quot;uris&quot;:[&quot;http://www.mendeley.com/documents/?uuid=d55e21f6-8751-439e-8115-8d1ea8c0cb6d&quot;],&quot;isTemporary&quot;:false,&quot;legacyDesktopId&quot;:&quot;d55e21f6-8751-439e-8115-8d1ea8c0cb6d&quot;}]},{&quot;citationID&quot;:&quot;MENDELEY_CITATION_89400ca1-0903-4640-874e-274d2385bc5c&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&quot;,&quot;citationItems&quot;:[{&quot;id&quot;:&quot;cb57b513-ed61-3dc0-b872-131b6204c74f&quot;,&quot;itemData&quot;:{&quot;DOI&quot;:&quot;10.1080/00045608.2012.657146&quot;,&quot;ISSN&quot;:&quot;00045608&quot;,&quot;abstract&quot;:&quot;Despite spending more than any other nation on medical care per person, the United States ranks behind other industrialized nations in key health performance measures. A main cause is the deep disparities in access to care and health outcomes. Federal programs such as the designations of Medically Underserved Areas/Populations and Health Professional Shortage Areas are designed to boost the number of health professionals serving these areas and to help alleviate the access problem. Their effectiveness relies first and foremost on an accurate measure of accessibility so that resources can be allocated to truly needy areas. Various measures of accessibility need to be integrated into one framework for comparison and evaluation. Optimization methods can be used to improve the distribution and supply of health care providers to maximize service coverage, minimize travel needs of patients, limit the number of facilities, and maximize health or access equality. Inequality in health care access comes at a personal and societal price, evidenced in disparities in health outcomes, including late-stage cancer diagnosis. This review surveys recent literature on the three named issues with emphasis on methodological advancements and implications for public policy. © 2012 Copyright Taylor and Francis Group, LLC.&quot;,&quot;author&quot;:[{&quot;dropping-particle&quot;:&quot;&quot;,&quot;family&quot;:&quot;Wang&quot;,&quot;given&quot;:&quot;Fahui&quot;,&quot;non-dropping-particle&quot;:&quot;&quot;,&quot;parse-names&quot;:false,&quot;suffix&quot;:&quot;&quot;}],&quot;container-title&quot;:&quot;Annals of the Association of American Geographers&quot;,&quot;id&quot;:&quot;cb57b513-ed61-3dc0-b872-131b6204c74f&quot;,&quot;issue&quot;:&quot;5&quot;,&quot;issued&quot;:{&quot;date-parts&quot;:[[&quot;2012&quot;]]},&quot;page&quot;:&quot;1104-1112&quot;,&quot;title&quot;:&quot;Measurement, Optimization, and Impact of Health Care Accessibility: A Methodological Review&quot;,&quot;type&quot;:&quot;article-journal&quot;,&quot;volume&quot;:&quot;102&quot;,&quot;container-title-short&quot;:&quot;&quot;},&quot;uris&quot;:[&quot;http://www.mendeley.com/documents/?uuid=75488777-b7e3-4e0a-801c-12f5dc0c30a9&quot;],&quot;isTemporary&quot;:false,&quot;legacyDesktopId&quot;:&quot;75488777-b7e3-4e0a-801c-12f5dc0c30a9&quot;}]},{&quot;citationID&quot;:&quot;MENDELEY_CITATION_a99d3f39-776f-4d04-9571-72625268d6f8&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&quot;,&quot;citationItems&quot;:[{&quot;id&quot;:&quot;a2bf068b-4919-3086-bb2a-527bd24263d9&quot;,&quot;itemData&quot;:{&quot;type&quot;:&quot;article-journal&quot;,&quot;id&quot;:&quot;a2bf068b-4919-3086-bb2a-527bd24263d9&quot;,&quot;title&quot;:&quot;A three-step floating catchment area method for analyzing spatial access to health services&quot;,&quot;author&quot;:[{&quot;family&quot;:&quot;Wan&quot;,&quot;given&quot;:&quot;Neng&quot;,&quot;parse-names&quot;:false,&quot;dropping-particle&quot;:&quot;&quot;,&quot;non-dropping-particle&quot;:&quot;&quot;},{&quot;family&quot;:&quot;Zou&quot;,&quot;given&quot;:&quot;Bin&quot;,&quot;parse-names&quot;:false,&quot;dropping-particle&quot;:&quot;&quot;,&quot;non-dropping-particle&quot;:&quot;&quot;},{&quot;family&quot;:&quot;Sternberg&quot;,&quot;given&quot;:&quot;Troy&quot;,&quot;parse-names&quot;:false,&quot;dropping-particle&quot;:&quot;&quot;,&quot;non-dropping-particle&quot;:&quot;&quot;}],&quot;container-title&quot;:&quot;International Journal of Geographical Information Science&quot;,&quot;DOI&quot;:&quot;10.1080/13658816.2011.624987&quot;,&quot;ISSN&quot;:&quot;13623087&quot;,&quot;issued&quot;:{&quot;date-parts&quot;:[[2012]]},&quot;page&quot;:&quot;1073-1089&quot;,&quot;abstract&quot;:&quot;Gravity-based spatial access models have been widely used to estimate spatial access to healthcare services in an attempt to capture the interaction of various factors. However, these models are inadequate in informing health resource allocation work due to their inappropriate assumption of healthcare demand. For the purpose of effective healthcare resource planning, this article proposes a three-step floating catchment area (3SFCA) method to minimize the healthcare-demand overestimation problem. Specifically, a spatial impedance-based competition scheme is incorporated into the enhanced two-step floating catchment area (E2SFCA) method to account for a reasonable model of healthcare supply and demand. A case study of spatial access to primary care physicians along the Austin–San Antonio corridor area in central Texas showed that the proposed method effectively minimizes the overestimation of healthcare demand and reflects a more balanced geographic pattern of spatial access than E2SFCA. In addition, by using an adjusted spatial access index, the 3SFCA method indicates strong potential for identifying health professional shortage areas. The study concludes that 3SFCA is a promising method to provide health professionals and decision makers with useful healthcare accessibility information. © 2012 Taylor &amp; Francis Group, LLC.&quot;,&quot;issue&quot;:&quot;6&quot;,&quot;volume&quot;:&quot;26&quot;,&quot;container-title-short&quot;:&quot;&quot;},&quot;isTemporary&quot;:false}]},{&quot;citationID&quot;:&quot;MENDELEY_CITATION_57acab1a-9476-4b91-a002-c80e2ae0fc83&quot;,&quot;properties&quot;:{&quot;noteIndex&quot;:0},&quot;isEdited&quot;:false,&quot;manualOverride&quot;:{&quot;citeprocText&quot;:&quot;&lt;sup&gt;8&lt;/sup&gt;&quot;,&quot;isManuallyOverridden&quot;:false,&quot;manualOverrideText&quot;:&quot;&quot;},&quot;citationTag&quot;:&quot;MENDELEY_CITATION_v3_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&quot;,&quot;citationItems&quot;:[{&quot;id&quot;:&quot;3c972c83-cf21-3cb3-b04c-7a30fcd4eb2d&quot;,&quot;itemData&quot;:{&quot;type&quot;:&quot;article-journal&quot;,&quot;id&quot;:&quot;3c972c83-cf21-3cb3-b04c-7a30fcd4eb2d&quot;,&quot;title&quot;:&quot;Residential segregation and disparities in health care services utilization&quot;,&quot;author&quot;:[{&quot;family&quot;:&quot;Gaskin&quot;,&quot;given&quot;:&quot;Darrell J.&quot;,&quot;parse-names&quot;:false,&quot;dropping-particle&quot;:&quot;&quot;,&quot;non-dropping-particle&quot;:&quot;&quot;},{&quot;family&quot;:&quot;Dinwiddie&quot;,&quot;given&quot;:&quot;Gniesha Y.&quot;,&quot;parse-names&quot;:false,&quot;dropping-particle&quot;:&quot;&quot;,&quot;non-dropping-particle&quot;:&quot;&quot;},{&quot;family&quot;:&quot;Chan&quot;,&quot;given&quot;:&quot;Kitty S.&quot;,&quot;parse-names&quot;:false,&quot;dropping-particle&quot;:&quot;&quot;,&quot;non-dropping-particle&quot;:&quot;&quot;},{&quot;family&quot;:&quot;McCleary&quot;,&quot;given&quot;:&quot;Rachael&quot;,&quot;parse-names&quot;:false,&quot;dropping-particle&quot;:&quot;&quot;,&quot;non-dropping-particle&quot;:&quot;&quot;}],&quot;container-title&quot;:&quot;Medical Care Research and Review&quot;,&quot;DOI&quot;:&quot;10.1177/1077558711420263&quot;,&quot;ISSN&quot;:&quot;10775587&quot;,&quot;PMID&quot;:&quot;21976416&quot;,&quot;issued&quot;:{&quot;date-parts&quot;:[[2012]]},&quot;page&quot;:&quot;158-175&quot;,&quot;abstract&quot;:&quot;Using data from the 2006 Medical Expenditure Panel Survey and the 2000 Census, the authors explored whether race/ethnic disparities in health care use were associated with residential segregation. They used five measures of health care use: office-based physician visits, outpatient department physician visits, visits to nurses and physician's assistants, visits to other health professionals, and having a usual source of care. For each individual, the authors controlled for age, gender, marital status, insurance status, income, educational attainment, employment status, region, and health status. The authors used the racial-ethnic composition of the zip code to control for residential segregation. The findings suggest that disparities in health care utilization are related to both individuals' racial and ethnic identity and the racial and ethnic composition of their communities. Therefore, efforts to improve access to health care services and to eliminate health care disparities for African Americans and Hispanics should not only focus on individual-level factors but also include community-level factors. © The Author(s) 2012.&quot;,&quot;issue&quot;:&quot;2&quot;,&quot;volume&quot;:&quot;69&quot;,&quot;container-title-short&quot;:&quot;&quot;},&quot;uris&quot;:[&quot;http://www.mendeley.com/documents/?uuid=b9f0f6a8-d91e-40a7-b735-a6a380a07d49&quot;],&quot;isTemporary&quot;:false,&quot;legacyDesktopId&quot;:&quot;b9f0f6a8-d91e-40a7-b735-a6a380a07d49&quot;}]},{&quot;citationID&quot;:&quot;MENDELEY_CITATION_f9a42ae1-207f-4d92-a1fb-ccc25d1a6db0&quot;,&quot;properties&quot;:{&quot;noteIndex&quot;:0},&quot;isEdited&quot;:false,&quot;manualOverride&quot;:{&quot;citeprocText&quot;:&quot;&lt;sup&gt;9&lt;/sup&gt;&quot;,&quot;isManuallyOverridden&quot;:false,&quot;manualOverrideText&quot;:&quot;&quot;},&quot;citationTag&quot;:&quot;MENDELEY_CITATION_v3_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&quot;,&quot;citationItems&quot;:[{&quot;id&quot;:&quot;7dcee9bc-3430-3a17-928a-252ed8e32886&quot;,&quot;itemData&quot;:{&quot;type&quot;:&quot;article-journal&quot;,&quot;id&quot;:&quot;7dcee9bc-3430-3a17-928a-252ed8e32886&quot;,&quot;title&quot;:&quot;Gender differences in health care expenditures, resource utilization, and quality of care&quot;,&quot;author&quot;:[{&quot;family&quot;:&quot;Owens&quot;,&quot;given&quot;:&quot;Gary M.&quot;,&quot;parse-names&quot;:false,&quot;dropping-particle&quot;:&quot;&quot;,&quot;non-dropping-particle&quot;:&quot;&quot;}],&quot;container-title&quot;:&quot;Journal of Managed Care Pharmacy&quot;,&quot;DOI&quot;:&quot;10.18553/jmcp.2008.14.s3-a.2&quot;,&quot;ISSN&quot;:&quot;10834087&quot;,&quot;PMID&quot;:&quot;18439060&quot;,&quot;issued&quot;:{&quot;date-parts&quot;:[[2008]]},&quot;page&quot;:&quot;2-6&quot;,&quot;abstract&quot;:&quot;Background: Rising health care costs and quality of care concerns require a re-evaluation of various aspects of health care delivery. In order to properly manage costs, payers need to understand how difterent patient populations contribute to spending trends and where suboptimal quality of care is more prevalent, and, therefore, may drive cost trends. Objective: To demonstrate significant opportunities for improvement in the management of postmenopausal women by highlighting areas of imbalance between health care costs and quality of care. Summary: Women tend to use significantly more services and spend more health care dollars than men. The greatest disparity in health care spending between men and women has been noted in the population aged 45 to 64 years. In this age group, women's health issues primarily revolve around chronic conditions and menopausal symptoms. With the onset of menopause, the risk of cardiovascular disease (CVD), breast cancer, and osteoporosis increases significantly. However, substantial evidence indicates that there are broad gaps in the quality of care received by postmenopausal women. In some populations, breast cancer screening rates are almost 20% below the national target. Stratification of health plan performance with the National Committee for Quality Assurance/Health Care Effectiveness Data and Information Set (NCQA/HEDIS) measures related to CVD demonstrates gender-based gaps, even when there are no disparities in access to care. The widest gender gap in CVD management is observed with low-density lipoprotein (LDL) cholesterol control rates. In the management of postmenopausal women with a history of fractures, standards of care are met only 19% to 50% of the time. After the age of 45, the majority of women either do not receive any information about menopause from their physicians or they are unsatisfied with the menopause counseling that they do receive. These quality gaps should be considered in light of the high prevalence of chronic illness and costs attributed to these conditions and menopausal symptoms in women. Conclusion: When reviewing strategies for reducing health care costs, managed care organizations (MCOs) should focus on the management of postmenopausal women. With the use of proper screening, preventive care, and therapeutic management in postmenopausal women, an MCO could potentially achieve downstream reduction in overall costs for this population. Copyright© 2008, Academy of Managed Care Pharmacy. All rights reserved.&quot;,&quot;issue&quot;:&quot;3 SUPPL.&quot;,&quot;volume&quot;:&quot;14&quot;,&quot;container-title-short&quot;:&quot;&quot;},&quot;uris&quot;:[&quot;http://www.mendeley.com/documents/?uuid=2495ccdf-8c75-41fb-901a-bd62f9fb2490&quot;],&quot;isTemporary&quot;:false,&quot;legacyDesktopId&quot;:&quot;2495ccdf-8c75-41fb-901a-bd62f9fb2490&quot;}]}]"/>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5E2E5-9DAA-4057-AF55-4A5B7F8C6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1595</Words>
  <Characters>9096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Xiaomeng Li</dc:creator>
  <cp:keywords/>
  <dc:description/>
  <cp:lastModifiedBy>Xiaomeng Li</cp:lastModifiedBy>
  <cp:revision>76</cp:revision>
  <cp:lastPrinted>2022-02-05T03:56:00Z</cp:lastPrinted>
  <dcterms:created xsi:type="dcterms:W3CDTF">2022-02-05T03:56:00Z</dcterms:created>
  <dcterms:modified xsi:type="dcterms:W3CDTF">2023-10-31T21:09:00Z</dcterms:modified>
</cp:coreProperties>
</file>