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07BDFC" w14:textId="77777777" w:rsidR="00C742FD" w:rsidRPr="00C742FD" w:rsidRDefault="00C2115B" w:rsidP="00C742FD">
      <w:pPr>
        <w:pStyle w:val="Heading1"/>
        <w:spacing w:before="0" w:line="360" w:lineRule="auto"/>
        <w:rPr>
          <w:rFonts w:ascii="Times New Roman" w:hAnsi="Times New Roman" w:cs="Times New Roman"/>
          <w:b/>
          <w:bCs/>
          <w:color w:val="000000" w:themeColor="text1"/>
          <w:sz w:val="24"/>
          <w:szCs w:val="24"/>
        </w:rPr>
      </w:pPr>
      <w:r w:rsidRPr="00C742FD">
        <w:rPr>
          <w:rFonts w:ascii="Times New Roman" w:hAnsi="Times New Roman" w:cs="Times New Roman"/>
          <w:b/>
          <w:bCs/>
          <w:color w:val="000000" w:themeColor="text1"/>
          <w:sz w:val="24"/>
          <w:szCs w:val="24"/>
        </w:rPr>
        <w:t>Appendix</w:t>
      </w:r>
    </w:p>
    <w:p w14:paraId="201023FF" w14:textId="6F12173A" w:rsidR="00C742FD" w:rsidRPr="00CC6B26" w:rsidRDefault="00C2115B" w:rsidP="00C742FD">
      <w:pPr>
        <w:pStyle w:val="Caption"/>
      </w:pPr>
      <w:r>
        <w:t>Table A.</w:t>
      </w:r>
      <w:r>
        <w:fldChar w:fldCharType="begin"/>
      </w:r>
      <w:r>
        <w:instrText xml:space="preserve"> SEQ Table_A. \* ARABIC </w:instrText>
      </w:r>
      <w:r>
        <w:fldChar w:fldCharType="separate"/>
      </w:r>
      <w:r w:rsidR="00585F15">
        <w:rPr>
          <w:noProof/>
        </w:rPr>
        <w:t>1</w:t>
      </w:r>
      <w:r>
        <w:rPr>
          <w:noProof/>
        </w:rPr>
        <w:fldChar w:fldCharType="end"/>
      </w:r>
      <w:r>
        <w:t xml:space="preserve">: List of potentially risky import </w:t>
      </w:r>
      <w:r>
        <w:t>products in Africa</w:t>
      </w:r>
    </w:p>
    <w:tbl>
      <w:tblPr>
        <w:tblStyle w:val="ListTable6Colorful"/>
        <w:tblW w:w="9576" w:type="dxa"/>
        <w:tblLook w:val="04A0" w:firstRow="1" w:lastRow="0" w:firstColumn="1" w:lastColumn="0" w:noHBand="0" w:noVBand="1"/>
      </w:tblPr>
      <w:tblGrid>
        <w:gridCol w:w="551"/>
        <w:gridCol w:w="1087"/>
        <w:gridCol w:w="7938"/>
      </w:tblGrid>
      <w:tr w:rsidR="00DD469C" w14:paraId="3D6D7427" w14:textId="77777777" w:rsidTr="00DD469C">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2641B100" w14:textId="77777777" w:rsidR="00820239" w:rsidRPr="00B67E7D" w:rsidRDefault="00C2115B" w:rsidP="00820239">
            <w:pPr>
              <w:rPr>
                <w:rFonts w:ascii="Calibri" w:eastAsia="Times New Roman" w:hAnsi="Calibri" w:cs="Calibri"/>
                <w:color w:val="000000"/>
              </w:rPr>
            </w:pPr>
            <w:r w:rsidRPr="00B67E7D">
              <w:rPr>
                <w:rFonts w:ascii="Calibri" w:eastAsia="Times New Roman" w:hAnsi="Calibri" w:cs="Calibri"/>
                <w:color w:val="000000"/>
              </w:rPr>
              <w:t>No.</w:t>
            </w:r>
          </w:p>
        </w:tc>
        <w:tc>
          <w:tcPr>
            <w:tcW w:w="1087" w:type="dxa"/>
            <w:shd w:val="clear" w:color="auto" w:fill="auto"/>
            <w:noWrap/>
            <w:hideMark/>
          </w:tcPr>
          <w:p w14:paraId="41300BCA" w14:textId="77777777" w:rsidR="00820239" w:rsidRPr="00820239" w:rsidRDefault="00C2115B" w:rsidP="0082023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rPr>
            </w:pPr>
            <w:r w:rsidRPr="00820239">
              <w:rPr>
                <w:rFonts w:ascii="Calibri" w:eastAsia="Times New Roman" w:hAnsi="Calibri" w:cs="Calibri"/>
                <w:color w:val="000000"/>
              </w:rPr>
              <w:t>HS code</w:t>
            </w:r>
          </w:p>
        </w:tc>
        <w:tc>
          <w:tcPr>
            <w:tcW w:w="7938" w:type="dxa"/>
            <w:shd w:val="clear" w:color="auto" w:fill="auto"/>
            <w:noWrap/>
            <w:hideMark/>
          </w:tcPr>
          <w:p w14:paraId="6B412676" w14:textId="77777777" w:rsidR="00820239" w:rsidRPr="00820239" w:rsidRDefault="00C2115B" w:rsidP="0082023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rPr>
            </w:pPr>
            <w:r w:rsidRPr="00820239">
              <w:rPr>
                <w:rFonts w:ascii="Calibri" w:eastAsia="Times New Roman" w:hAnsi="Calibri" w:cs="Calibri"/>
                <w:color w:val="000000"/>
              </w:rPr>
              <w:t>Description</w:t>
            </w:r>
          </w:p>
        </w:tc>
      </w:tr>
      <w:tr w:rsidR="00DD469C" w14:paraId="1A858B7C"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2B0DDC9A"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1</w:t>
            </w:r>
          </w:p>
        </w:tc>
        <w:tc>
          <w:tcPr>
            <w:tcW w:w="1087" w:type="dxa"/>
            <w:shd w:val="clear" w:color="auto" w:fill="auto"/>
            <w:noWrap/>
            <w:hideMark/>
          </w:tcPr>
          <w:p w14:paraId="4DD4D104"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10410</w:t>
            </w:r>
          </w:p>
        </w:tc>
        <w:tc>
          <w:tcPr>
            <w:tcW w:w="7938" w:type="dxa"/>
            <w:shd w:val="clear" w:color="auto" w:fill="auto"/>
            <w:noWrap/>
            <w:hideMark/>
          </w:tcPr>
          <w:p w14:paraId="786374D2"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Live sheep</w:t>
            </w:r>
          </w:p>
        </w:tc>
      </w:tr>
      <w:tr w:rsidR="00DD469C" w14:paraId="4780CACE"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1044DCCE"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2</w:t>
            </w:r>
          </w:p>
        </w:tc>
        <w:tc>
          <w:tcPr>
            <w:tcW w:w="1087" w:type="dxa"/>
            <w:shd w:val="clear" w:color="auto" w:fill="auto"/>
            <w:noWrap/>
            <w:hideMark/>
          </w:tcPr>
          <w:p w14:paraId="3CD78CA0"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10420</w:t>
            </w:r>
          </w:p>
        </w:tc>
        <w:tc>
          <w:tcPr>
            <w:tcW w:w="7938" w:type="dxa"/>
            <w:shd w:val="clear" w:color="auto" w:fill="auto"/>
            <w:noWrap/>
            <w:hideMark/>
          </w:tcPr>
          <w:p w14:paraId="343A9C09"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Live goats</w:t>
            </w:r>
          </w:p>
        </w:tc>
      </w:tr>
      <w:tr w:rsidR="00DD469C" w14:paraId="678ABB8F"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32F109E4"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3</w:t>
            </w:r>
          </w:p>
        </w:tc>
        <w:tc>
          <w:tcPr>
            <w:tcW w:w="1087" w:type="dxa"/>
            <w:shd w:val="clear" w:color="auto" w:fill="auto"/>
            <w:noWrap/>
            <w:hideMark/>
          </w:tcPr>
          <w:p w14:paraId="64154D7D"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10512</w:t>
            </w:r>
          </w:p>
        </w:tc>
        <w:tc>
          <w:tcPr>
            <w:tcW w:w="7938" w:type="dxa"/>
            <w:shd w:val="clear" w:color="auto" w:fill="auto"/>
            <w:noWrap/>
            <w:hideMark/>
          </w:tcPr>
          <w:p w14:paraId="204A9033"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Live domestic turkeys, weighing &lt;= 185 g</w:t>
            </w:r>
          </w:p>
        </w:tc>
      </w:tr>
      <w:tr w:rsidR="00DD469C" w14:paraId="4CBB71D2"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504A3E48"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4</w:t>
            </w:r>
          </w:p>
        </w:tc>
        <w:tc>
          <w:tcPr>
            <w:tcW w:w="1087" w:type="dxa"/>
            <w:shd w:val="clear" w:color="auto" w:fill="auto"/>
            <w:noWrap/>
            <w:hideMark/>
          </w:tcPr>
          <w:p w14:paraId="4B44281F"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10513</w:t>
            </w:r>
          </w:p>
        </w:tc>
        <w:tc>
          <w:tcPr>
            <w:tcW w:w="7938" w:type="dxa"/>
            <w:shd w:val="clear" w:color="auto" w:fill="auto"/>
            <w:noWrap/>
            <w:hideMark/>
          </w:tcPr>
          <w:p w14:paraId="10C4108B"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Live domestic ducks, weighing &lt;= 185 g</w:t>
            </w:r>
          </w:p>
        </w:tc>
      </w:tr>
      <w:tr w:rsidR="00DD469C" w14:paraId="680E8E49"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4E0A7083"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5</w:t>
            </w:r>
          </w:p>
        </w:tc>
        <w:tc>
          <w:tcPr>
            <w:tcW w:w="1087" w:type="dxa"/>
            <w:shd w:val="clear" w:color="auto" w:fill="auto"/>
            <w:noWrap/>
            <w:hideMark/>
          </w:tcPr>
          <w:p w14:paraId="018B28A9"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10514</w:t>
            </w:r>
          </w:p>
        </w:tc>
        <w:tc>
          <w:tcPr>
            <w:tcW w:w="7938" w:type="dxa"/>
            <w:shd w:val="clear" w:color="auto" w:fill="auto"/>
            <w:noWrap/>
            <w:hideMark/>
          </w:tcPr>
          <w:p w14:paraId="52A3916B"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Live domestic geese, weighing &lt;= 185 g</w:t>
            </w:r>
          </w:p>
        </w:tc>
      </w:tr>
      <w:tr w:rsidR="00DD469C" w14:paraId="4C75CF4C"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117578B7"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6</w:t>
            </w:r>
          </w:p>
        </w:tc>
        <w:tc>
          <w:tcPr>
            <w:tcW w:w="1087" w:type="dxa"/>
            <w:shd w:val="clear" w:color="auto" w:fill="auto"/>
            <w:noWrap/>
            <w:hideMark/>
          </w:tcPr>
          <w:p w14:paraId="62A4B110"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10515</w:t>
            </w:r>
          </w:p>
        </w:tc>
        <w:tc>
          <w:tcPr>
            <w:tcW w:w="7938" w:type="dxa"/>
            <w:shd w:val="clear" w:color="auto" w:fill="auto"/>
            <w:noWrap/>
            <w:hideMark/>
          </w:tcPr>
          <w:p w14:paraId="63298F92"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 xml:space="preserve">Live </w:t>
            </w:r>
            <w:r w:rsidRPr="00820239">
              <w:rPr>
                <w:rFonts w:ascii="Calibri" w:eastAsia="Times New Roman" w:hAnsi="Calibri" w:cs="Calibri"/>
                <w:color w:val="000000"/>
              </w:rPr>
              <w:t>domestic guinea fowls, weighing &lt;= 185 g</w:t>
            </w:r>
          </w:p>
        </w:tc>
      </w:tr>
      <w:tr w:rsidR="00DD469C" w14:paraId="3634011D"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5E9E68BB"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7</w:t>
            </w:r>
          </w:p>
        </w:tc>
        <w:tc>
          <w:tcPr>
            <w:tcW w:w="1087" w:type="dxa"/>
            <w:shd w:val="clear" w:color="auto" w:fill="auto"/>
            <w:noWrap/>
            <w:hideMark/>
          </w:tcPr>
          <w:p w14:paraId="7E24AAC4"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20230</w:t>
            </w:r>
          </w:p>
        </w:tc>
        <w:tc>
          <w:tcPr>
            <w:tcW w:w="7938" w:type="dxa"/>
            <w:shd w:val="clear" w:color="auto" w:fill="auto"/>
            <w:noWrap/>
            <w:hideMark/>
          </w:tcPr>
          <w:p w14:paraId="5FB8236D"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Frozen, boneless meat of bovine animals</w:t>
            </w:r>
          </w:p>
        </w:tc>
      </w:tr>
      <w:tr w:rsidR="00DD469C" w14:paraId="0015FF81"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041B7A53"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8</w:t>
            </w:r>
          </w:p>
        </w:tc>
        <w:tc>
          <w:tcPr>
            <w:tcW w:w="1087" w:type="dxa"/>
            <w:shd w:val="clear" w:color="auto" w:fill="auto"/>
            <w:noWrap/>
            <w:hideMark/>
          </w:tcPr>
          <w:p w14:paraId="2D306BE4"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20442</w:t>
            </w:r>
          </w:p>
        </w:tc>
        <w:tc>
          <w:tcPr>
            <w:tcW w:w="7938" w:type="dxa"/>
            <w:shd w:val="clear" w:color="auto" w:fill="auto"/>
            <w:noWrap/>
            <w:hideMark/>
          </w:tcPr>
          <w:p w14:paraId="35A7C3F9"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Frozen cuts of sheep, with bone in (excl. carcases and half-carcases)</w:t>
            </w:r>
          </w:p>
        </w:tc>
      </w:tr>
      <w:tr w:rsidR="00DD469C" w14:paraId="5F47E95A"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66F79562"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9</w:t>
            </w:r>
          </w:p>
        </w:tc>
        <w:tc>
          <w:tcPr>
            <w:tcW w:w="1087" w:type="dxa"/>
            <w:shd w:val="clear" w:color="auto" w:fill="auto"/>
            <w:noWrap/>
            <w:hideMark/>
          </w:tcPr>
          <w:p w14:paraId="432AC02C"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20443</w:t>
            </w:r>
          </w:p>
        </w:tc>
        <w:tc>
          <w:tcPr>
            <w:tcW w:w="7938" w:type="dxa"/>
            <w:shd w:val="clear" w:color="auto" w:fill="auto"/>
            <w:noWrap/>
            <w:hideMark/>
          </w:tcPr>
          <w:p w14:paraId="5A1B2ADB"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Frozen boneless cuts of sheep</w:t>
            </w:r>
          </w:p>
        </w:tc>
      </w:tr>
      <w:tr w:rsidR="00DD469C" w14:paraId="6463BB0B"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64CFFAB5"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10</w:t>
            </w:r>
          </w:p>
        </w:tc>
        <w:tc>
          <w:tcPr>
            <w:tcW w:w="1087" w:type="dxa"/>
            <w:shd w:val="clear" w:color="auto" w:fill="auto"/>
            <w:noWrap/>
            <w:hideMark/>
          </w:tcPr>
          <w:p w14:paraId="19D1E9DE"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20622</w:t>
            </w:r>
          </w:p>
        </w:tc>
        <w:tc>
          <w:tcPr>
            <w:tcW w:w="7938" w:type="dxa"/>
            <w:shd w:val="clear" w:color="auto" w:fill="auto"/>
            <w:noWrap/>
            <w:hideMark/>
          </w:tcPr>
          <w:p w14:paraId="2505A3A5"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Frozen edible bovine livers</w:t>
            </w:r>
          </w:p>
        </w:tc>
      </w:tr>
      <w:tr w:rsidR="00DD469C" w14:paraId="4972A87D"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610B877C"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11</w:t>
            </w:r>
          </w:p>
        </w:tc>
        <w:tc>
          <w:tcPr>
            <w:tcW w:w="1087" w:type="dxa"/>
            <w:shd w:val="clear" w:color="auto" w:fill="auto"/>
            <w:noWrap/>
            <w:hideMark/>
          </w:tcPr>
          <w:p w14:paraId="12598EDE"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30213</w:t>
            </w:r>
          </w:p>
        </w:tc>
        <w:tc>
          <w:tcPr>
            <w:tcW w:w="7938" w:type="dxa"/>
            <w:shd w:val="clear" w:color="auto" w:fill="auto"/>
            <w:noWrap/>
            <w:hideMark/>
          </w:tcPr>
          <w:p w14:paraId="10CAA6EE"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Fresh or chilled Pacific salmon "Oncorhynchus nerka, Oncorhynchus gorbuscha, Oncorhynchus ket</w:t>
            </w:r>
            <w:r>
              <w:rPr>
                <w:rFonts w:ascii="Calibri" w:eastAsia="Times New Roman" w:hAnsi="Calibri" w:cs="Calibri"/>
                <w:color w:val="000000"/>
              </w:rPr>
              <w:t>a</w:t>
            </w:r>
            <w:r w:rsidRPr="00820239">
              <w:rPr>
                <w:rFonts w:ascii="Calibri" w:eastAsia="Times New Roman" w:hAnsi="Calibri" w:cs="Calibri"/>
                <w:color w:val="000000"/>
              </w:rPr>
              <w:t xml:space="preserve"> </w:t>
            </w:r>
          </w:p>
        </w:tc>
      </w:tr>
      <w:tr w:rsidR="00DD469C" w14:paraId="7F398AA8"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4EB6ADCF"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12</w:t>
            </w:r>
          </w:p>
        </w:tc>
        <w:tc>
          <w:tcPr>
            <w:tcW w:w="1087" w:type="dxa"/>
            <w:shd w:val="clear" w:color="auto" w:fill="auto"/>
            <w:noWrap/>
            <w:hideMark/>
          </w:tcPr>
          <w:p w14:paraId="5136B557"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30214</w:t>
            </w:r>
          </w:p>
        </w:tc>
        <w:tc>
          <w:tcPr>
            <w:tcW w:w="7938" w:type="dxa"/>
            <w:shd w:val="clear" w:color="auto" w:fill="auto"/>
            <w:noWrap/>
            <w:hideMark/>
          </w:tcPr>
          <w:p w14:paraId="3AD7ADF6"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Fresh or chilled Atlantic salmon "Salmo salar" and Danube salmon "Hucho hucho"</w:t>
            </w:r>
          </w:p>
        </w:tc>
      </w:tr>
      <w:tr w:rsidR="00DD469C" w14:paraId="55FA1BCF"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5D895C7F"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13</w:t>
            </w:r>
          </w:p>
        </w:tc>
        <w:tc>
          <w:tcPr>
            <w:tcW w:w="1087" w:type="dxa"/>
            <w:shd w:val="clear" w:color="auto" w:fill="auto"/>
            <w:noWrap/>
            <w:hideMark/>
          </w:tcPr>
          <w:p w14:paraId="79AE4B93"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30314</w:t>
            </w:r>
          </w:p>
        </w:tc>
        <w:tc>
          <w:tcPr>
            <w:tcW w:w="7938" w:type="dxa"/>
            <w:shd w:val="clear" w:color="auto" w:fill="auto"/>
            <w:noWrap/>
            <w:hideMark/>
          </w:tcPr>
          <w:p w14:paraId="2E9645A2"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 xml:space="preserve">Frozen trout "Salmo trutta, Oncorhynchus mykiss, Oncorhynchus clarki, Oncorhynchus aguabonita, Oncorhynchus gilae, Oncorhynchus apache </w:t>
            </w:r>
          </w:p>
        </w:tc>
      </w:tr>
      <w:tr w:rsidR="00DD469C" w14:paraId="12C24F54"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7709CABC"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14</w:t>
            </w:r>
          </w:p>
        </w:tc>
        <w:tc>
          <w:tcPr>
            <w:tcW w:w="1087" w:type="dxa"/>
            <w:shd w:val="clear" w:color="auto" w:fill="auto"/>
            <w:noWrap/>
            <w:hideMark/>
          </w:tcPr>
          <w:p w14:paraId="4DB375C6"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30341</w:t>
            </w:r>
          </w:p>
        </w:tc>
        <w:tc>
          <w:tcPr>
            <w:tcW w:w="7938" w:type="dxa"/>
            <w:shd w:val="clear" w:color="auto" w:fill="auto"/>
            <w:noWrap/>
            <w:hideMark/>
          </w:tcPr>
          <w:p w14:paraId="78BA00EC"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Frozen albacore or longfinned tunas "Thunnus alalunga"</w:t>
            </w:r>
          </w:p>
        </w:tc>
      </w:tr>
      <w:tr w:rsidR="00DD469C" w14:paraId="4E4A82AE"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436A0B14"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15</w:t>
            </w:r>
          </w:p>
        </w:tc>
        <w:tc>
          <w:tcPr>
            <w:tcW w:w="1087" w:type="dxa"/>
            <w:shd w:val="clear" w:color="auto" w:fill="auto"/>
            <w:noWrap/>
            <w:hideMark/>
          </w:tcPr>
          <w:p w14:paraId="5637D5A2"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30342</w:t>
            </w:r>
          </w:p>
        </w:tc>
        <w:tc>
          <w:tcPr>
            <w:tcW w:w="7938" w:type="dxa"/>
            <w:shd w:val="clear" w:color="auto" w:fill="auto"/>
            <w:noWrap/>
            <w:hideMark/>
          </w:tcPr>
          <w:p w14:paraId="370B79C0"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Frozen yellowfin tunas "Thunnus albacares"</w:t>
            </w:r>
          </w:p>
        </w:tc>
      </w:tr>
      <w:tr w:rsidR="00DD469C" w14:paraId="63374DC9"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1B843570"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16</w:t>
            </w:r>
          </w:p>
        </w:tc>
        <w:tc>
          <w:tcPr>
            <w:tcW w:w="1087" w:type="dxa"/>
            <w:shd w:val="clear" w:color="auto" w:fill="auto"/>
            <w:noWrap/>
            <w:hideMark/>
          </w:tcPr>
          <w:p w14:paraId="3A02D691"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30351</w:t>
            </w:r>
          </w:p>
        </w:tc>
        <w:tc>
          <w:tcPr>
            <w:tcW w:w="7938" w:type="dxa"/>
            <w:shd w:val="clear" w:color="auto" w:fill="auto"/>
            <w:noWrap/>
            <w:hideMark/>
          </w:tcPr>
          <w:p w14:paraId="19EE3A17"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Frozen herrings "Clupea harengus, Clupea pallasii"</w:t>
            </w:r>
          </w:p>
        </w:tc>
      </w:tr>
      <w:tr w:rsidR="00DD469C" w14:paraId="4B1615B5"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5BAFF228"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17</w:t>
            </w:r>
          </w:p>
        </w:tc>
        <w:tc>
          <w:tcPr>
            <w:tcW w:w="1087" w:type="dxa"/>
            <w:shd w:val="clear" w:color="auto" w:fill="auto"/>
            <w:noWrap/>
            <w:hideMark/>
          </w:tcPr>
          <w:p w14:paraId="07E9D615"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30551</w:t>
            </w:r>
          </w:p>
        </w:tc>
        <w:tc>
          <w:tcPr>
            <w:tcW w:w="7938" w:type="dxa"/>
            <w:shd w:val="clear" w:color="auto" w:fill="auto"/>
            <w:noWrap/>
            <w:hideMark/>
          </w:tcPr>
          <w:p w14:paraId="30C6862C"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Dried cod "Gadus morhua, Gadus ogac, Gadus macrocephalus", even salted, not smoked (excl. fillets and offal)</w:t>
            </w:r>
          </w:p>
        </w:tc>
      </w:tr>
      <w:tr w:rsidR="00DD469C" w14:paraId="01409C26"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294BA4C9"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18</w:t>
            </w:r>
          </w:p>
        </w:tc>
        <w:tc>
          <w:tcPr>
            <w:tcW w:w="1087" w:type="dxa"/>
            <w:shd w:val="clear" w:color="auto" w:fill="auto"/>
            <w:noWrap/>
            <w:hideMark/>
          </w:tcPr>
          <w:p w14:paraId="55FD794D"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30552</w:t>
            </w:r>
          </w:p>
        </w:tc>
        <w:tc>
          <w:tcPr>
            <w:tcW w:w="7938" w:type="dxa"/>
            <w:shd w:val="clear" w:color="auto" w:fill="auto"/>
            <w:noWrap/>
            <w:hideMark/>
          </w:tcPr>
          <w:p w14:paraId="78236758"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Dried tilapia "Oreochromis spp.", catfish "Pangasius spp., Silurus spp., Clarias spp., Ictalurus spp.", carp "Cyprinus spp., Carassius spp., Ctenopharyngodon idellus</w:t>
            </w:r>
          </w:p>
        </w:tc>
      </w:tr>
      <w:tr w:rsidR="00DD469C" w14:paraId="17E5DD9B"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26B316FA"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19</w:t>
            </w:r>
          </w:p>
        </w:tc>
        <w:tc>
          <w:tcPr>
            <w:tcW w:w="1087" w:type="dxa"/>
            <w:shd w:val="clear" w:color="auto" w:fill="auto"/>
            <w:noWrap/>
            <w:hideMark/>
          </w:tcPr>
          <w:p w14:paraId="3F853F00"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30553</w:t>
            </w:r>
          </w:p>
        </w:tc>
        <w:tc>
          <w:tcPr>
            <w:tcW w:w="7938" w:type="dxa"/>
            <w:shd w:val="clear" w:color="auto" w:fill="auto"/>
            <w:noWrap/>
            <w:hideMark/>
          </w:tcPr>
          <w:p w14:paraId="75CEC198"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 xml:space="preserve">Dried fish of the families Bregmacerotidae, Euclichthyidae, Gadidae, </w:t>
            </w:r>
            <w:r w:rsidRPr="00820239">
              <w:rPr>
                <w:rFonts w:ascii="Calibri" w:eastAsia="Times New Roman" w:hAnsi="Calibri" w:cs="Calibri"/>
                <w:color w:val="000000"/>
              </w:rPr>
              <w:t>Macrouridae</w:t>
            </w:r>
          </w:p>
        </w:tc>
      </w:tr>
      <w:tr w:rsidR="00DD469C" w14:paraId="2A3EB04B"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687340AC"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20</w:t>
            </w:r>
          </w:p>
        </w:tc>
        <w:tc>
          <w:tcPr>
            <w:tcW w:w="1087" w:type="dxa"/>
            <w:shd w:val="clear" w:color="auto" w:fill="auto"/>
            <w:noWrap/>
            <w:hideMark/>
          </w:tcPr>
          <w:p w14:paraId="2884FD9F"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30554</w:t>
            </w:r>
          </w:p>
        </w:tc>
        <w:tc>
          <w:tcPr>
            <w:tcW w:w="7938" w:type="dxa"/>
            <w:shd w:val="clear" w:color="auto" w:fill="auto"/>
            <w:noWrap/>
            <w:hideMark/>
          </w:tcPr>
          <w:p w14:paraId="11028F43"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 xml:space="preserve">Dried herrings "Clupea harengus, Clupea pallasii", anchovies "Engraulis spp.", sardines "Sardina pilchardus, Sardinops spp.", sardinella "Sardinella spp.", brisling or sprats </w:t>
            </w:r>
          </w:p>
        </w:tc>
      </w:tr>
      <w:tr w:rsidR="00DD469C" w14:paraId="42E0DCBE"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41FDF481"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21</w:t>
            </w:r>
          </w:p>
        </w:tc>
        <w:tc>
          <w:tcPr>
            <w:tcW w:w="1087" w:type="dxa"/>
            <w:shd w:val="clear" w:color="auto" w:fill="auto"/>
            <w:noWrap/>
            <w:hideMark/>
          </w:tcPr>
          <w:p w14:paraId="4699C8BD"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30559</w:t>
            </w:r>
          </w:p>
        </w:tc>
        <w:tc>
          <w:tcPr>
            <w:tcW w:w="7938" w:type="dxa"/>
            <w:shd w:val="clear" w:color="auto" w:fill="auto"/>
            <w:noWrap/>
            <w:hideMark/>
          </w:tcPr>
          <w:p w14:paraId="14B6C644"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 xml:space="preserve">Fish, dried, even salted but not smoked, n.e.s. </w:t>
            </w:r>
            <w:r w:rsidRPr="00820239">
              <w:rPr>
                <w:rFonts w:ascii="Calibri" w:eastAsia="Times New Roman" w:hAnsi="Calibri" w:cs="Calibri"/>
                <w:color w:val="000000"/>
              </w:rPr>
              <w:t>(excl. fillets and offal)</w:t>
            </w:r>
          </w:p>
        </w:tc>
      </w:tr>
      <w:tr w:rsidR="00DD469C" w14:paraId="01C70749"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47814E26"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22</w:t>
            </w:r>
          </w:p>
        </w:tc>
        <w:tc>
          <w:tcPr>
            <w:tcW w:w="1087" w:type="dxa"/>
            <w:shd w:val="clear" w:color="auto" w:fill="auto"/>
            <w:noWrap/>
            <w:hideMark/>
          </w:tcPr>
          <w:p w14:paraId="469FDB93"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30635</w:t>
            </w:r>
          </w:p>
        </w:tc>
        <w:tc>
          <w:tcPr>
            <w:tcW w:w="7938" w:type="dxa"/>
            <w:shd w:val="clear" w:color="auto" w:fill="auto"/>
            <w:noWrap/>
            <w:hideMark/>
          </w:tcPr>
          <w:p w14:paraId="7DB77316"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Cold-water shrimps and prawns "Pandalus spp., Crangon crangon", whether in shell or not, live, fresh or chilled</w:t>
            </w:r>
          </w:p>
        </w:tc>
      </w:tr>
      <w:tr w:rsidR="00DD469C" w14:paraId="4160CD26"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4B6F2B66"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23</w:t>
            </w:r>
          </w:p>
        </w:tc>
        <w:tc>
          <w:tcPr>
            <w:tcW w:w="1087" w:type="dxa"/>
            <w:shd w:val="clear" w:color="auto" w:fill="auto"/>
            <w:noWrap/>
            <w:hideMark/>
          </w:tcPr>
          <w:p w14:paraId="02E0C486"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30636</w:t>
            </w:r>
          </w:p>
        </w:tc>
        <w:tc>
          <w:tcPr>
            <w:tcW w:w="7938" w:type="dxa"/>
            <w:shd w:val="clear" w:color="auto" w:fill="auto"/>
            <w:noWrap/>
            <w:hideMark/>
          </w:tcPr>
          <w:p w14:paraId="03DFF258"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 xml:space="preserve">Shrimps and prawns, whether in shell or not, live, fresh or chilled (excl. cold-water </w:t>
            </w:r>
            <w:r w:rsidRPr="00820239">
              <w:rPr>
                <w:rFonts w:ascii="Calibri" w:eastAsia="Times New Roman" w:hAnsi="Calibri" w:cs="Calibri"/>
                <w:color w:val="000000"/>
              </w:rPr>
              <w:t>shrimps and prawns "Pandalus spp., Crangon crangon")</w:t>
            </w:r>
          </w:p>
        </w:tc>
      </w:tr>
      <w:tr w:rsidR="00DD469C" w14:paraId="6A81C5E1"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39AAF799"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24</w:t>
            </w:r>
          </w:p>
        </w:tc>
        <w:tc>
          <w:tcPr>
            <w:tcW w:w="1087" w:type="dxa"/>
            <w:shd w:val="clear" w:color="auto" w:fill="auto"/>
            <w:noWrap/>
            <w:hideMark/>
          </w:tcPr>
          <w:p w14:paraId="6EE97A1A"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30695</w:t>
            </w:r>
          </w:p>
        </w:tc>
        <w:tc>
          <w:tcPr>
            <w:tcW w:w="7938" w:type="dxa"/>
            <w:shd w:val="clear" w:color="auto" w:fill="auto"/>
            <w:noWrap/>
            <w:hideMark/>
          </w:tcPr>
          <w:p w14:paraId="0DFE2944"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Shrimps and prawns, whether in shell or not, dried, salted, smoked or in brine, incl. ones in shell, cooked by steaming or by boiling in water</w:t>
            </w:r>
          </w:p>
        </w:tc>
      </w:tr>
      <w:tr w:rsidR="00DD469C" w14:paraId="35560B05"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0F914114"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25</w:t>
            </w:r>
          </w:p>
        </w:tc>
        <w:tc>
          <w:tcPr>
            <w:tcW w:w="1087" w:type="dxa"/>
            <w:shd w:val="clear" w:color="auto" w:fill="auto"/>
            <w:noWrap/>
            <w:hideMark/>
          </w:tcPr>
          <w:p w14:paraId="527A44CD"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70110</w:t>
            </w:r>
          </w:p>
        </w:tc>
        <w:tc>
          <w:tcPr>
            <w:tcW w:w="7938" w:type="dxa"/>
            <w:shd w:val="clear" w:color="auto" w:fill="auto"/>
            <w:noWrap/>
            <w:hideMark/>
          </w:tcPr>
          <w:p w14:paraId="37AE5094"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Seed potatoes</w:t>
            </w:r>
          </w:p>
        </w:tc>
      </w:tr>
      <w:tr w:rsidR="00DD469C" w14:paraId="3E6F9B40"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40F17CB5"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26</w:t>
            </w:r>
          </w:p>
        </w:tc>
        <w:tc>
          <w:tcPr>
            <w:tcW w:w="1087" w:type="dxa"/>
            <w:shd w:val="clear" w:color="auto" w:fill="auto"/>
            <w:noWrap/>
            <w:hideMark/>
          </w:tcPr>
          <w:p w14:paraId="0B4A06F2"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70310</w:t>
            </w:r>
          </w:p>
        </w:tc>
        <w:tc>
          <w:tcPr>
            <w:tcW w:w="7938" w:type="dxa"/>
            <w:shd w:val="clear" w:color="auto" w:fill="auto"/>
            <w:noWrap/>
            <w:hideMark/>
          </w:tcPr>
          <w:p w14:paraId="31F92790"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 xml:space="preserve">Fresh or </w:t>
            </w:r>
            <w:r w:rsidRPr="00820239">
              <w:rPr>
                <w:rFonts w:ascii="Calibri" w:eastAsia="Times New Roman" w:hAnsi="Calibri" w:cs="Calibri"/>
                <w:color w:val="000000"/>
              </w:rPr>
              <w:t>chilled onions and shallots</w:t>
            </w:r>
          </w:p>
        </w:tc>
      </w:tr>
      <w:tr w:rsidR="00DD469C" w14:paraId="1A0696DF"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5AA3BB38"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27</w:t>
            </w:r>
          </w:p>
        </w:tc>
        <w:tc>
          <w:tcPr>
            <w:tcW w:w="1087" w:type="dxa"/>
            <w:shd w:val="clear" w:color="auto" w:fill="auto"/>
            <w:noWrap/>
            <w:hideMark/>
          </w:tcPr>
          <w:p w14:paraId="56522C6F"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70320</w:t>
            </w:r>
          </w:p>
        </w:tc>
        <w:tc>
          <w:tcPr>
            <w:tcW w:w="7938" w:type="dxa"/>
            <w:shd w:val="clear" w:color="auto" w:fill="auto"/>
            <w:noWrap/>
            <w:hideMark/>
          </w:tcPr>
          <w:p w14:paraId="297F770B"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Garlic, fresh or chilled</w:t>
            </w:r>
          </w:p>
        </w:tc>
      </w:tr>
      <w:tr w:rsidR="00DD469C" w14:paraId="7D2B204A"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09D6B37E"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28</w:t>
            </w:r>
          </w:p>
        </w:tc>
        <w:tc>
          <w:tcPr>
            <w:tcW w:w="1087" w:type="dxa"/>
            <w:shd w:val="clear" w:color="auto" w:fill="auto"/>
            <w:noWrap/>
            <w:hideMark/>
          </w:tcPr>
          <w:p w14:paraId="0CB0B162"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80231</w:t>
            </w:r>
          </w:p>
        </w:tc>
        <w:tc>
          <w:tcPr>
            <w:tcW w:w="7938" w:type="dxa"/>
            <w:shd w:val="clear" w:color="auto" w:fill="auto"/>
            <w:noWrap/>
            <w:hideMark/>
          </w:tcPr>
          <w:p w14:paraId="7191B073"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Fresh or dried walnuts, in shell</w:t>
            </w:r>
          </w:p>
        </w:tc>
      </w:tr>
      <w:tr w:rsidR="00DD469C" w14:paraId="1BB79005"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7A82A21A"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29</w:t>
            </w:r>
          </w:p>
        </w:tc>
        <w:tc>
          <w:tcPr>
            <w:tcW w:w="1087" w:type="dxa"/>
            <w:shd w:val="clear" w:color="auto" w:fill="auto"/>
            <w:noWrap/>
            <w:hideMark/>
          </w:tcPr>
          <w:p w14:paraId="0091BCF4"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90210</w:t>
            </w:r>
          </w:p>
        </w:tc>
        <w:tc>
          <w:tcPr>
            <w:tcW w:w="7938" w:type="dxa"/>
            <w:shd w:val="clear" w:color="auto" w:fill="auto"/>
            <w:noWrap/>
            <w:hideMark/>
          </w:tcPr>
          <w:p w14:paraId="720A99B4"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Green tea in immediate packings of &lt;= 3 kg</w:t>
            </w:r>
          </w:p>
        </w:tc>
      </w:tr>
      <w:tr w:rsidR="00DD469C" w14:paraId="746CDBC4"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6C1CD7F8"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30</w:t>
            </w:r>
          </w:p>
        </w:tc>
        <w:tc>
          <w:tcPr>
            <w:tcW w:w="1087" w:type="dxa"/>
            <w:shd w:val="clear" w:color="auto" w:fill="auto"/>
            <w:noWrap/>
            <w:hideMark/>
          </w:tcPr>
          <w:p w14:paraId="2996423A"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90220</w:t>
            </w:r>
          </w:p>
        </w:tc>
        <w:tc>
          <w:tcPr>
            <w:tcW w:w="7938" w:type="dxa"/>
            <w:shd w:val="clear" w:color="auto" w:fill="auto"/>
            <w:noWrap/>
            <w:hideMark/>
          </w:tcPr>
          <w:p w14:paraId="04776BBD"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Green tea in immediate packings of &gt; 3 kg</w:t>
            </w:r>
          </w:p>
        </w:tc>
      </w:tr>
      <w:tr w:rsidR="00DD469C" w14:paraId="2D09B60A"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0F37F18E"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31</w:t>
            </w:r>
          </w:p>
        </w:tc>
        <w:tc>
          <w:tcPr>
            <w:tcW w:w="1087" w:type="dxa"/>
            <w:shd w:val="clear" w:color="auto" w:fill="auto"/>
            <w:noWrap/>
            <w:hideMark/>
          </w:tcPr>
          <w:p w14:paraId="703A9818"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90510</w:t>
            </w:r>
          </w:p>
        </w:tc>
        <w:tc>
          <w:tcPr>
            <w:tcW w:w="7938" w:type="dxa"/>
            <w:shd w:val="clear" w:color="auto" w:fill="auto"/>
            <w:noWrap/>
            <w:hideMark/>
          </w:tcPr>
          <w:p w14:paraId="12E9C3D0"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 xml:space="preserve">Vanilla, neither crushed nor </w:t>
            </w:r>
            <w:r w:rsidRPr="00820239">
              <w:rPr>
                <w:rFonts w:ascii="Calibri" w:eastAsia="Times New Roman" w:hAnsi="Calibri" w:cs="Calibri"/>
                <w:color w:val="000000"/>
              </w:rPr>
              <w:t>ground</w:t>
            </w:r>
          </w:p>
        </w:tc>
      </w:tr>
      <w:tr w:rsidR="00DD469C" w14:paraId="03BFF2DE"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68996F4D"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32</w:t>
            </w:r>
          </w:p>
        </w:tc>
        <w:tc>
          <w:tcPr>
            <w:tcW w:w="1087" w:type="dxa"/>
            <w:shd w:val="clear" w:color="auto" w:fill="auto"/>
            <w:noWrap/>
            <w:hideMark/>
          </w:tcPr>
          <w:p w14:paraId="614FDCB9"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90520</w:t>
            </w:r>
          </w:p>
        </w:tc>
        <w:tc>
          <w:tcPr>
            <w:tcW w:w="7938" w:type="dxa"/>
            <w:shd w:val="clear" w:color="auto" w:fill="auto"/>
            <w:noWrap/>
            <w:hideMark/>
          </w:tcPr>
          <w:p w14:paraId="4FD399CB"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Vanilla, crushed or ground</w:t>
            </w:r>
          </w:p>
        </w:tc>
      </w:tr>
      <w:tr w:rsidR="00DD469C" w14:paraId="723B9095"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75D4D442"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33</w:t>
            </w:r>
          </w:p>
        </w:tc>
        <w:tc>
          <w:tcPr>
            <w:tcW w:w="1087" w:type="dxa"/>
            <w:shd w:val="clear" w:color="auto" w:fill="auto"/>
            <w:noWrap/>
            <w:hideMark/>
          </w:tcPr>
          <w:p w14:paraId="00DFEF3A"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90611</w:t>
            </w:r>
          </w:p>
        </w:tc>
        <w:tc>
          <w:tcPr>
            <w:tcW w:w="7938" w:type="dxa"/>
            <w:shd w:val="clear" w:color="auto" w:fill="auto"/>
            <w:noWrap/>
            <w:hideMark/>
          </w:tcPr>
          <w:p w14:paraId="29E9324E"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Cinnamon "Cinnamomum zeylanicum Blume" (excl. crushed and ground)</w:t>
            </w:r>
          </w:p>
        </w:tc>
      </w:tr>
      <w:tr w:rsidR="00DD469C" w14:paraId="4FEF7BFE"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72269CF3"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lastRenderedPageBreak/>
              <w:t>34</w:t>
            </w:r>
          </w:p>
        </w:tc>
        <w:tc>
          <w:tcPr>
            <w:tcW w:w="1087" w:type="dxa"/>
            <w:shd w:val="clear" w:color="auto" w:fill="auto"/>
            <w:noWrap/>
            <w:hideMark/>
          </w:tcPr>
          <w:p w14:paraId="4E5FFF67"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90619</w:t>
            </w:r>
          </w:p>
        </w:tc>
        <w:tc>
          <w:tcPr>
            <w:tcW w:w="7938" w:type="dxa"/>
            <w:shd w:val="clear" w:color="auto" w:fill="auto"/>
            <w:noWrap/>
            <w:hideMark/>
          </w:tcPr>
          <w:p w14:paraId="53D5E643"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Cinnamon and cinnamon-tree flowers (excl. cinnamon "Cinnamomum zeylanicum Blume" and crushed and ground cinnamon)</w:t>
            </w:r>
          </w:p>
        </w:tc>
      </w:tr>
      <w:tr w:rsidR="00DD469C" w14:paraId="4ACF3D97"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3174AF71"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35</w:t>
            </w:r>
          </w:p>
        </w:tc>
        <w:tc>
          <w:tcPr>
            <w:tcW w:w="1087" w:type="dxa"/>
            <w:shd w:val="clear" w:color="auto" w:fill="auto"/>
            <w:noWrap/>
            <w:hideMark/>
          </w:tcPr>
          <w:p w14:paraId="647B58AA"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90921</w:t>
            </w:r>
          </w:p>
        </w:tc>
        <w:tc>
          <w:tcPr>
            <w:tcW w:w="7938" w:type="dxa"/>
            <w:shd w:val="clear" w:color="auto" w:fill="auto"/>
            <w:noWrap/>
            <w:hideMark/>
          </w:tcPr>
          <w:p w14:paraId="6B05710F"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Coriander seeds, neither crushed nor ground</w:t>
            </w:r>
          </w:p>
        </w:tc>
      </w:tr>
      <w:tr w:rsidR="00DD469C" w14:paraId="7E189B59"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0B7AAE7D"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36</w:t>
            </w:r>
          </w:p>
        </w:tc>
        <w:tc>
          <w:tcPr>
            <w:tcW w:w="1087" w:type="dxa"/>
            <w:shd w:val="clear" w:color="auto" w:fill="auto"/>
            <w:noWrap/>
            <w:hideMark/>
          </w:tcPr>
          <w:p w14:paraId="7C84A2B6"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90922</w:t>
            </w:r>
          </w:p>
        </w:tc>
        <w:tc>
          <w:tcPr>
            <w:tcW w:w="7938" w:type="dxa"/>
            <w:shd w:val="clear" w:color="auto" w:fill="auto"/>
            <w:noWrap/>
            <w:hideMark/>
          </w:tcPr>
          <w:p w14:paraId="07630DE4"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Coriander seeds, crushed or ground</w:t>
            </w:r>
          </w:p>
        </w:tc>
      </w:tr>
      <w:tr w:rsidR="00DD469C" w14:paraId="3DF5A54E"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110C9607"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37</w:t>
            </w:r>
          </w:p>
        </w:tc>
        <w:tc>
          <w:tcPr>
            <w:tcW w:w="1087" w:type="dxa"/>
            <w:shd w:val="clear" w:color="auto" w:fill="auto"/>
            <w:noWrap/>
            <w:hideMark/>
          </w:tcPr>
          <w:p w14:paraId="2AE44537"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91030</w:t>
            </w:r>
          </w:p>
        </w:tc>
        <w:tc>
          <w:tcPr>
            <w:tcW w:w="7938" w:type="dxa"/>
            <w:shd w:val="clear" w:color="auto" w:fill="auto"/>
            <w:noWrap/>
            <w:hideMark/>
          </w:tcPr>
          <w:p w14:paraId="12400B13"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Turmeric "curcuma"</w:t>
            </w:r>
          </w:p>
        </w:tc>
      </w:tr>
      <w:tr w:rsidR="00DD469C" w14:paraId="2AE23590"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13D36D2B"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38</w:t>
            </w:r>
          </w:p>
        </w:tc>
        <w:tc>
          <w:tcPr>
            <w:tcW w:w="1087" w:type="dxa"/>
            <w:shd w:val="clear" w:color="auto" w:fill="auto"/>
            <w:noWrap/>
            <w:hideMark/>
          </w:tcPr>
          <w:p w14:paraId="310FB734"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100620</w:t>
            </w:r>
          </w:p>
        </w:tc>
        <w:tc>
          <w:tcPr>
            <w:tcW w:w="7938" w:type="dxa"/>
            <w:shd w:val="clear" w:color="auto" w:fill="auto"/>
            <w:noWrap/>
            <w:hideMark/>
          </w:tcPr>
          <w:p w14:paraId="42F422A7"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Husked or brown rice</w:t>
            </w:r>
          </w:p>
        </w:tc>
      </w:tr>
      <w:tr w:rsidR="00DD469C" w14:paraId="3458DA7A"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432DA76F"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39</w:t>
            </w:r>
          </w:p>
        </w:tc>
        <w:tc>
          <w:tcPr>
            <w:tcW w:w="1087" w:type="dxa"/>
            <w:shd w:val="clear" w:color="auto" w:fill="auto"/>
            <w:noWrap/>
            <w:hideMark/>
          </w:tcPr>
          <w:p w14:paraId="497D2A29"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100710</w:t>
            </w:r>
          </w:p>
        </w:tc>
        <w:tc>
          <w:tcPr>
            <w:tcW w:w="7938" w:type="dxa"/>
            <w:shd w:val="clear" w:color="auto" w:fill="auto"/>
            <w:noWrap/>
            <w:hideMark/>
          </w:tcPr>
          <w:p w14:paraId="61C742C1"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Grain sorghum, for sowing</w:t>
            </w:r>
          </w:p>
        </w:tc>
      </w:tr>
      <w:tr w:rsidR="00DD469C" w14:paraId="14EE01AE"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4FC25788"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40</w:t>
            </w:r>
          </w:p>
        </w:tc>
        <w:tc>
          <w:tcPr>
            <w:tcW w:w="1087" w:type="dxa"/>
            <w:shd w:val="clear" w:color="auto" w:fill="auto"/>
            <w:noWrap/>
            <w:hideMark/>
          </w:tcPr>
          <w:p w14:paraId="6DA4D4BF"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100790</w:t>
            </w:r>
          </w:p>
        </w:tc>
        <w:tc>
          <w:tcPr>
            <w:tcW w:w="7938" w:type="dxa"/>
            <w:shd w:val="clear" w:color="auto" w:fill="auto"/>
            <w:noWrap/>
            <w:hideMark/>
          </w:tcPr>
          <w:p w14:paraId="67828325"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Grain sorghum (excl. for sowing)</w:t>
            </w:r>
          </w:p>
        </w:tc>
      </w:tr>
      <w:tr w:rsidR="00DD469C" w14:paraId="415CD00C"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09C31E85"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41</w:t>
            </w:r>
          </w:p>
        </w:tc>
        <w:tc>
          <w:tcPr>
            <w:tcW w:w="1087" w:type="dxa"/>
            <w:shd w:val="clear" w:color="auto" w:fill="auto"/>
            <w:noWrap/>
            <w:hideMark/>
          </w:tcPr>
          <w:p w14:paraId="1D769189"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110313</w:t>
            </w:r>
          </w:p>
        </w:tc>
        <w:tc>
          <w:tcPr>
            <w:tcW w:w="7938" w:type="dxa"/>
            <w:shd w:val="clear" w:color="auto" w:fill="auto"/>
            <w:noWrap/>
            <w:hideMark/>
          </w:tcPr>
          <w:p w14:paraId="68B9F79A"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Groats and meal of maize "corn"</w:t>
            </w:r>
          </w:p>
        </w:tc>
      </w:tr>
      <w:tr w:rsidR="00DD469C" w14:paraId="2BBBCF27"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20A634ED"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42</w:t>
            </w:r>
          </w:p>
        </w:tc>
        <w:tc>
          <w:tcPr>
            <w:tcW w:w="1087" w:type="dxa"/>
            <w:shd w:val="clear" w:color="auto" w:fill="auto"/>
            <w:noWrap/>
            <w:hideMark/>
          </w:tcPr>
          <w:p w14:paraId="23493666"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110814</w:t>
            </w:r>
          </w:p>
        </w:tc>
        <w:tc>
          <w:tcPr>
            <w:tcW w:w="7938" w:type="dxa"/>
            <w:shd w:val="clear" w:color="auto" w:fill="auto"/>
            <w:noWrap/>
            <w:hideMark/>
          </w:tcPr>
          <w:p w14:paraId="4AB8B9C6"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Manioc starch</w:t>
            </w:r>
          </w:p>
        </w:tc>
      </w:tr>
      <w:tr w:rsidR="00DD469C" w14:paraId="1AC1E0E6"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5F06C60F"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43</w:t>
            </w:r>
          </w:p>
        </w:tc>
        <w:tc>
          <w:tcPr>
            <w:tcW w:w="1087" w:type="dxa"/>
            <w:shd w:val="clear" w:color="auto" w:fill="auto"/>
            <w:noWrap/>
            <w:hideMark/>
          </w:tcPr>
          <w:p w14:paraId="21E924D0"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120110</w:t>
            </w:r>
          </w:p>
        </w:tc>
        <w:tc>
          <w:tcPr>
            <w:tcW w:w="7938" w:type="dxa"/>
            <w:shd w:val="clear" w:color="auto" w:fill="auto"/>
            <w:noWrap/>
            <w:hideMark/>
          </w:tcPr>
          <w:p w14:paraId="0836009B"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Soya bean seed, for sowing</w:t>
            </w:r>
          </w:p>
        </w:tc>
      </w:tr>
      <w:tr w:rsidR="00DD469C" w14:paraId="00E29B55"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1ADD9FF0"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44</w:t>
            </w:r>
          </w:p>
        </w:tc>
        <w:tc>
          <w:tcPr>
            <w:tcW w:w="1087" w:type="dxa"/>
            <w:shd w:val="clear" w:color="auto" w:fill="auto"/>
            <w:noWrap/>
            <w:hideMark/>
          </w:tcPr>
          <w:p w14:paraId="434D7F7F"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120190</w:t>
            </w:r>
          </w:p>
        </w:tc>
        <w:tc>
          <w:tcPr>
            <w:tcW w:w="7938" w:type="dxa"/>
            <w:shd w:val="clear" w:color="auto" w:fill="auto"/>
            <w:noWrap/>
            <w:hideMark/>
          </w:tcPr>
          <w:p w14:paraId="0F2105A7"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Soya beans, whether or not broken (excl. seed for sowing)</w:t>
            </w:r>
          </w:p>
        </w:tc>
      </w:tr>
      <w:tr w:rsidR="00DD469C" w14:paraId="07D2BEB9"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106DC02F"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45</w:t>
            </w:r>
          </w:p>
        </w:tc>
        <w:tc>
          <w:tcPr>
            <w:tcW w:w="1087" w:type="dxa"/>
            <w:shd w:val="clear" w:color="auto" w:fill="auto"/>
            <w:noWrap/>
            <w:hideMark/>
          </w:tcPr>
          <w:p w14:paraId="5D72764F"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120600</w:t>
            </w:r>
          </w:p>
        </w:tc>
        <w:tc>
          <w:tcPr>
            <w:tcW w:w="7938" w:type="dxa"/>
            <w:shd w:val="clear" w:color="auto" w:fill="auto"/>
            <w:noWrap/>
            <w:hideMark/>
          </w:tcPr>
          <w:p w14:paraId="0B3192A0"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Sunflower seeds, whether or not broken</w:t>
            </w:r>
          </w:p>
        </w:tc>
      </w:tr>
      <w:tr w:rsidR="00DD469C" w14:paraId="712B158D"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3AEB7455"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46</w:t>
            </w:r>
          </w:p>
        </w:tc>
        <w:tc>
          <w:tcPr>
            <w:tcW w:w="1087" w:type="dxa"/>
            <w:shd w:val="clear" w:color="auto" w:fill="auto"/>
            <w:noWrap/>
            <w:hideMark/>
          </w:tcPr>
          <w:p w14:paraId="75DAB266"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120721</w:t>
            </w:r>
          </w:p>
        </w:tc>
        <w:tc>
          <w:tcPr>
            <w:tcW w:w="7938" w:type="dxa"/>
            <w:shd w:val="clear" w:color="auto" w:fill="auto"/>
            <w:noWrap/>
            <w:hideMark/>
          </w:tcPr>
          <w:p w14:paraId="61FAE4DE"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Cotton seeds for sowing</w:t>
            </w:r>
          </w:p>
        </w:tc>
      </w:tr>
      <w:tr w:rsidR="00DD469C" w14:paraId="0CAB1E39"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1CE6BA8F"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47</w:t>
            </w:r>
          </w:p>
        </w:tc>
        <w:tc>
          <w:tcPr>
            <w:tcW w:w="1087" w:type="dxa"/>
            <w:shd w:val="clear" w:color="auto" w:fill="auto"/>
            <w:noWrap/>
            <w:hideMark/>
          </w:tcPr>
          <w:p w14:paraId="5A8FCEFF"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120729</w:t>
            </w:r>
          </w:p>
        </w:tc>
        <w:tc>
          <w:tcPr>
            <w:tcW w:w="7938" w:type="dxa"/>
            <w:shd w:val="clear" w:color="auto" w:fill="auto"/>
            <w:noWrap/>
            <w:hideMark/>
          </w:tcPr>
          <w:p w14:paraId="5A04FEAD"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Cotton seeds (excl. for sowing)</w:t>
            </w:r>
          </w:p>
        </w:tc>
      </w:tr>
      <w:tr w:rsidR="00DD469C" w14:paraId="471956BB"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1BB32F5A"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48</w:t>
            </w:r>
          </w:p>
        </w:tc>
        <w:tc>
          <w:tcPr>
            <w:tcW w:w="1087" w:type="dxa"/>
            <w:shd w:val="clear" w:color="auto" w:fill="auto"/>
            <w:noWrap/>
            <w:hideMark/>
          </w:tcPr>
          <w:p w14:paraId="442C3D7A"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120890</w:t>
            </w:r>
          </w:p>
        </w:tc>
        <w:tc>
          <w:tcPr>
            <w:tcW w:w="7938" w:type="dxa"/>
            <w:shd w:val="clear" w:color="auto" w:fill="auto"/>
            <w:noWrap/>
            <w:hideMark/>
          </w:tcPr>
          <w:p w14:paraId="703F4A7B"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Flours and meal of oil seeds or oleaginous fruit (excl. soya and mustard)</w:t>
            </w:r>
          </w:p>
        </w:tc>
      </w:tr>
      <w:tr w:rsidR="00DD469C" w14:paraId="39B89C02"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32211C20"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49</w:t>
            </w:r>
          </w:p>
        </w:tc>
        <w:tc>
          <w:tcPr>
            <w:tcW w:w="1087" w:type="dxa"/>
            <w:shd w:val="clear" w:color="auto" w:fill="auto"/>
            <w:noWrap/>
            <w:hideMark/>
          </w:tcPr>
          <w:p w14:paraId="3B40C973"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120910</w:t>
            </w:r>
          </w:p>
        </w:tc>
        <w:tc>
          <w:tcPr>
            <w:tcW w:w="7938" w:type="dxa"/>
            <w:shd w:val="clear" w:color="auto" w:fill="auto"/>
            <w:noWrap/>
            <w:hideMark/>
          </w:tcPr>
          <w:p w14:paraId="3F7D01BE"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Sugar beet seed, for sowing</w:t>
            </w:r>
          </w:p>
        </w:tc>
      </w:tr>
      <w:tr w:rsidR="00DD469C" w14:paraId="547EDC57"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7A45C53A"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50</w:t>
            </w:r>
          </w:p>
        </w:tc>
        <w:tc>
          <w:tcPr>
            <w:tcW w:w="1087" w:type="dxa"/>
            <w:shd w:val="clear" w:color="auto" w:fill="auto"/>
            <w:noWrap/>
            <w:hideMark/>
          </w:tcPr>
          <w:p w14:paraId="61AC2D5E"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121490</w:t>
            </w:r>
          </w:p>
        </w:tc>
        <w:tc>
          <w:tcPr>
            <w:tcW w:w="7938" w:type="dxa"/>
            <w:shd w:val="clear" w:color="auto" w:fill="auto"/>
            <w:noWrap/>
            <w:hideMark/>
          </w:tcPr>
          <w:p w14:paraId="25554D2F"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 xml:space="preserve">Swedes, mangolds, fodder roots, hay, lucerne "alfalfa", clover, sainfoin, </w:t>
            </w:r>
            <w:r w:rsidRPr="00820239">
              <w:rPr>
                <w:rFonts w:ascii="Calibri" w:eastAsia="Times New Roman" w:hAnsi="Calibri" w:cs="Calibri"/>
                <w:color w:val="000000"/>
              </w:rPr>
              <w:t>forage kale</w:t>
            </w:r>
          </w:p>
        </w:tc>
      </w:tr>
      <w:tr w:rsidR="00DD469C" w14:paraId="3E3EF610"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21D7CE66"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51</w:t>
            </w:r>
          </w:p>
        </w:tc>
        <w:tc>
          <w:tcPr>
            <w:tcW w:w="1087" w:type="dxa"/>
            <w:shd w:val="clear" w:color="auto" w:fill="auto"/>
            <w:noWrap/>
            <w:hideMark/>
          </w:tcPr>
          <w:p w14:paraId="6F15DBE5"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130213</w:t>
            </w:r>
          </w:p>
        </w:tc>
        <w:tc>
          <w:tcPr>
            <w:tcW w:w="7938" w:type="dxa"/>
            <w:shd w:val="clear" w:color="auto" w:fill="auto"/>
            <w:noWrap/>
            <w:hideMark/>
          </w:tcPr>
          <w:p w14:paraId="34A1CCEA"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Extracts of hops</w:t>
            </w:r>
          </w:p>
        </w:tc>
      </w:tr>
      <w:tr w:rsidR="00DD469C" w14:paraId="206DC235"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1072A17A"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52</w:t>
            </w:r>
          </w:p>
        </w:tc>
        <w:tc>
          <w:tcPr>
            <w:tcW w:w="1087" w:type="dxa"/>
            <w:shd w:val="clear" w:color="auto" w:fill="auto"/>
            <w:noWrap/>
            <w:hideMark/>
          </w:tcPr>
          <w:p w14:paraId="18A97ABF"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151521</w:t>
            </w:r>
          </w:p>
        </w:tc>
        <w:tc>
          <w:tcPr>
            <w:tcW w:w="7938" w:type="dxa"/>
            <w:shd w:val="clear" w:color="auto" w:fill="auto"/>
            <w:noWrap/>
            <w:hideMark/>
          </w:tcPr>
          <w:p w14:paraId="38D6B86B"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Crude maize oil</w:t>
            </w:r>
          </w:p>
        </w:tc>
      </w:tr>
      <w:tr w:rsidR="00DD469C" w14:paraId="189D1830"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2DC01CDC"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53</w:t>
            </w:r>
          </w:p>
        </w:tc>
        <w:tc>
          <w:tcPr>
            <w:tcW w:w="1087" w:type="dxa"/>
            <w:shd w:val="clear" w:color="auto" w:fill="auto"/>
            <w:noWrap/>
            <w:hideMark/>
          </w:tcPr>
          <w:p w14:paraId="3E1FE0D7"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151590</w:t>
            </w:r>
          </w:p>
        </w:tc>
        <w:tc>
          <w:tcPr>
            <w:tcW w:w="7938" w:type="dxa"/>
            <w:shd w:val="clear" w:color="auto" w:fill="auto"/>
            <w:noWrap/>
            <w:hideMark/>
          </w:tcPr>
          <w:p w14:paraId="6801656E"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Fixed vegetable fats and oils and their fractions, whether or not refined, but not chemically modified</w:t>
            </w:r>
          </w:p>
        </w:tc>
      </w:tr>
      <w:tr w:rsidR="00DD469C" w14:paraId="602684AB"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5DB59A24"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54</w:t>
            </w:r>
          </w:p>
        </w:tc>
        <w:tc>
          <w:tcPr>
            <w:tcW w:w="1087" w:type="dxa"/>
            <w:shd w:val="clear" w:color="auto" w:fill="auto"/>
            <w:noWrap/>
            <w:hideMark/>
          </w:tcPr>
          <w:p w14:paraId="1AE73378"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170113</w:t>
            </w:r>
          </w:p>
        </w:tc>
        <w:tc>
          <w:tcPr>
            <w:tcW w:w="7938" w:type="dxa"/>
            <w:shd w:val="clear" w:color="auto" w:fill="auto"/>
            <w:noWrap/>
            <w:hideMark/>
          </w:tcPr>
          <w:p w14:paraId="32AE34A6"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 xml:space="preserve">Raw cane sugar, in solid form, not containing added </w:t>
            </w:r>
            <w:r w:rsidRPr="00820239">
              <w:rPr>
                <w:rFonts w:ascii="Calibri" w:eastAsia="Times New Roman" w:hAnsi="Calibri" w:cs="Calibri"/>
                <w:color w:val="000000"/>
              </w:rPr>
              <w:t>flavouring or colouring matter, obtained without centrifugation, with sucrose content 69° to 93°, containing only natural anhedral microcrystals (see subheading note 2.)</w:t>
            </w:r>
          </w:p>
        </w:tc>
      </w:tr>
      <w:tr w:rsidR="00DD469C" w14:paraId="2AFE4473"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40BC6F16"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55</w:t>
            </w:r>
          </w:p>
        </w:tc>
        <w:tc>
          <w:tcPr>
            <w:tcW w:w="1087" w:type="dxa"/>
            <w:shd w:val="clear" w:color="auto" w:fill="auto"/>
            <w:noWrap/>
            <w:hideMark/>
          </w:tcPr>
          <w:p w14:paraId="17FE661A"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170114</w:t>
            </w:r>
          </w:p>
        </w:tc>
        <w:tc>
          <w:tcPr>
            <w:tcW w:w="7938" w:type="dxa"/>
            <w:shd w:val="clear" w:color="auto" w:fill="auto"/>
            <w:noWrap/>
            <w:hideMark/>
          </w:tcPr>
          <w:p w14:paraId="159FB563"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Raw cane sugar, in solid form, not containing added flavouring or colouring</w:t>
            </w:r>
            <w:r w:rsidRPr="00820239">
              <w:rPr>
                <w:rFonts w:ascii="Calibri" w:eastAsia="Times New Roman" w:hAnsi="Calibri" w:cs="Calibri"/>
                <w:color w:val="000000"/>
              </w:rPr>
              <w:t xml:space="preserve"> matter (excl. cane sugar of 1701 13)</w:t>
            </w:r>
          </w:p>
        </w:tc>
      </w:tr>
      <w:tr w:rsidR="00DD469C" w14:paraId="16421E4E"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7794AD11"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56</w:t>
            </w:r>
          </w:p>
        </w:tc>
        <w:tc>
          <w:tcPr>
            <w:tcW w:w="1087" w:type="dxa"/>
            <w:shd w:val="clear" w:color="auto" w:fill="auto"/>
            <w:noWrap/>
            <w:hideMark/>
          </w:tcPr>
          <w:p w14:paraId="1DC05559"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180100</w:t>
            </w:r>
          </w:p>
        </w:tc>
        <w:tc>
          <w:tcPr>
            <w:tcW w:w="7938" w:type="dxa"/>
            <w:shd w:val="clear" w:color="auto" w:fill="auto"/>
            <w:noWrap/>
            <w:hideMark/>
          </w:tcPr>
          <w:p w14:paraId="7696E7A8"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Cocoa beans, whole or broken, raw or roasted</w:t>
            </w:r>
          </w:p>
        </w:tc>
      </w:tr>
      <w:tr w:rsidR="00DD469C" w14:paraId="426E6C09"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01915CFF"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57</w:t>
            </w:r>
          </w:p>
        </w:tc>
        <w:tc>
          <w:tcPr>
            <w:tcW w:w="1087" w:type="dxa"/>
            <w:shd w:val="clear" w:color="auto" w:fill="auto"/>
            <w:noWrap/>
            <w:hideMark/>
          </w:tcPr>
          <w:p w14:paraId="40A96121"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200310</w:t>
            </w:r>
          </w:p>
        </w:tc>
        <w:tc>
          <w:tcPr>
            <w:tcW w:w="7938" w:type="dxa"/>
            <w:shd w:val="clear" w:color="auto" w:fill="auto"/>
            <w:noWrap/>
            <w:hideMark/>
          </w:tcPr>
          <w:p w14:paraId="3CFFF533"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Mushrooms of the genus "Agaricus", prepared or preserved otherwise than by vinegar or acetic acid</w:t>
            </w:r>
          </w:p>
        </w:tc>
      </w:tr>
      <w:tr w:rsidR="00DD469C" w14:paraId="0E700F3E"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21336C30"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58</w:t>
            </w:r>
          </w:p>
        </w:tc>
        <w:tc>
          <w:tcPr>
            <w:tcW w:w="1087" w:type="dxa"/>
            <w:shd w:val="clear" w:color="auto" w:fill="auto"/>
            <w:noWrap/>
            <w:hideMark/>
          </w:tcPr>
          <w:p w14:paraId="4CCA3BE3"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200390</w:t>
            </w:r>
          </w:p>
        </w:tc>
        <w:tc>
          <w:tcPr>
            <w:tcW w:w="7938" w:type="dxa"/>
            <w:shd w:val="clear" w:color="auto" w:fill="auto"/>
            <w:noWrap/>
            <w:hideMark/>
          </w:tcPr>
          <w:p w14:paraId="05685420"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 xml:space="preserve">Mushrooms and truffles, prepared or </w:t>
            </w:r>
            <w:r w:rsidRPr="00820239">
              <w:rPr>
                <w:rFonts w:ascii="Calibri" w:eastAsia="Times New Roman" w:hAnsi="Calibri" w:cs="Calibri"/>
                <w:color w:val="000000"/>
              </w:rPr>
              <w:t>preserved otherwise than by vinegar or acetic acid (excl. mushrooms of the genus "Agaricus")</w:t>
            </w:r>
          </w:p>
        </w:tc>
      </w:tr>
      <w:tr w:rsidR="00DD469C" w14:paraId="0D1176A7"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7C05792A"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59</w:t>
            </w:r>
          </w:p>
        </w:tc>
        <w:tc>
          <w:tcPr>
            <w:tcW w:w="1087" w:type="dxa"/>
            <w:shd w:val="clear" w:color="auto" w:fill="auto"/>
            <w:noWrap/>
            <w:hideMark/>
          </w:tcPr>
          <w:p w14:paraId="79063092"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200559</w:t>
            </w:r>
          </w:p>
        </w:tc>
        <w:tc>
          <w:tcPr>
            <w:tcW w:w="7938" w:type="dxa"/>
            <w:shd w:val="clear" w:color="auto" w:fill="auto"/>
            <w:noWrap/>
            <w:hideMark/>
          </w:tcPr>
          <w:p w14:paraId="7D825C07"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Unshelled beans "Vigna spp., Phaseolus spp.", prepared or preserved otherwise than by vinegar or acetic acid (excl. frozen)</w:t>
            </w:r>
          </w:p>
        </w:tc>
      </w:tr>
      <w:tr w:rsidR="00DD469C" w14:paraId="7C473D3E"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72018CC0"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60</w:t>
            </w:r>
          </w:p>
        </w:tc>
        <w:tc>
          <w:tcPr>
            <w:tcW w:w="1087" w:type="dxa"/>
            <w:shd w:val="clear" w:color="auto" w:fill="auto"/>
            <w:noWrap/>
            <w:hideMark/>
          </w:tcPr>
          <w:p w14:paraId="4081A8C5"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200971</w:t>
            </w:r>
          </w:p>
        </w:tc>
        <w:tc>
          <w:tcPr>
            <w:tcW w:w="7938" w:type="dxa"/>
            <w:shd w:val="clear" w:color="auto" w:fill="auto"/>
            <w:noWrap/>
            <w:hideMark/>
          </w:tcPr>
          <w:p w14:paraId="493473B2"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Apple juice, unfe</w:t>
            </w:r>
            <w:r w:rsidRPr="00820239">
              <w:rPr>
                <w:rFonts w:ascii="Calibri" w:eastAsia="Times New Roman" w:hAnsi="Calibri" w:cs="Calibri"/>
                <w:color w:val="000000"/>
              </w:rPr>
              <w:t>rmented, Brix value &lt;= 20 at 20°C, whether or not containing added sugar or other sweetening matter (excl. containing spirit)</w:t>
            </w:r>
          </w:p>
        </w:tc>
      </w:tr>
      <w:tr w:rsidR="00DD469C" w14:paraId="1F4956D6"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54055B99"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61</w:t>
            </w:r>
          </w:p>
        </w:tc>
        <w:tc>
          <w:tcPr>
            <w:tcW w:w="1087" w:type="dxa"/>
            <w:shd w:val="clear" w:color="auto" w:fill="auto"/>
            <w:noWrap/>
            <w:hideMark/>
          </w:tcPr>
          <w:p w14:paraId="6C97E1F5"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210130</w:t>
            </w:r>
          </w:p>
        </w:tc>
        <w:tc>
          <w:tcPr>
            <w:tcW w:w="7938" w:type="dxa"/>
            <w:shd w:val="clear" w:color="auto" w:fill="auto"/>
            <w:noWrap/>
            <w:hideMark/>
          </w:tcPr>
          <w:p w14:paraId="19C46AFE"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Roasted chicory and other roasted coffee substitutes, and extracts, essences and concentrates thereof</w:t>
            </w:r>
          </w:p>
        </w:tc>
      </w:tr>
      <w:tr w:rsidR="00DD469C" w14:paraId="25765095"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5B950AEF"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62</w:t>
            </w:r>
          </w:p>
        </w:tc>
        <w:tc>
          <w:tcPr>
            <w:tcW w:w="1087" w:type="dxa"/>
            <w:shd w:val="clear" w:color="auto" w:fill="auto"/>
            <w:noWrap/>
            <w:hideMark/>
          </w:tcPr>
          <w:p w14:paraId="7FD15FB1"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210420</w:t>
            </w:r>
          </w:p>
        </w:tc>
        <w:tc>
          <w:tcPr>
            <w:tcW w:w="7938" w:type="dxa"/>
            <w:shd w:val="clear" w:color="auto" w:fill="auto"/>
            <w:noWrap/>
            <w:hideMark/>
          </w:tcPr>
          <w:p w14:paraId="1E510695"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Food preparations consisting of finely homogenised mixtures of two or more basic ingredients, such as meat, fish, vegetables or fruit, put up for retail sale as infant food or for dietetic purposes, in containers of &lt;= 250 g</w:t>
            </w:r>
          </w:p>
        </w:tc>
      </w:tr>
      <w:tr w:rsidR="00DD469C" w14:paraId="20764C15"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46FE1E6C"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63</w:t>
            </w:r>
          </w:p>
        </w:tc>
        <w:tc>
          <w:tcPr>
            <w:tcW w:w="1087" w:type="dxa"/>
            <w:shd w:val="clear" w:color="auto" w:fill="auto"/>
            <w:noWrap/>
            <w:hideMark/>
          </w:tcPr>
          <w:p w14:paraId="1DE1FB37"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220410</w:t>
            </w:r>
          </w:p>
        </w:tc>
        <w:tc>
          <w:tcPr>
            <w:tcW w:w="7938" w:type="dxa"/>
            <w:shd w:val="clear" w:color="auto" w:fill="auto"/>
            <w:noWrap/>
            <w:hideMark/>
          </w:tcPr>
          <w:p w14:paraId="016F28A1"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Sparkling wine of fr</w:t>
            </w:r>
            <w:r w:rsidRPr="00820239">
              <w:rPr>
                <w:rFonts w:ascii="Calibri" w:eastAsia="Times New Roman" w:hAnsi="Calibri" w:cs="Calibri"/>
                <w:color w:val="000000"/>
              </w:rPr>
              <w:t>esh grapes</w:t>
            </w:r>
          </w:p>
        </w:tc>
      </w:tr>
      <w:tr w:rsidR="00DD469C" w14:paraId="04603826"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75517FD1"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64</w:t>
            </w:r>
          </w:p>
        </w:tc>
        <w:tc>
          <w:tcPr>
            <w:tcW w:w="1087" w:type="dxa"/>
            <w:shd w:val="clear" w:color="auto" w:fill="auto"/>
            <w:noWrap/>
            <w:hideMark/>
          </w:tcPr>
          <w:p w14:paraId="52A1777D"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220422</w:t>
            </w:r>
          </w:p>
        </w:tc>
        <w:tc>
          <w:tcPr>
            <w:tcW w:w="7938" w:type="dxa"/>
            <w:shd w:val="clear" w:color="auto" w:fill="auto"/>
            <w:noWrap/>
            <w:hideMark/>
          </w:tcPr>
          <w:p w14:paraId="1771D0B4"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 xml:space="preserve">Wine of fresh grapes, incl. fortified wines, and grape must whose fermentation has been arrested by the addition of alcohol, in containers of &gt; 2 l but &lt;= 10 l </w:t>
            </w:r>
          </w:p>
        </w:tc>
      </w:tr>
      <w:tr w:rsidR="00DD469C" w14:paraId="24941183"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7A56CA77"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65</w:t>
            </w:r>
          </w:p>
        </w:tc>
        <w:tc>
          <w:tcPr>
            <w:tcW w:w="1087" w:type="dxa"/>
            <w:shd w:val="clear" w:color="auto" w:fill="auto"/>
            <w:noWrap/>
            <w:hideMark/>
          </w:tcPr>
          <w:p w14:paraId="6EA22E10"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220429</w:t>
            </w:r>
          </w:p>
        </w:tc>
        <w:tc>
          <w:tcPr>
            <w:tcW w:w="7938" w:type="dxa"/>
            <w:shd w:val="clear" w:color="auto" w:fill="auto"/>
            <w:noWrap/>
            <w:hideMark/>
          </w:tcPr>
          <w:p w14:paraId="5ECE1F4F"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 xml:space="preserve">Wine of fresh grapes, incl. fortified wines, and grape </w:t>
            </w:r>
            <w:r w:rsidRPr="00820239">
              <w:rPr>
                <w:rFonts w:ascii="Calibri" w:eastAsia="Times New Roman" w:hAnsi="Calibri" w:cs="Calibri"/>
                <w:color w:val="000000"/>
              </w:rPr>
              <w:t>must whose fermentation has been arrested by the addition of alcohol, in containers of &gt; 10 l (excl. sparkling wine)</w:t>
            </w:r>
          </w:p>
        </w:tc>
      </w:tr>
      <w:tr w:rsidR="00DD469C" w14:paraId="05AB2BF7"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5F709313"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lastRenderedPageBreak/>
              <w:t>66</w:t>
            </w:r>
          </w:p>
        </w:tc>
        <w:tc>
          <w:tcPr>
            <w:tcW w:w="1087" w:type="dxa"/>
            <w:shd w:val="clear" w:color="auto" w:fill="auto"/>
            <w:noWrap/>
            <w:hideMark/>
          </w:tcPr>
          <w:p w14:paraId="7CC71A7D"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220600</w:t>
            </w:r>
          </w:p>
        </w:tc>
        <w:tc>
          <w:tcPr>
            <w:tcW w:w="7938" w:type="dxa"/>
            <w:shd w:val="clear" w:color="auto" w:fill="auto"/>
            <w:noWrap/>
            <w:hideMark/>
          </w:tcPr>
          <w:p w14:paraId="7D501E66"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Cider, perry, mead and other fermented beverages and mixtures of fermented beverages and non-alcoholic beverages</w:t>
            </w:r>
          </w:p>
        </w:tc>
      </w:tr>
      <w:tr w:rsidR="00DD469C" w14:paraId="3A00BD8C"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12C24E6B"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67</w:t>
            </w:r>
          </w:p>
        </w:tc>
        <w:tc>
          <w:tcPr>
            <w:tcW w:w="1087" w:type="dxa"/>
            <w:shd w:val="clear" w:color="auto" w:fill="auto"/>
            <w:noWrap/>
            <w:hideMark/>
          </w:tcPr>
          <w:p w14:paraId="43470E60"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220830</w:t>
            </w:r>
          </w:p>
        </w:tc>
        <w:tc>
          <w:tcPr>
            <w:tcW w:w="7938" w:type="dxa"/>
            <w:shd w:val="clear" w:color="auto" w:fill="auto"/>
            <w:noWrap/>
            <w:hideMark/>
          </w:tcPr>
          <w:p w14:paraId="17FF58DC"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Whiskies</w:t>
            </w:r>
          </w:p>
        </w:tc>
      </w:tr>
      <w:tr w:rsidR="00DD469C" w14:paraId="759D5ABF"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49748497"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68</w:t>
            </w:r>
          </w:p>
        </w:tc>
        <w:tc>
          <w:tcPr>
            <w:tcW w:w="1087" w:type="dxa"/>
            <w:shd w:val="clear" w:color="auto" w:fill="auto"/>
            <w:noWrap/>
            <w:hideMark/>
          </w:tcPr>
          <w:p w14:paraId="160F81CE"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230310</w:t>
            </w:r>
          </w:p>
        </w:tc>
        <w:tc>
          <w:tcPr>
            <w:tcW w:w="7938" w:type="dxa"/>
            <w:shd w:val="clear" w:color="auto" w:fill="auto"/>
            <w:noWrap/>
            <w:hideMark/>
          </w:tcPr>
          <w:p w14:paraId="6BF3735B"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Residues of starch manufacture and similar residues</w:t>
            </w:r>
          </w:p>
        </w:tc>
      </w:tr>
      <w:tr w:rsidR="00DD469C" w14:paraId="3FB148E8"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30AF58C9"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69</w:t>
            </w:r>
          </w:p>
        </w:tc>
        <w:tc>
          <w:tcPr>
            <w:tcW w:w="1087" w:type="dxa"/>
            <w:shd w:val="clear" w:color="auto" w:fill="auto"/>
            <w:noWrap/>
            <w:hideMark/>
          </w:tcPr>
          <w:p w14:paraId="51EDD330"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230320</w:t>
            </w:r>
          </w:p>
        </w:tc>
        <w:tc>
          <w:tcPr>
            <w:tcW w:w="7938" w:type="dxa"/>
            <w:shd w:val="clear" w:color="auto" w:fill="auto"/>
            <w:noWrap/>
            <w:hideMark/>
          </w:tcPr>
          <w:p w14:paraId="2BCBACCF"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Beet-pulp, bagasse and other waste of sugar manufacture</w:t>
            </w:r>
          </w:p>
        </w:tc>
      </w:tr>
      <w:tr w:rsidR="00DD469C" w14:paraId="0DF51091"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0F46BF9B"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70</w:t>
            </w:r>
          </w:p>
        </w:tc>
        <w:tc>
          <w:tcPr>
            <w:tcW w:w="1087" w:type="dxa"/>
            <w:shd w:val="clear" w:color="auto" w:fill="auto"/>
            <w:noWrap/>
            <w:hideMark/>
          </w:tcPr>
          <w:p w14:paraId="28315030"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230330</w:t>
            </w:r>
          </w:p>
        </w:tc>
        <w:tc>
          <w:tcPr>
            <w:tcW w:w="7938" w:type="dxa"/>
            <w:shd w:val="clear" w:color="auto" w:fill="auto"/>
            <w:noWrap/>
            <w:hideMark/>
          </w:tcPr>
          <w:p w14:paraId="06DE01BB"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Brewing or distilling dregs and waste</w:t>
            </w:r>
          </w:p>
        </w:tc>
      </w:tr>
      <w:tr w:rsidR="00DD469C" w14:paraId="760E3AA3"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0D8955E8"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71</w:t>
            </w:r>
          </w:p>
        </w:tc>
        <w:tc>
          <w:tcPr>
            <w:tcW w:w="1087" w:type="dxa"/>
            <w:shd w:val="clear" w:color="auto" w:fill="auto"/>
            <w:noWrap/>
            <w:hideMark/>
          </w:tcPr>
          <w:p w14:paraId="68B166D7"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230400</w:t>
            </w:r>
          </w:p>
        </w:tc>
        <w:tc>
          <w:tcPr>
            <w:tcW w:w="7938" w:type="dxa"/>
            <w:shd w:val="clear" w:color="auto" w:fill="auto"/>
            <w:noWrap/>
            <w:hideMark/>
          </w:tcPr>
          <w:p w14:paraId="78C343D5"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Oilcake and other solid residues, whether or not ground or in the form of pellets, resulting from the extraction of soya-bean oil</w:t>
            </w:r>
          </w:p>
        </w:tc>
      </w:tr>
      <w:tr w:rsidR="00DD469C" w14:paraId="06DC2A53"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1AEC6D96"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72</w:t>
            </w:r>
          </w:p>
        </w:tc>
        <w:tc>
          <w:tcPr>
            <w:tcW w:w="1087" w:type="dxa"/>
            <w:shd w:val="clear" w:color="auto" w:fill="auto"/>
            <w:noWrap/>
            <w:hideMark/>
          </w:tcPr>
          <w:p w14:paraId="7B34DC65"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230800</w:t>
            </w:r>
          </w:p>
        </w:tc>
        <w:tc>
          <w:tcPr>
            <w:tcW w:w="7938" w:type="dxa"/>
            <w:shd w:val="clear" w:color="auto" w:fill="auto"/>
            <w:noWrap/>
            <w:hideMark/>
          </w:tcPr>
          <w:p w14:paraId="35F804C8"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Acorns, horse-chestnuts, marc and other vegetable materials and vegetable waste, vegetable residues and by-products of a kind used in animal feeding, whether or not in the form of pellets, n.e.s.</w:t>
            </w:r>
          </w:p>
        </w:tc>
      </w:tr>
      <w:tr w:rsidR="00DD469C" w14:paraId="15AAA2A4"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4750786F"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73</w:t>
            </w:r>
          </w:p>
        </w:tc>
        <w:tc>
          <w:tcPr>
            <w:tcW w:w="1087" w:type="dxa"/>
            <w:shd w:val="clear" w:color="auto" w:fill="auto"/>
            <w:noWrap/>
            <w:hideMark/>
          </w:tcPr>
          <w:p w14:paraId="752922B2"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240290</w:t>
            </w:r>
          </w:p>
        </w:tc>
        <w:tc>
          <w:tcPr>
            <w:tcW w:w="7938" w:type="dxa"/>
            <w:shd w:val="clear" w:color="auto" w:fill="auto"/>
            <w:noWrap/>
            <w:hideMark/>
          </w:tcPr>
          <w:p w14:paraId="462507D7"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Cigars, cheroots, cigarillos and cigarettes consi</w:t>
            </w:r>
            <w:r w:rsidRPr="00820239">
              <w:rPr>
                <w:rFonts w:ascii="Calibri" w:eastAsia="Times New Roman" w:hAnsi="Calibri" w:cs="Calibri"/>
                <w:color w:val="000000"/>
              </w:rPr>
              <w:t>sting wholly of tobacco substitutes</w:t>
            </w:r>
          </w:p>
        </w:tc>
      </w:tr>
      <w:tr w:rsidR="00DD469C" w14:paraId="34C3BE50"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4E2E37C2"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74</w:t>
            </w:r>
          </w:p>
        </w:tc>
        <w:tc>
          <w:tcPr>
            <w:tcW w:w="1087" w:type="dxa"/>
            <w:shd w:val="clear" w:color="auto" w:fill="auto"/>
            <w:noWrap/>
            <w:hideMark/>
          </w:tcPr>
          <w:p w14:paraId="5E1DE092"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252922</w:t>
            </w:r>
          </w:p>
        </w:tc>
        <w:tc>
          <w:tcPr>
            <w:tcW w:w="7938" w:type="dxa"/>
            <w:shd w:val="clear" w:color="auto" w:fill="auto"/>
            <w:noWrap/>
            <w:hideMark/>
          </w:tcPr>
          <w:p w14:paraId="3B3D2BBD"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Fluorspar containing by weight &gt; 97% calcium fluoride</w:t>
            </w:r>
          </w:p>
        </w:tc>
      </w:tr>
      <w:tr w:rsidR="00DD469C" w14:paraId="1C79E142"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5468D5EF"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75</w:t>
            </w:r>
          </w:p>
        </w:tc>
        <w:tc>
          <w:tcPr>
            <w:tcW w:w="1087" w:type="dxa"/>
            <w:shd w:val="clear" w:color="auto" w:fill="auto"/>
            <w:noWrap/>
            <w:hideMark/>
          </w:tcPr>
          <w:p w14:paraId="54E4079E"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260111</w:t>
            </w:r>
          </w:p>
        </w:tc>
        <w:tc>
          <w:tcPr>
            <w:tcW w:w="7938" w:type="dxa"/>
            <w:shd w:val="clear" w:color="auto" w:fill="auto"/>
            <w:noWrap/>
            <w:hideMark/>
          </w:tcPr>
          <w:p w14:paraId="4B05116A"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Non-agglomerated iron ores and concentrates (excl. roasted iron pyrites)</w:t>
            </w:r>
          </w:p>
        </w:tc>
      </w:tr>
      <w:tr w:rsidR="00DD469C" w14:paraId="5083C381"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0AC35AFA"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76</w:t>
            </w:r>
          </w:p>
        </w:tc>
        <w:tc>
          <w:tcPr>
            <w:tcW w:w="1087" w:type="dxa"/>
            <w:shd w:val="clear" w:color="auto" w:fill="auto"/>
            <w:noWrap/>
            <w:hideMark/>
          </w:tcPr>
          <w:p w14:paraId="0385CC91"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260120</w:t>
            </w:r>
          </w:p>
        </w:tc>
        <w:tc>
          <w:tcPr>
            <w:tcW w:w="7938" w:type="dxa"/>
            <w:shd w:val="clear" w:color="auto" w:fill="auto"/>
            <w:noWrap/>
            <w:hideMark/>
          </w:tcPr>
          <w:p w14:paraId="3F057C71"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Roasted iron pyrites</w:t>
            </w:r>
          </w:p>
        </w:tc>
      </w:tr>
      <w:tr w:rsidR="00DD469C" w14:paraId="5359AB3B"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69F01E80"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77</w:t>
            </w:r>
          </w:p>
        </w:tc>
        <w:tc>
          <w:tcPr>
            <w:tcW w:w="1087" w:type="dxa"/>
            <w:shd w:val="clear" w:color="auto" w:fill="auto"/>
            <w:noWrap/>
            <w:hideMark/>
          </w:tcPr>
          <w:p w14:paraId="3BCF1142"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260400</w:t>
            </w:r>
          </w:p>
        </w:tc>
        <w:tc>
          <w:tcPr>
            <w:tcW w:w="7938" w:type="dxa"/>
            <w:shd w:val="clear" w:color="auto" w:fill="auto"/>
            <w:noWrap/>
            <w:hideMark/>
          </w:tcPr>
          <w:p w14:paraId="11D5D504"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 xml:space="preserve">Nickel ores and </w:t>
            </w:r>
            <w:r w:rsidRPr="00820239">
              <w:rPr>
                <w:rFonts w:ascii="Calibri" w:eastAsia="Times New Roman" w:hAnsi="Calibri" w:cs="Calibri"/>
                <w:color w:val="000000"/>
              </w:rPr>
              <w:t>concentrates</w:t>
            </w:r>
          </w:p>
        </w:tc>
      </w:tr>
      <w:tr w:rsidR="00DD469C" w14:paraId="57A7C6B8"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320AD9CA"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78</w:t>
            </w:r>
          </w:p>
        </w:tc>
        <w:tc>
          <w:tcPr>
            <w:tcW w:w="1087" w:type="dxa"/>
            <w:shd w:val="clear" w:color="auto" w:fill="auto"/>
            <w:noWrap/>
            <w:hideMark/>
          </w:tcPr>
          <w:p w14:paraId="6551EEAD"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260500</w:t>
            </w:r>
          </w:p>
        </w:tc>
        <w:tc>
          <w:tcPr>
            <w:tcW w:w="7938" w:type="dxa"/>
            <w:shd w:val="clear" w:color="auto" w:fill="auto"/>
            <w:noWrap/>
            <w:hideMark/>
          </w:tcPr>
          <w:p w14:paraId="133E49F4"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Cobalt ores and concentrates</w:t>
            </w:r>
          </w:p>
        </w:tc>
      </w:tr>
      <w:tr w:rsidR="00DD469C" w14:paraId="60DFA661"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5A7F59B5"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79</w:t>
            </w:r>
          </w:p>
        </w:tc>
        <w:tc>
          <w:tcPr>
            <w:tcW w:w="1087" w:type="dxa"/>
            <w:shd w:val="clear" w:color="auto" w:fill="auto"/>
            <w:noWrap/>
            <w:hideMark/>
          </w:tcPr>
          <w:p w14:paraId="62A15EED"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270112</w:t>
            </w:r>
          </w:p>
        </w:tc>
        <w:tc>
          <w:tcPr>
            <w:tcW w:w="7938" w:type="dxa"/>
            <w:shd w:val="clear" w:color="auto" w:fill="auto"/>
            <w:noWrap/>
            <w:hideMark/>
          </w:tcPr>
          <w:p w14:paraId="63C392B2"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Bituminous coal, whether or not pulverised, non-agglomerated</w:t>
            </w:r>
          </w:p>
        </w:tc>
      </w:tr>
      <w:tr w:rsidR="00DD469C" w14:paraId="2215B6A2"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7EFED0C5"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80</w:t>
            </w:r>
          </w:p>
        </w:tc>
        <w:tc>
          <w:tcPr>
            <w:tcW w:w="1087" w:type="dxa"/>
            <w:shd w:val="clear" w:color="auto" w:fill="auto"/>
            <w:noWrap/>
            <w:hideMark/>
          </w:tcPr>
          <w:p w14:paraId="109C073C"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271129</w:t>
            </w:r>
          </w:p>
        </w:tc>
        <w:tc>
          <w:tcPr>
            <w:tcW w:w="7938" w:type="dxa"/>
            <w:shd w:val="clear" w:color="auto" w:fill="auto"/>
            <w:noWrap/>
            <w:hideMark/>
          </w:tcPr>
          <w:p w14:paraId="4CCE5167"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Hydrocarbons in gaseous state, n.e.s. (excl. natural gas)</w:t>
            </w:r>
          </w:p>
        </w:tc>
      </w:tr>
      <w:tr w:rsidR="00DD469C" w14:paraId="6AC6DD6C"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360C3301"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81</w:t>
            </w:r>
          </w:p>
        </w:tc>
        <w:tc>
          <w:tcPr>
            <w:tcW w:w="1087" w:type="dxa"/>
            <w:shd w:val="clear" w:color="auto" w:fill="auto"/>
            <w:noWrap/>
            <w:hideMark/>
          </w:tcPr>
          <w:p w14:paraId="0D0D7227"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271311</w:t>
            </w:r>
          </w:p>
        </w:tc>
        <w:tc>
          <w:tcPr>
            <w:tcW w:w="7938" w:type="dxa"/>
            <w:shd w:val="clear" w:color="auto" w:fill="auto"/>
            <w:noWrap/>
            <w:hideMark/>
          </w:tcPr>
          <w:p w14:paraId="57E0EBE7"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Petroleum coke, non-calcined</w:t>
            </w:r>
          </w:p>
        </w:tc>
      </w:tr>
      <w:tr w:rsidR="00DD469C" w14:paraId="7282FACF"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6A2976A3"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82</w:t>
            </w:r>
          </w:p>
        </w:tc>
        <w:tc>
          <w:tcPr>
            <w:tcW w:w="1087" w:type="dxa"/>
            <w:shd w:val="clear" w:color="auto" w:fill="auto"/>
            <w:noWrap/>
            <w:hideMark/>
          </w:tcPr>
          <w:p w14:paraId="53B9358A"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280700</w:t>
            </w:r>
          </w:p>
        </w:tc>
        <w:tc>
          <w:tcPr>
            <w:tcW w:w="7938" w:type="dxa"/>
            <w:shd w:val="clear" w:color="auto" w:fill="auto"/>
            <w:noWrap/>
            <w:hideMark/>
          </w:tcPr>
          <w:p w14:paraId="0347BF4F"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Sulphuric acid; oleum</w:t>
            </w:r>
          </w:p>
        </w:tc>
      </w:tr>
      <w:tr w:rsidR="00DD469C" w14:paraId="21D58EEB"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25DCD17D"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83</w:t>
            </w:r>
          </w:p>
        </w:tc>
        <w:tc>
          <w:tcPr>
            <w:tcW w:w="1087" w:type="dxa"/>
            <w:shd w:val="clear" w:color="auto" w:fill="auto"/>
            <w:noWrap/>
            <w:hideMark/>
          </w:tcPr>
          <w:p w14:paraId="235D5D63"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281410</w:t>
            </w:r>
          </w:p>
        </w:tc>
        <w:tc>
          <w:tcPr>
            <w:tcW w:w="7938" w:type="dxa"/>
            <w:shd w:val="clear" w:color="auto" w:fill="auto"/>
            <w:noWrap/>
            <w:hideMark/>
          </w:tcPr>
          <w:p w14:paraId="4FD4628D"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Anhydrous ammonia</w:t>
            </w:r>
          </w:p>
        </w:tc>
      </w:tr>
      <w:tr w:rsidR="00DD469C" w14:paraId="39277481"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18D8A317"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84</w:t>
            </w:r>
          </w:p>
        </w:tc>
        <w:tc>
          <w:tcPr>
            <w:tcW w:w="1087" w:type="dxa"/>
            <w:shd w:val="clear" w:color="auto" w:fill="auto"/>
            <w:noWrap/>
            <w:hideMark/>
          </w:tcPr>
          <w:p w14:paraId="49F57B67"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281810</w:t>
            </w:r>
          </w:p>
        </w:tc>
        <w:tc>
          <w:tcPr>
            <w:tcW w:w="7938" w:type="dxa"/>
            <w:shd w:val="clear" w:color="auto" w:fill="auto"/>
            <w:noWrap/>
            <w:hideMark/>
          </w:tcPr>
          <w:p w14:paraId="698BF449"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Corundum, artificial, whether or not chemically defined</w:t>
            </w:r>
          </w:p>
        </w:tc>
      </w:tr>
      <w:tr w:rsidR="00DD469C" w14:paraId="5FF16810"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39AD467D"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85</w:t>
            </w:r>
          </w:p>
        </w:tc>
        <w:tc>
          <w:tcPr>
            <w:tcW w:w="1087" w:type="dxa"/>
            <w:shd w:val="clear" w:color="auto" w:fill="auto"/>
            <w:noWrap/>
            <w:hideMark/>
          </w:tcPr>
          <w:p w14:paraId="47760A24"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282110</w:t>
            </w:r>
          </w:p>
        </w:tc>
        <w:tc>
          <w:tcPr>
            <w:tcW w:w="7938" w:type="dxa"/>
            <w:shd w:val="clear" w:color="auto" w:fill="auto"/>
            <w:noWrap/>
            <w:hideMark/>
          </w:tcPr>
          <w:p w14:paraId="166FF407"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Iron oxides and hydroxides</w:t>
            </w:r>
          </w:p>
        </w:tc>
      </w:tr>
      <w:tr w:rsidR="00DD469C" w14:paraId="74B267B4"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4B321E81"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86</w:t>
            </w:r>
          </w:p>
        </w:tc>
        <w:tc>
          <w:tcPr>
            <w:tcW w:w="1087" w:type="dxa"/>
            <w:shd w:val="clear" w:color="auto" w:fill="auto"/>
            <w:noWrap/>
            <w:hideMark/>
          </w:tcPr>
          <w:p w14:paraId="5CC91BE5"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282200</w:t>
            </w:r>
          </w:p>
        </w:tc>
        <w:tc>
          <w:tcPr>
            <w:tcW w:w="7938" w:type="dxa"/>
            <w:shd w:val="clear" w:color="auto" w:fill="auto"/>
            <w:noWrap/>
            <w:hideMark/>
          </w:tcPr>
          <w:p w14:paraId="2A4002A6"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Cobalt oxides and hydroxides; commercial cobalt oxides</w:t>
            </w:r>
          </w:p>
        </w:tc>
      </w:tr>
      <w:tr w:rsidR="00DD469C" w14:paraId="75973C85"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7B415694"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87</w:t>
            </w:r>
          </w:p>
        </w:tc>
        <w:tc>
          <w:tcPr>
            <w:tcW w:w="1087" w:type="dxa"/>
            <w:shd w:val="clear" w:color="auto" w:fill="auto"/>
            <w:noWrap/>
            <w:hideMark/>
          </w:tcPr>
          <w:p w14:paraId="14A36514"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282612</w:t>
            </w:r>
          </w:p>
        </w:tc>
        <w:tc>
          <w:tcPr>
            <w:tcW w:w="7938" w:type="dxa"/>
            <w:shd w:val="clear" w:color="auto" w:fill="auto"/>
            <w:noWrap/>
            <w:hideMark/>
          </w:tcPr>
          <w:p w14:paraId="5B6966BD"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 xml:space="preserve">Fluoride of </w:t>
            </w:r>
            <w:r w:rsidRPr="00820239">
              <w:rPr>
                <w:rFonts w:ascii="Calibri" w:eastAsia="Times New Roman" w:hAnsi="Calibri" w:cs="Calibri"/>
                <w:color w:val="000000"/>
              </w:rPr>
              <w:t>aluminium</w:t>
            </w:r>
          </w:p>
        </w:tc>
      </w:tr>
      <w:tr w:rsidR="00DD469C" w14:paraId="2A91B20E"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45F9AEAE"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88</w:t>
            </w:r>
          </w:p>
        </w:tc>
        <w:tc>
          <w:tcPr>
            <w:tcW w:w="1087" w:type="dxa"/>
            <w:shd w:val="clear" w:color="auto" w:fill="auto"/>
            <w:noWrap/>
            <w:hideMark/>
          </w:tcPr>
          <w:p w14:paraId="16AF2680"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282690</w:t>
            </w:r>
          </w:p>
        </w:tc>
        <w:tc>
          <w:tcPr>
            <w:tcW w:w="7938" w:type="dxa"/>
            <w:shd w:val="clear" w:color="auto" w:fill="auto"/>
            <w:noWrap/>
            <w:hideMark/>
          </w:tcPr>
          <w:p w14:paraId="5864B572"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 xml:space="preserve">Fluorosilicates, fluoroaluminates and other complex fluorine salts </w:t>
            </w:r>
          </w:p>
        </w:tc>
      </w:tr>
      <w:tr w:rsidR="00DD469C" w14:paraId="5EE38B9E"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32687C2F"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89</w:t>
            </w:r>
          </w:p>
        </w:tc>
        <w:tc>
          <w:tcPr>
            <w:tcW w:w="1087" w:type="dxa"/>
            <w:shd w:val="clear" w:color="auto" w:fill="auto"/>
            <w:noWrap/>
            <w:hideMark/>
          </w:tcPr>
          <w:p w14:paraId="6D70DA48"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283010</w:t>
            </w:r>
          </w:p>
        </w:tc>
        <w:tc>
          <w:tcPr>
            <w:tcW w:w="7938" w:type="dxa"/>
            <w:shd w:val="clear" w:color="auto" w:fill="auto"/>
            <w:noWrap/>
            <w:hideMark/>
          </w:tcPr>
          <w:p w14:paraId="1D72F9BD"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Sodium sulphides</w:t>
            </w:r>
          </w:p>
        </w:tc>
      </w:tr>
      <w:tr w:rsidR="00DD469C" w14:paraId="0EB00074"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5A7022EF"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90</w:t>
            </w:r>
          </w:p>
        </w:tc>
        <w:tc>
          <w:tcPr>
            <w:tcW w:w="1087" w:type="dxa"/>
            <w:shd w:val="clear" w:color="auto" w:fill="auto"/>
            <w:noWrap/>
            <w:hideMark/>
          </w:tcPr>
          <w:p w14:paraId="1AF9124E"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283699</w:t>
            </w:r>
          </w:p>
        </w:tc>
        <w:tc>
          <w:tcPr>
            <w:tcW w:w="7938" w:type="dxa"/>
            <w:shd w:val="clear" w:color="auto" w:fill="auto"/>
            <w:noWrap/>
            <w:hideMark/>
          </w:tcPr>
          <w:p w14:paraId="603FE7E4"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Carbonates and peroxocarbonates</w:t>
            </w:r>
            <w:r w:rsidRPr="00820239">
              <w:rPr>
                <w:rFonts w:ascii="Calibri" w:eastAsia="Times New Roman" w:hAnsi="Calibri" w:cs="Calibri"/>
                <w:color w:val="000000"/>
              </w:rPr>
              <w:t xml:space="preserve"> "percarbonates"; commercial ammonium carbonate containing ammonium carbamate</w:t>
            </w:r>
          </w:p>
        </w:tc>
      </w:tr>
      <w:tr w:rsidR="00DD469C" w14:paraId="070138F6"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110E27D4"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91</w:t>
            </w:r>
          </w:p>
        </w:tc>
        <w:tc>
          <w:tcPr>
            <w:tcW w:w="1087" w:type="dxa"/>
            <w:shd w:val="clear" w:color="auto" w:fill="auto"/>
            <w:noWrap/>
            <w:hideMark/>
          </w:tcPr>
          <w:p w14:paraId="671AA0A4"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290110</w:t>
            </w:r>
          </w:p>
        </w:tc>
        <w:tc>
          <w:tcPr>
            <w:tcW w:w="7938" w:type="dxa"/>
            <w:shd w:val="clear" w:color="auto" w:fill="auto"/>
            <w:noWrap/>
            <w:hideMark/>
          </w:tcPr>
          <w:p w14:paraId="0391AF5D"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Saturated acyclic hydrocarbons</w:t>
            </w:r>
          </w:p>
        </w:tc>
      </w:tr>
      <w:tr w:rsidR="00DD469C" w14:paraId="75A4D9AE"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54F2F55B"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92</w:t>
            </w:r>
          </w:p>
        </w:tc>
        <w:tc>
          <w:tcPr>
            <w:tcW w:w="1087" w:type="dxa"/>
            <w:shd w:val="clear" w:color="auto" w:fill="auto"/>
            <w:noWrap/>
            <w:hideMark/>
          </w:tcPr>
          <w:p w14:paraId="07BB828C"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290121</w:t>
            </w:r>
          </w:p>
        </w:tc>
        <w:tc>
          <w:tcPr>
            <w:tcW w:w="7938" w:type="dxa"/>
            <w:shd w:val="clear" w:color="auto" w:fill="auto"/>
            <w:noWrap/>
            <w:hideMark/>
          </w:tcPr>
          <w:p w14:paraId="3F8BEA35"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Ethylene</w:t>
            </w:r>
          </w:p>
        </w:tc>
      </w:tr>
      <w:tr w:rsidR="00DD469C" w14:paraId="1F7E9111"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503FCDAA"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93</w:t>
            </w:r>
          </w:p>
        </w:tc>
        <w:tc>
          <w:tcPr>
            <w:tcW w:w="1087" w:type="dxa"/>
            <w:shd w:val="clear" w:color="auto" w:fill="auto"/>
            <w:noWrap/>
            <w:hideMark/>
          </w:tcPr>
          <w:p w14:paraId="3AC1CA80"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290129</w:t>
            </w:r>
          </w:p>
        </w:tc>
        <w:tc>
          <w:tcPr>
            <w:tcW w:w="7938" w:type="dxa"/>
            <w:shd w:val="clear" w:color="auto" w:fill="auto"/>
            <w:noWrap/>
            <w:hideMark/>
          </w:tcPr>
          <w:p w14:paraId="37825EE0"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 xml:space="preserve">Hydrocarbons, acyclic, unsaturated (excl. ethylene, propene "propylene", butene "butylene" and </w:t>
            </w:r>
            <w:r w:rsidRPr="00820239">
              <w:rPr>
                <w:rFonts w:ascii="Calibri" w:eastAsia="Times New Roman" w:hAnsi="Calibri" w:cs="Calibri"/>
                <w:color w:val="000000"/>
              </w:rPr>
              <w:t>isomers thereof and Buta-1,3-diene and isoprene)</w:t>
            </w:r>
          </w:p>
        </w:tc>
      </w:tr>
      <w:tr w:rsidR="00DD469C" w14:paraId="20344EDD"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558FFCE9"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94</w:t>
            </w:r>
          </w:p>
        </w:tc>
        <w:tc>
          <w:tcPr>
            <w:tcW w:w="1087" w:type="dxa"/>
            <w:shd w:val="clear" w:color="auto" w:fill="auto"/>
            <w:noWrap/>
            <w:hideMark/>
          </w:tcPr>
          <w:p w14:paraId="0FE65848"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290250</w:t>
            </w:r>
          </w:p>
        </w:tc>
        <w:tc>
          <w:tcPr>
            <w:tcW w:w="7938" w:type="dxa"/>
            <w:shd w:val="clear" w:color="auto" w:fill="auto"/>
            <w:noWrap/>
            <w:hideMark/>
          </w:tcPr>
          <w:p w14:paraId="12D56946"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Styrene</w:t>
            </w:r>
          </w:p>
        </w:tc>
      </w:tr>
      <w:tr w:rsidR="00DD469C" w14:paraId="7B8FB46A"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11C2431D"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95</w:t>
            </w:r>
          </w:p>
        </w:tc>
        <w:tc>
          <w:tcPr>
            <w:tcW w:w="1087" w:type="dxa"/>
            <w:shd w:val="clear" w:color="auto" w:fill="auto"/>
            <w:noWrap/>
            <w:hideMark/>
          </w:tcPr>
          <w:p w14:paraId="6495664E"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290315</w:t>
            </w:r>
          </w:p>
        </w:tc>
        <w:tc>
          <w:tcPr>
            <w:tcW w:w="7938" w:type="dxa"/>
            <w:shd w:val="clear" w:color="auto" w:fill="auto"/>
            <w:noWrap/>
            <w:hideMark/>
          </w:tcPr>
          <w:p w14:paraId="5282B612"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Ethylene dichloride "ISO" "1,2 dichloroethane"</w:t>
            </w:r>
          </w:p>
        </w:tc>
      </w:tr>
      <w:tr w:rsidR="00DD469C" w14:paraId="5AFC2A55"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53094B94"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96</w:t>
            </w:r>
          </w:p>
        </w:tc>
        <w:tc>
          <w:tcPr>
            <w:tcW w:w="1087" w:type="dxa"/>
            <w:shd w:val="clear" w:color="auto" w:fill="auto"/>
            <w:noWrap/>
            <w:hideMark/>
          </w:tcPr>
          <w:p w14:paraId="26A55D62"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290331</w:t>
            </w:r>
          </w:p>
        </w:tc>
        <w:tc>
          <w:tcPr>
            <w:tcW w:w="7938" w:type="dxa"/>
            <w:shd w:val="clear" w:color="auto" w:fill="auto"/>
            <w:noWrap/>
            <w:hideMark/>
          </w:tcPr>
          <w:p w14:paraId="30FC52AB"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Ethylene dibromide "ISO" "1,2-dibromoethane"</w:t>
            </w:r>
          </w:p>
        </w:tc>
      </w:tr>
      <w:tr w:rsidR="00DD469C" w14:paraId="16800C57"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16F0F245"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97</w:t>
            </w:r>
          </w:p>
        </w:tc>
        <w:tc>
          <w:tcPr>
            <w:tcW w:w="1087" w:type="dxa"/>
            <w:shd w:val="clear" w:color="auto" w:fill="auto"/>
            <w:noWrap/>
            <w:hideMark/>
          </w:tcPr>
          <w:p w14:paraId="348B106B"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290339</w:t>
            </w:r>
          </w:p>
        </w:tc>
        <w:tc>
          <w:tcPr>
            <w:tcW w:w="7938" w:type="dxa"/>
            <w:shd w:val="clear" w:color="auto" w:fill="auto"/>
            <w:noWrap/>
            <w:hideMark/>
          </w:tcPr>
          <w:p w14:paraId="56019A0F"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Fluorinated, brominated</w:t>
            </w:r>
            <w:r w:rsidRPr="00820239">
              <w:rPr>
                <w:rFonts w:ascii="Calibri" w:eastAsia="Times New Roman" w:hAnsi="Calibri" w:cs="Calibri"/>
                <w:color w:val="000000"/>
              </w:rPr>
              <w:t xml:space="preserve"> or iodinated derivatives of acyclic hydrocarbons (excl. ethylene dibromide [ISO] [1,2-dibromoethane])</w:t>
            </w:r>
          </w:p>
        </w:tc>
      </w:tr>
      <w:tr w:rsidR="00DD469C" w14:paraId="5E74136D"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496625BE"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98</w:t>
            </w:r>
          </w:p>
        </w:tc>
        <w:tc>
          <w:tcPr>
            <w:tcW w:w="1087" w:type="dxa"/>
            <w:shd w:val="clear" w:color="auto" w:fill="auto"/>
            <w:noWrap/>
            <w:hideMark/>
          </w:tcPr>
          <w:p w14:paraId="6EC2D671"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290376</w:t>
            </w:r>
          </w:p>
        </w:tc>
        <w:tc>
          <w:tcPr>
            <w:tcW w:w="7938" w:type="dxa"/>
            <w:shd w:val="clear" w:color="auto" w:fill="auto"/>
            <w:noWrap/>
            <w:hideMark/>
          </w:tcPr>
          <w:p w14:paraId="43A9A6E2"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Bromochlorodifluoromethane, bromotrifluoromethane and dibromotetrafluoroethanes</w:t>
            </w:r>
          </w:p>
        </w:tc>
      </w:tr>
      <w:tr w:rsidR="00DD469C" w14:paraId="63288DDE" w14:textId="77777777" w:rsidTr="00DD469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261A28F2"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99</w:t>
            </w:r>
          </w:p>
        </w:tc>
        <w:tc>
          <w:tcPr>
            <w:tcW w:w="1087" w:type="dxa"/>
            <w:shd w:val="clear" w:color="auto" w:fill="auto"/>
            <w:noWrap/>
            <w:hideMark/>
          </w:tcPr>
          <w:p w14:paraId="54A1986A"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290377</w:t>
            </w:r>
          </w:p>
        </w:tc>
        <w:tc>
          <w:tcPr>
            <w:tcW w:w="7938" w:type="dxa"/>
            <w:shd w:val="clear" w:color="auto" w:fill="auto"/>
            <w:noWrap/>
            <w:hideMark/>
          </w:tcPr>
          <w:p w14:paraId="566105CE" w14:textId="77777777" w:rsidR="00820239" w:rsidRPr="00820239" w:rsidRDefault="00C2115B" w:rsidP="00820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Halogenated derivatives of acyclic hydrocarbons con</w:t>
            </w:r>
            <w:r w:rsidRPr="00820239">
              <w:rPr>
                <w:rFonts w:ascii="Calibri" w:eastAsia="Times New Roman" w:hAnsi="Calibri" w:cs="Calibri"/>
                <w:color w:val="000000"/>
              </w:rPr>
              <w:t>taining two or more different halogens, perhalogenated only with fluorine and chlorine</w:t>
            </w:r>
          </w:p>
        </w:tc>
      </w:tr>
      <w:tr w:rsidR="00DD469C" w14:paraId="1B206C9A" w14:textId="77777777" w:rsidTr="00DD469C">
        <w:trPr>
          <w:trHeight w:val="288"/>
        </w:trPr>
        <w:tc>
          <w:tcPr>
            <w:cnfStyle w:val="001000000000" w:firstRow="0" w:lastRow="0" w:firstColumn="1" w:lastColumn="0" w:oddVBand="0" w:evenVBand="0" w:oddHBand="0" w:evenHBand="0" w:firstRowFirstColumn="0" w:firstRowLastColumn="0" w:lastRowFirstColumn="0" w:lastRowLastColumn="0"/>
            <w:tcW w:w="551" w:type="dxa"/>
            <w:shd w:val="clear" w:color="auto" w:fill="auto"/>
            <w:noWrap/>
            <w:hideMark/>
          </w:tcPr>
          <w:p w14:paraId="25D77C47" w14:textId="77777777" w:rsidR="00820239" w:rsidRPr="00B67E7D" w:rsidRDefault="00C2115B" w:rsidP="00820239">
            <w:pPr>
              <w:rPr>
                <w:rFonts w:ascii="Calibri" w:eastAsia="Times New Roman" w:hAnsi="Calibri" w:cs="Calibri"/>
                <w:b w:val="0"/>
                <w:bCs w:val="0"/>
                <w:color w:val="000000"/>
              </w:rPr>
            </w:pPr>
            <w:r w:rsidRPr="00B67E7D">
              <w:rPr>
                <w:rFonts w:ascii="Calibri" w:eastAsia="Times New Roman" w:hAnsi="Calibri" w:cs="Calibri"/>
                <w:b w:val="0"/>
                <w:bCs w:val="0"/>
                <w:color w:val="000000"/>
              </w:rPr>
              <w:t>100</w:t>
            </w:r>
          </w:p>
        </w:tc>
        <w:tc>
          <w:tcPr>
            <w:tcW w:w="1087" w:type="dxa"/>
            <w:shd w:val="clear" w:color="auto" w:fill="auto"/>
            <w:noWrap/>
            <w:hideMark/>
          </w:tcPr>
          <w:p w14:paraId="56C78895"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290378</w:t>
            </w:r>
          </w:p>
        </w:tc>
        <w:tc>
          <w:tcPr>
            <w:tcW w:w="7938" w:type="dxa"/>
            <w:shd w:val="clear" w:color="auto" w:fill="auto"/>
            <w:noWrap/>
            <w:hideMark/>
          </w:tcPr>
          <w:p w14:paraId="3FCF9F56" w14:textId="77777777" w:rsidR="00820239" w:rsidRPr="00820239" w:rsidRDefault="00C2115B" w:rsidP="00820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820239">
              <w:rPr>
                <w:rFonts w:ascii="Calibri" w:eastAsia="Times New Roman" w:hAnsi="Calibri" w:cs="Calibri"/>
                <w:color w:val="000000"/>
              </w:rPr>
              <w:t>Perhalogenated</w:t>
            </w:r>
            <w:r w:rsidRPr="00820239">
              <w:rPr>
                <w:rFonts w:ascii="Calibri" w:eastAsia="Times New Roman" w:hAnsi="Calibri" w:cs="Calibri"/>
                <w:color w:val="000000"/>
              </w:rPr>
              <w:t xml:space="preserve"> derivatives of acyclic hydrocarbons containing two or more different halogens, n.e.s.</w:t>
            </w:r>
          </w:p>
        </w:tc>
      </w:tr>
    </w:tbl>
    <w:p w14:paraId="26A389D6" w14:textId="77777777" w:rsidR="00C742FD" w:rsidRDefault="00C2115B" w:rsidP="00820239">
      <w:pPr>
        <w:rPr>
          <w:rFonts w:ascii="Times New Roman" w:hAnsi="Times New Roman" w:cs="Times New Roman"/>
          <w:sz w:val="24"/>
          <w:szCs w:val="24"/>
        </w:rPr>
      </w:pPr>
      <w:r w:rsidRPr="002B0F49">
        <w:rPr>
          <w:rFonts w:ascii="Times New Roman" w:hAnsi="Times New Roman" w:cs="Times New Roman"/>
          <w:noProof/>
          <w:sz w:val="24"/>
          <w:szCs w:val="24"/>
        </w:rPr>
        <w:t xml:space="preserve">Source: </w:t>
      </w:r>
      <w:r>
        <w:rPr>
          <w:rFonts w:ascii="Times New Roman" w:hAnsi="Times New Roman" w:cs="Times New Roman"/>
          <w:noProof/>
          <w:sz w:val="24"/>
          <w:szCs w:val="24"/>
        </w:rPr>
        <w:t>Author’s</w:t>
      </w:r>
      <w:r w:rsidRPr="002B0F49">
        <w:rPr>
          <w:rFonts w:ascii="Times New Roman" w:hAnsi="Times New Roman" w:cs="Times New Roman"/>
          <w:noProof/>
          <w:sz w:val="24"/>
          <w:szCs w:val="24"/>
        </w:rPr>
        <w:t xml:space="preserve"> calculations based on UN Comtrade data for 20</w:t>
      </w:r>
      <w:r>
        <w:rPr>
          <w:rFonts w:ascii="Times New Roman" w:hAnsi="Times New Roman" w:cs="Times New Roman"/>
          <w:noProof/>
          <w:sz w:val="24"/>
          <w:szCs w:val="24"/>
        </w:rPr>
        <w:t>23</w:t>
      </w:r>
      <w:r w:rsidRPr="002B0F49">
        <w:rPr>
          <w:rFonts w:ascii="Times New Roman" w:hAnsi="Times New Roman" w:cs="Times New Roman"/>
          <w:noProof/>
          <w:sz w:val="24"/>
          <w:szCs w:val="24"/>
        </w:rPr>
        <w:t>.</w:t>
      </w:r>
    </w:p>
    <w:sectPr w:rsidR="00C742FD" w:rsidSect="005E29E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B2AF67" w14:textId="77777777" w:rsidR="00C2115B" w:rsidRDefault="00C2115B">
      <w:pPr>
        <w:spacing w:after="0" w:line="240" w:lineRule="auto"/>
      </w:pPr>
      <w:r>
        <w:separator/>
      </w:r>
    </w:p>
  </w:endnote>
  <w:endnote w:type="continuationSeparator" w:id="0">
    <w:p w14:paraId="6F4A264D" w14:textId="77777777" w:rsidR="00C2115B" w:rsidRDefault="00C21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E67AFC" w14:textId="77777777" w:rsidR="00C2115B" w:rsidRDefault="00C2115B" w:rsidP="00DF040B">
      <w:pPr>
        <w:spacing w:after="0" w:line="240" w:lineRule="auto"/>
      </w:pPr>
      <w:r>
        <w:separator/>
      </w:r>
    </w:p>
  </w:footnote>
  <w:footnote w:type="continuationSeparator" w:id="0">
    <w:p w14:paraId="7B6BFA4E" w14:textId="77777777" w:rsidR="00C2115B" w:rsidRDefault="00C2115B" w:rsidP="00DF04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C362077"/>
    <w:multiLevelType w:val="multilevel"/>
    <w:tmpl w:val="49C0D02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Q2MDExMzQ0Nrc0MzBU0lEKTi0uzszPAykwNKoFAEnqCTctAAAA"/>
  </w:docVars>
  <w:rsids>
    <w:rsidRoot w:val="00F32D0F"/>
    <w:rsid w:val="00001029"/>
    <w:rsid w:val="00001A9F"/>
    <w:rsid w:val="00001FD7"/>
    <w:rsid w:val="00006F7D"/>
    <w:rsid w:val="00011A96"/>
    <w:rsid w:val="0002433A"/>
    <w:rsid w:val="0002444E"/>
    <w:rsid w:val="00031207"/>
    <w:rsid w:val="00046D66"/>
    <w:rsid w:val="0005176F"/>
    <w:rsid w:val="00053972"/>
    <w:rsid w:val="0005740F"/>
    <w:rsid w:val="00072735"/>
    <w:rsid w:val="00073A62"/>
    <w:rsid w:val="00073F0D"/>
    <w:rsid w:val="00080137"/>
    <w:rsid w:val="0008784B"/>
    <w:rsid w:val="00091258"/>
    <w:rsid w:val="00094114"/>
    <w:rsid w:val="00094AAC"/>
    <w:rsid w:val="000A0E7E"/>
    <w:rsid w:val="000A58E0"/>
    <w:rsid w:val="000A76D9"/>
    <w:rsid w:val="000B5ADD"/>
    <w:rsid w:val="000C4ADA"/>
    <w:rsid w:val="000C522A"/>
    <w:rsid w:val="000D65BE"/>
    <w:rsid w:val="000E3378"/>
    <w:rsid w:val="000E34BF"/>
    <w:rsid w:val="000E40D6"/>
    <w:rsid w:val="000F5CF8"/>
    <w:rsid w:val="0010703C"/>
    <w:rsid w:val="0011179E"/>
    <w:rsid w:val="001119BD"/>
    <w:rsid w:val="001422D6"/>
    <w:rsid w:val="00142E77"/>
    <w:rsid w:val="00150E31"/>
    <w:rsid w:val="00162E82"/>
    <w:rsid w:val="00165CFA"/>
    <w:rsid w:val="00174106"/>
    <w:rsid w:val="00175796"/>
    <w:rsid w:val="00177DDF"/>
    <w:rsid w:val="00187DF3"/>
    <w:rsid w:val="001A3E15"/>
    <w:rsid w:val="001B16B5"/>
    <w:rsid w:val="001B6828"/>
    <w:rsid w:val="001B6F60"/>
    <w:rsid w:val="001C2762"/>
    <w:rsid w:val="001C51BC"/>
    <w:rsid w:val="001C78C5"/>
    <w:rsid w:val="001D4C6E"/>
    <w:rsid w:val="001F2188"/>
    <w:rsid w:val="001F2652"/>
    <w:rsid w:val="001F30C8"/>
    <w:rsid w:val="0022113D"/>
    <w:rsid w:val="00223E6F"/>
    <w:rsid w:val="00230824"/>
    <w:rsid w:val="00246061"/>
    <w:rsid w:val="002533E4"/>
    <w:rsid w:val="00255861"/>
    <w:rsid w:val="00287284"/>
    <w:rsid w:val="002873EF"/>
    <w:rsid w:val="002929A7"/>
    <w:rsid w:val="002968CE"/>
    <w:rsid w:val="002A5EF0"/>
    <w:rsid w:val="002A7955"/>
    <w:rsid w:val="002B0F49"/>
    <w:rsid w:val="002B1BF9"/>
    <w:rsid w:val="002B333F"/>
    <w:rsid w:val="002B651C"/>
    <w:rsid w:val="002C55F8"/>
    <w:rsid w:val="002C5A6E"/>
    <w:rsid w:val="002E2856"/>
    <w:rsid w:val="002E6E15"/>
    <w:rsid w:val="002E776D"/>
    <w:rsid w:val="003001DE"/>
    <w:rsid w:val="003021C3"/>
    <w:rsid w:val="00305837"/>
    <w:rsid w:val="00306080"/>
    <w:rsid w:val="00307114"/>
    <w:rsid w:val="0031197E"/>
    <w:rsid w:val="00312645"/>
    <w:rsid w:val="003155D0"/>
    <w:rsid w:val="003213D5"/>
    <w:rsid w:val="00323B8F"/>
    <w:rsid w:val="00325E80"/>
    <w:rsid w:val="00327754"/>
    <w:rsid w:val="00327806"/>
    <w:rsid w:val="00327BAC"/>
    <w:rsid w:val="00332592"/>
    <w:rsid w:val="0033695D"/>
    <w:rsid w:val="0033756F"/>
    <w:rsid w:val="00370A98"/>
    <w:rsid w:val="003763C0"/>
    <w:rsid w:val="00382431"/>
    <w:rsid w:val="00382671"/>
    <w:rsid w:val="00386FF2"/>
    <w:rsid w:val="003873C7"/>
    <w:rsid w:val="003A5498"/>
    <w:rsid w:val="003B7F51"/>
    <w:rsid w:val="003C074D"/>
    <w:rsid w:val="003C1267"/>
    <w:rsid w:val="003C20BF"/>
    <w:rsid w:val="003C2C27"/>
    <w:rsid w:val="003C4066"/>
    <w:rsid w:val="003C445A"/>
    <w:rsid w:val="003D171D"/>
    <w:rsid w:val="003D33BD"/>
    <w:rsid w:val="003D4171"/>
    <w:rsid w:val="003E2C58"/>
    <w:rsid w:val="003F65DA"/>
    <w:rsid w:val="003F70EE"/>
    <w:rsid w:val="003F71B2"/>
    <w:rsid w:val="00415AD0"/>
    <w:rsid w:val="004218D4"/>
    <w:rsid w:val="00424206"/>
    <w:rsid w:val="00425381"/>
    <w:rsid w:val="00437BB3"/>
    <w:rsid w:val="00440395"/>
    <w:rsid w:val="004411A2"/>
    <w:rsid w:val="004462AB"/>
    <w:rsid w:val="004576CC"/>
    <w:rsid w:val="00462710"/>
    <w:rsid w:val="00465F97"/>
    <w:rsid w:val="00473492"/>
    <w:rsid w:val="00486450"/>
    <w:rsid w:val="00494F49"/>
    <w:rsid w:val="00495AA7"/>
    <w:rsid w:val="004B1DCB"/>
    <w:rsid w:val="004B3A3A"/>
    <w:rsid w:val="004B5EF6"/>
    <w:rsid w:val="004C5864"/>
    <w:rsid w:val="004E764A"/>
    <w:rsid w:val="004F1A20"/>
    <w:rsid w:val="005045F4"/>
    <w:rsid w:val="005118CB"/>
    <w:rsid w:val="00514E3F"/>
    <w:rsid w:val="00516F6A"/>
    <w:rsid w:val="005171E7"/>
    <w:rsid w:val="00517B14"/>
    <w:rsid w:val="00521BE7"/>
    <w:rsid w:val="00521F92"/>
    <w:rsid w:val="005346BB"/>
    <w:rsid w:val="005415F3"/>
    <w:rsid w:val="00544807"/>
    <w:rsid w:val="00556A4A"/>
    <w:rsid w:val="005767BA"/>
    <w:rsid w:val="00585F15"/>
    <w:rsid w:val="0059311B"/>
    <w:rsid w:val="00594B9A"/>
    <w:rsid w:val="005A1782"/>
    <w:rsid w:val="005B3D2F"/>
    <w:rsid w:val="005D3D48"/>
    <w:rsid w:val="005D6369"/>
    <w:rsid w:val="005E29EE"/>
    <w:rsid w:val="005E76E8"/>
    <w:rsid w:val="005F0584"/>
    <w:rsid w:val="0060133B"/>
    <w:rsid w:val="006126DB"/>
    <w:rsid w:val="00622C26"/>
    <w:rsid w:val="00631AA0"/>
    <w:rsid w:val="00640009"/>
    <w:rsid w:val="00645BE1"/>
    <w:rsid w:val="00647F53"/>
    <w:rsid w:val="006507B6"/>
    <w:rsid w:val="00660672"/>
    <w:rsid w:val="00675FBB"/>
    <w:rsid w:val="00680C2C"/>
    <w:rsid w:val="00687497"/>
    <w:rsid w:val="006B4A3E"/>
    <w:rsid w:val="006C4704"/>
    <w:rsid w:val="006D24C7"/>
    <w:rsid w:val="006D75C9"/>
    <w:rsid w:val="006D766B"/>
    <w:rsid w:val="006E1CB0"/>
    <w:rsid w:val="006E6E32"/>
    <w:rsid w:val="006F22D4"/>
    <w:rsid w:val="006F578D"/>
    <w:rsid w:val="006F6933"/>
    <w:rsid w:val="0072120A"/>
    <w:rsid w:val="0075164D"/>
    <w:rsid w:val="00751683"/>
    <w:rsid w:val="007618D4"/>
    <w:rsid w:val="00762226"/>
    <w:rsid w:val="007639C5"/>
    <w:rsid w:val="00770CC8"/>
    <w:rsid w:val="00772AC8"/>
    <w:rsid w:val="00791F7E"/>
    <w:rsid w:val="00794CD3"/>
    <w:rsid w:val="00797BBE"/>
    <w:rsid w:val="007B0BD5"/>
    <w:rsid w:val="007D0A4D"/>
    <w:rsid w:val="007D3A87"/>
    <w:rsid w:val="007D3B60"/>
    <w:rsid w:val="007D461E"/>
    <w:rsid w:val="007D5DEE"/>
    <w:rsid w:val="007E719C"/>
    <w:rsid w:val="007F1D40"/>
    <w:rsid w:val="007F28B9"/>
    <w:rsid w:val="007F6F89"/>
    <w:rsid w:val="007F7F0C"/>
    <w:rsid w:val="00817469"/>
    <w:rsid w:val="00820239"/>
    <w:rsid w:val="00825640"/>
    <w:rsid w:val="00830A87"/>
    <w:rsid w:val="00831CBA"/>
    <w:rsid w:val="0083420A"/>
    <w:rsid w:val="00845614"/>
    <w:rsid w:val="00846FC6"/>
    <w:rsid w:val="0086350E"/>
    <w:rsid w:val="00870179"/>
    <w:rsid w:val="008701BD"/>
    <w:rsid w:val="008704CC"/>
    <w:rsid w:val="00871DE5"/>
    <w:rsid w:val="00876C91"/>
    <w:rsid w:val="00884D60"/>
    <w:rsid w:val="008903E7"/>
    <w:rsid w:val="0089300D"/>
    <w:rsid w:val="008976E5"/>
    <w:rsid w:val="008A14D7"/>
    <w:rsid w:val="008A2F32"/>
    <w:rsid w:val="008B6F25"/>
    <w:rsid w:val="008C06F0"/>
    <w:rsid w:val="008C22BA"/>
    <w:rsid w:val="008E55B3"/>
    <w:rsid w:val="008F4F10"/>
    <w:rsid w:val="008F4FDB"/>
    <w:rsid w:val="009205D4"/>
    <w:rsid w:val="00924254"/>
    <w:rsid w:val="0093537F"/>
    <w:rsid w:val="0094388C"/>
    <w:rsid w:val="009517C6"/>
    <w:rsid w:val="00951976"/>
    <w:rsid w:val="00953D05"/>
    <w:rsid w:val="00970B1B"/>
    <w:rsid w:val="00972F76"/>
    <w:rsid w:val="00972FFD"/>
    <w:rsid w:val="00973014"/>
    <w:rsid w:val="00973C2E"/>
    <w:rsid w:val="00985F88"/>
    <w:rsid w:val="009A39B4"/>
    <w:rsid w:val="009B44E6"/>
    <w:rsid w:val="009B6B89"/>
    <w:rsid w:val="009B72A6"/>
    <w:rsid w:val="009C58CD"/>
    <w:rsid w:val="009C72DB"/>
    <w:rsid w:val="009D2C8E"/>
    <w:rsid w:val="009D3D82"/>
    <w:rsid w:val="009E099B"/>
    <w:rsid w:val="009E470B"/>
    <w:rsid w:val="009F7D26"/>
    <w:rsid w:val="00A0651C"/>
    <w:rsid w:val="00A2179F"/>
    <w:rsid w:val="00A37AC0"/>
    <w:rsid w:val="00A56008"/>
    <w:rsid w:val="00A610C2"/>
    <w:rsid w:val="00A71CB4"/>
    <w:rsid w:val="00A72C20"/>
    <w:rsid w:val="00A768E3"/>
    <w:rsid w:val="00A827E2"/>
    <w:rsid w:val="00A8739A"/>
    <w:rsid w:val="00AA653C"/>
    <w:rsid w:val="00AA71BF"/>
    <w:rsid w:val="00AA7253"/>
    <w:rsid w:val="00AB079E"/>
    <w:rsid w:val="00AB65D7"/>
    <w:rsid w:val="00AC6361"/>
    <w:rsid w:val="00AD60D8"/>
    <w:rsid w:val="00AD697C"/>
    <w:rsid w:val="00AE32EA"/>
    <w:rsid w:val="00AE5947"/>
    <w:rsid w:val="00AF2E64"/>
    <w:rsid w:val="00B12548"/>
    <w:rsid w:val="00B20F28"/>
    <w:rsid w:val="00B3744F"/>
    <w:rsid w:val="00B40B13"/>
    <w:rsid w:val="00B53BDA"/>
    <w:rsid w:val="00B62603"/>
    <w:rsid w:val="00B62F1F"/>
    <w:rsid w:val="00B67E7D"/>
    <w:rsid w:val="00B72F02"/>
    <w:rsid w:val="00B77E25"/>
    <w:rsid w:val="00B80B33"/>
    <w:rsid w:val="00B81356"/>
    <w:rsid w:val="00B83D32"/>
    <w:rsid w:val="00BB1085"/>
    <w:rsid w:val="00BB22A5"/>
    <w:rsid w:val="00BC38AA"/>
    <w:rsid w:val="00BC7927"/>
    <w:rsid w:val="00BD0502"/>
    <w:rsid w:val="00BD1178"/>
    <w:rsid w:val="00BD5A0B"/>
    <w:rsid w:val="00BD7D5F"/>
    <w:rsid w:val="00BE0412"/>
    <w:rsid w:val="00BF065A"/>
    <w:rsid w:val="00BF7929"/>
    <w:rsid w:val="00C005D4"/>
    <w:rsid w:val="00C024DA"/>
    <w:rsid w:val="00C04D1D"/>
    <w:rsid w:val="00C11A9B"/>
    <w:rsid w:val="00C2115B"/>
    <w:rsid w:val="00C21BF1"/>
    <w:rsid w:val="00C22E06"/>
    <w:rsid w:val="00C3402D"/>
    <w:rsid w:val="00C578D5"/>
    <w:rsid w:val="00C62FA1"/>
    <w:rsid w:val="00C742FD"/>
    <w:rsid w:val="00C80C71"/>
    <w:rsid w:val="00C82A6A"/>
    <w:rsid w:val="00C90F0F"/>
    <w:rsid w:val="00C97D6B"/>
    <w:rsid w:val="00CA629F"/>
    <w:rsid w:val="00CC6B26"/>
    <w:rsid w:val="00CC7AF5"/>
    <w:rsid w:val="00CD0980"/>
    <w:rsid w:val="00CD1E24"/>
    <w:rsid w:val="00CE78A0"/>
    <w:rsid w:val="00CF33F9"/>
    <w:rsid w:val="00CF372F"/>
    <w:rsid w:val="00D048DA"/>
    <w:rsid w:val="00D12E13"/>
    <w:rsid w:val="00D1340E"/>
    <w:rsid w:val="00D21648"/>
    <w:rsid w:val="00D2571C"/>
    <w:rsid w:val="00D266FB"/>
    <w:rsid w:val="00D336B5"/>
    <w:rsid w:val="00D4002E"/>
    <w:rsid w:val="00D55966"/>
    <w:rsid w:val="00D5685D"/>
    <w:rsid w:val="00D61BD5"/>
    <w:rsid w:val="00D658D1"/>
    <w:rsid w:val="00D7610F"/>
    <w:rsid w:val="00D934B4"/>
    <w:rsid w:val="00DA54E4"/>
    <w:rsid w:val="00DB1B03"/>
    <w:rsid w:val="00DC79A5"/>
    <w:rsid w:val="00DD0C26"/>
    <w:rsid w:val="00DD1F7F"/>
    <w:rsid w:val="00DD312F"/>
    <w:rsid w:val="00DD469C"/>
    <w:rsid w:val="00DD5A2E"/>
    <w:rsid w:val="00DD681F"/>
    <w:rsid w:val="00DF040B"/>
    <w:rsid w:val="00DF16C2"/>
    <w:rsid w:val="00DF61D2"/>
    <w:rsid w:val="00DF6297"/>
    <w:rsid w:val="00DF6477"/>
    <w:rsid w:val="00E0053A"/>
    <w:rsid w:val="00E00D50"/>
    <w:rsid w:val="00E05A6F"/>
    <w:rsid w:val="00E0777F"/>
    <w:rsid w:val="00E11EB2"/>
    <w:rsid w:val="00E1472E"/>
    <w:rsid w:val="00E15F8D"/>
    <w:rsid w:val="00E17AF6"/>
    <w:rsid w:val="00E31376"/>
    <w:rsid w:val="00E414A5"/>
    <w:rsid w:val="00E42EAF"/>
    <w:rsid w:val="00E542E6"/>
    <w:rsid w:val="00E7044B"/>
    <w:rsid w:val="00E731DA"/>
    <w:rsid w:val="00E969A2"/>
    <w:rsid w:val="00EA6893"/>
    <w:rsid w:val="00EB245D"/>
    <w:rsid w:val="00ED496C"/>
    <w:rsid w:val="00EE07C3"/>
    <w:rsid w:val="00EE7C2B"/>
    <w:rsid w:val="00EF14BA"/>
    <w:rsid w:val="00EF7A1C"/>
    <w:rsid w:val="00EF7A3C"/>
    <w:rsid w:val="00F00D48"/>
    <w:rsid w:val="00F12130"/>
    <w:rsid w:val="00F22350"/>
    <w:rsid w:val="00F32D0F"/>
    <w:rsid w:val="00F34963"/>
    <w:rsid w:val="00F529D8"/>
    <w:rsid w:val="00F61741"/>
    <w:rsid w:val="00F77762"/>
    <w:rsid w:val="00F81BCF"/>
    <w:rsid w:val="00F94550"/>
    <w:rsid w:val="00F96012"/>
    <w:rsid w:val="00FA0A11"/>
    <w:rsid w:val="00FD2FDD"/>
    <w:rsid w:val="00FD42C0"/>
    <w:rsid w:val="00FD6AEE"/>
    <w:rsid w:val="00FE2C0C"/>
    <w:rsid w:val="00FF559D"/>
    <w:rsid w:val="00FF5703"/>
    <w:rsid w:val="00FF64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E4247"/>
  <w15:docId w15:val="{374191C4-0B3C-4CA3-AF86-35A3E46E2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6"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F570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E470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5703"/>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BD7D5F"/>
    <w:pPr>
      <w:ind w:left="720"/>
      <w:contextualSpacing/>
    </w:pPr>
  </w:style>
  <w:style w:type="paragraph" w:styleId="Bibliography">
    <w:name w:val="Bibliography"/>
    <w:basedOn w:val="Normal"/>
    <w:next w:val="Normal"/>
    <w:uiPriority w:val="37"/>
    <w:unhideWhenUsed/>
    <w:rsid w:val="00EF7A3C"/>
  </w:style>
  <w:style w:type="paragraph" w:styleId="Header">
    <w:name w:val="header"/>
    <w:basedOn w:val="Normal"/>
    <w:link w:val="HeaderChar"/>
    <w:uiPriority w:val="99"/>
    <w:unhideWhenUsed/>
    <w:rsid w:val="00DF04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040B"/>
  </w:style>
  <w:style w:type="paragraph" w:styleId="Footer">
    <w:name w:val="footer"/>
    <w:basedOn w:val="Normal"/>
    <w:link w:val="FooterChar"/>
    <w:uiPriority w:val="99"/>
    <w:unhideWhenUsed/>
    <w:rsid w:val="00DF0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040B"/>
  </w:style>
  <w:style w:type="paragraph" w:styleId="Caption">
    <w:name w:val="caption"/>
    <w:basedOn w:val="Normal"/>
    <w:next w:val="Normal"/>
    <w:uiPriority w:val="6"/>
    <w:qFormat/>
    <w:rsid w:val="00053972"/>
    <w:pPr>
      <w:keepNext/>
      <w:spacing w:before="120" w:after="120" w:line="240" w:lineRule="auto"/>
    </w:pPr>
    <w:rPr>
      <w:rFonts w:ascii="Verdana" w:eastAsia="Times New Roman" w:hAnsi="Verdana" w:cs="Times New Roman"/>
      <w:b/>
      <w:bCs/>
      <w:color w:val="006283"/>
      <w:kern w:val="0"/>
      <w:sz w:val="18"/>
      <w:szCs w:val="20"/>
      <w:lang w:val="en-GB" w:eastAsia="en-GB"/>
      <w14:ligatures w14:val="none"/>
    </w:rPr>
  </w:style>
  <w:style w:type="paragraph" w:styleId="FootnoteText">
    <w:name w:val="footnote text"/>
    <w:basedOn w:val="Normal"/>
    <w:link w:val="FootnoteTextChar"/>
    <w:uiPriority w:val="5"/>
    <w:rsid w:val="003C074D"/>
    <w:pPr>
      <w:spacing w:after="0" w:line="240" w:lineRule="auto"/>
      <w:ind w:firstLine="567"/>
    </w:pPr>
    <w:rPr>
      <w:rFonts w:ascii="Verdana" w:eastAsia="Calibri" w:hAnsi="Verdana" w:cs="Times New Roman"/>
      <w:kern w:val="0"/>
      <w:sz w:val="16"/>
      <w:szCs w:val="18"/>
      <w:lang w:val="en-GB" w:eastAsia="en-GB"/>
      <w14:ligatures w14:val="none"/>
    </w:rPr>
  </w:style>
  <w:style w:type="character" w:customStyle="1" w:styleId="FootnoteTextChar">
    <w:name w:val="Footnote Text Char"/>
    <w:basedOn w:val="DefaultParagraphFont"/>
    <w:link w:val="FootnoteText"/>
    <w:uiPriority w:val="5"/>
    <w:rsid w:val="003C074D"/>
    <w:rPr>
      <w:rFonts w:ascii="Verdana" w:eastAsia="Calibri" w:hAnsi="Verdana" w:cs="Times New Roman"/>
      <w:kern w:val="0"/>
      <w:sz w:val="16"/>
      <w:szCs w:val="18"/>
      <w:lang w:val="en-GB" w:eastAsia="en-GB"/>
      <w14:ligatures w14:val="none"/>
    </w:rPr>
  </w:style>
  <w:style w:type="character" w:styleId="FootnoteReference">
    <w:name w:val="footnote reference"/>
    <w:uiPriority w:val="5"/>
    <w:rsid w:val="003C074D"/>
    <w:rPr>
      <w:vertAlign w:val="superscript"/>
    </w:rPr>
  </w:style>
  <w:style w:type="table" w:styleId="ListTable6Colorful">
    <w:name w:val="List Table 6 Colorful"/>
    <w:basedOn w:val="TableNormal"/>
    <w:uiPriority w:val="51"/>
    <w:rsid w:val="002B0F49"/>
    <w:pPr>
      <w:spacing w:after="0" w:line="240" w:lineRule="auto"/>
    </w:pPr>
    <w:rPr>
      <w:color w:val="000000" w:themeColor="text1"/>
      <w:kern w:val="0"/>
      <w:lang w:val="en-GB"/>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2Char">
    <w:name w:val="Heading 2 Char"/>
    <w:basedOn w:val="DefaultParagraphFont"/>
    <w:link w:val="Heading2"/>
    <w:uiPriority w:val="9"/>
    <w:rsid w:val="009E470B"/>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DF6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2A6A"/>
    <w:rPr>
      <w:color w:val="0563C1" w:themeColor="hyperlink"/>
      <w:u w:val="single"/>
    </w:rPr>
  </w:style>
  <w:style w:type="table" w:styleId="GridTable6Colorful">
    <w:name w:val="Grid Table 6 Colorful"/>
    <w:basedOn w:val="TableNormal"/>
    <w:uiPriority w:val="51"/>
    <w:rsid w:val="004C586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nresolvedMention1">
    <w:name w:val="Unresolved Mention1"/>
    <w:basedOn w:val="DefaultParagraphFont"/>
    <w:uiPriority w:val="99"/>
    <w:semiHidden/>
    <w:unhideWhenUsed/>
    <w:rsid w:val="00FF559D"/>
    <w:rPr>
      <w:color w:val="605E5C"/>
      <w:shd w:val="clear" w:color="auto" w:fill="E1DFDD"/>
    </w:rPr>
  </w:style>
  <w:style w:type="character" w:styleId="FollowedHyperlink">
    <w:name w:val="FollowedHyperlink"/>
    <w:basedOn w:val="DefaultParagraphFont"/>
    <w:uiPriority w:val="99"/>
    <w:semiHidden/>
    <w:unhideWhenUsed/>
    <w:rsid w:val="00820239"/>
    <w:rPr>
      <w:color w:val="954F72"/>
      <w:u w:val="single"/>
    </w:rPr>
  </w:style>
  <w:style w:type="paragraph" w:customStyle="1" w:styleId="msonormal0">
    <w:name w:val="msonormal"/>
    <w:basedOn w:val="Normal"/>
    <w:rsid w:val="00820239"/>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xl65">
    <w:name w:val="xl65"/>
    <w:basedOn w:val="Normal"/>
    <w:rsid w:val="00820239"/>
    <w:pPr>
      <w:spacing w:before="100" w:beforeAutospacing="1" w:after="100" w:afterAutospacing="1" w:line="240" w:lineRule="auto"/>
    </w:pPr>
    <w:rPr>
      <w:rFonts w:ascii="Times New Roman" w:eastAsia="Times New Roman" w:hAnsi="Times New Roman" w:cs="Times New Roman"/>
      <w:color w:val="000000"/>
      <w:kern w:val="0"/>
      <w:sz w:val="24"/>
      <w:szCs w:val="24"/>
    </w:rPr>
  </w:style>
  <w:style w:type="character" w:styleId="CommentReference">
    <w:name w:val="annotation reference"/>
    <w:basedOn w:val="DefaultParagraphFont"/>
    <w:rsid w:val="00805BCE"/>
    <w:rPr>
      <w:sz w:val="16"/>
      <w:szCs w:val="16"/>
    </w:rPr>
  </w:style>
  <w:style w:type="paragraph" w:customStyle="1" w:styleId="preflight-heading">
    <w:name w:val="preflight-heading"/>
    <w:pPr>
      <w:spacing w:before="60" w:after="60"/>
    </w:pPr>
    <w:rPr>
      <w:b/>
      <w:color w:val="000000"/>
      <w:sz w:val="20"/>
    </w:rPr>
  </w:style>
  <w:style w:type="paragraph" w:customStyle="1" w:styleId="preflight-description">
    <w:name w:val="preflight-description"/>
    <w:pPr>
      <w:spacing w:before="60" w:after="60"/>
    </w:pPr>
    <w:rPr>
      <w:color w:val="000000"/>
      <w:sz w:val="20"/>
    </w:rPr>
  </w:style>
  <w:style w:type="paragraph" w:customStyle="1" w:styleId="preflight-link">
    <w:name w:val="preflight-link"/>
    <w:pPr>
      <w:spacing w:before="60" w:after="60"/>
    </w:pPr>
    <w:rPr>
      <w:color w:val="0000FF"/>
      <w:sz w:val="20"/>
      <w:u w:val="single"/>
    </w:rPr>
  </w:style>
  <w:style w:type="paragraph" w:customStyle="1" w:styleId="preflight-example">
    <w:name w:val="preflight-example"/>
    <w:pPr>
      <w:spacing w:before="180" w:after="60"/>
    </w:pPr>
    <w:rPr>
      <w:i/>
      <w:color w:val="000000"/>
      <w:sz w:val="2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73089">
      <w:bodyDiv w:val="1"/>
      <w:marLeft w:val="0"/>
      <w:marRight w:val="0"/>
      <w:marTop w:val="0"/>
      <w:marBottom w:val="0"/>
      <w:divBdr>
        <w:top w:val="none" w:sz="0" w:space="0" w:color="auto"/>
        <w:left w:val="none" w:sz="0" w:space="0" w:color="auto"/>
        <w:bottom w:val="none" w:sz="0" w:space="0" w:color="auto"/>
        <w:right w:val="none" w:sz="0" w:space="0" w:color="auto"/>
      </w:divBdr>
    </w:div>
    <w:div w:id="55051145">
      <w:bodyDiv w:val="1"/>
      <w:marLeft w:val="0"/>
      <w:marRight w:val="0"/>
      <w:marTop w:val="0"/>
      <w:marBottom w:val="0"/>
      <w:divBdr>
        <w:top w:val="none" w:sz="0" w:space="0" w:color="auto"/>
        <w:left w:val="none" w:sz="0" w:space="0" w:color="auto"/>
        <w:bottom w:val="none" w:sz="0" w:space="0" w:color="auto"/>
        <w:right w:val="none" w:sz="0" w:space="0" w:color="auto"/>
      </w:divBdr>
    </w:div>
    <w:div w:id="95827767">
      <w:bodyDiv w:val="1"/>
      <w:marLeft w:val="0"/>
      <w:marRight w:val="0"/>
      <w:marTop w:val="0"/>
      <w:marBottom w:val="0"/>
      <w:divBdr>
        <w:top w:val="none" w:sz="0" w:space="0" w:color="auto"/>
        <w:left w:val="none" w:sz="0" w:space="0" w:color="auto"/>
        <w:bottom w:val="none" w:sz="0" w:space="0" w:color="auto"/>
        <w:right w:val="none" w:sz="0" w:space="0" w:color="auto"/>
      </w:divBdr>
    </w:div>
    <w:div w:id="113865267">
      <w:bodyDiv w:val="1"/>
      <w:marLeft w:val="0"/>
      <w:marRight w:val="0"/>
      <w:marTop w:val="0"/>
      <w:marBottom w:val="0"/>
      <w:divBdr>
        <w:top w:val="none" w:sz="0" w:space="0" w:color="auto"/>
        <w:left w:val="none" w:sz="0" w:space="0" w:color="auto"/>
        <w:bottom w:val="none" w:sz="0" w:space="0" w:color="auto"/>
        <w:right w:val="none" w:sz="0" w:space="0" w:color="auto"/>
      </w:divBdr>
    </w:div>
    <w:div w:id="165436167">
      <w:bodyDiv w:val="1"/>
      <w:marLeft w:val="0"/>
      <w:marRight w:val="0"/>
      <w:marTop w:val="0"/>
      <w:marBottom w:val="0"/>
      <w:divBdr>
        <w:top w:val="none" w:sz="0" w:space="0" w:color="auto"/>
        <w:left w:val="none" w:sz="0" w:space="0" w:color="auto"/>
        <w:bottom w:val="none" w:sz="0" w:space="0" w:color="auto"/>
        <w:right w:val="none" w:sz="0" w:space="0" w:color="auto"/>
      </w:divBdr>
    </w:div>
    <w:div w:id="201671572">
      <w:bodyDiv w:val="1"/>
      <w:marLeft w:val="0"/>
      <w:marRight w:val="0"/>
      <w:marTop w:val="0"/>
      <w:marBottom w:val="0"/>
      <w:divBdr>
        <w:top w:val="none" w:sz="0" w:space="0" w:color="auto"/>
        <w:left w:val="none" w:sz="0" w:space="0" w:color="auto"/>
        <w:bottom w:val="none" w:sz="0" w:space="0" w:color="auto"/>
        <w:right w:val="none" w:sz="0" w:space="0" w:color="auto"/>
      </w:divBdr>
    </w:div>
    <w:div w:id="212810448">
      <w:bodyDiv w:val="1"/>
      <w:marLeft w:val="0"/>
      <w:marRight w:val="0"/>
      <w:marTop w:val="0"/>
      <w:marBottom w:val="0"/>
      <w:divBdr>
        <w:top w:val="none" w:sz="0" w:space="0" w:color="auto"/>
        <w:left w:val="none" w:sz="0" w:space="0" w:color="auto"/>
        <w:bottom w:val="none" w:sz="0" w:space="0" w:color="auto"/>
        <w:right w:val="none" w:sz="0" w:space="0" w:color="auto"/>
      </w:divBdr>
    </w:div>
    <w:div w:id="295650368">
      <w:bodyDiv w:val="1"/>
      <w:marLeft w:val="0"/>
      <w:marRight w:val="0"/>
      <w:marTop w:val="0"/>
      <w:marBottom w:val="0"/>
      <w:divBdr>
        <w:top w:val="none" w:sz="0" w:space="0" w:color="auto"/>
        <w:left w:val="none" w:sz="0" w:space="0" w:color="auto"/>
        <w:bottom w:val="none" w:sz="0" w:space="0" w:color="auto"/>
        <w:right w:val="none" w:sz="0" w:space="0" w:color="auto"/>
      </w:divBdr>
    </w:div>
    <w:div w:id="314336764">
      <w:bodyDiv w:val="1"/>
      <w:marLeft w:val="0"/>
      <w:marRight w:val="0"/>
      <w:marTop w:val="0"/>
      <w:marBottom w:val="0"/>
      <w:divBdr>
        <w:top w:val="none" w:sz="0" w:space="0" w:color="auto"/>
        <w:left w:val="none" w:sz="0" w:space="0" w:color="auto"/>
        <w:bottom w:val="none" w:sz="0" w:space="0" w:color="auto"/>
        <w:right w:val="none" w:sz="0" w:space="0" w:color="auto"/>
      </w:divBdr>
    </w:div>
    <w:div w:id="329143143">
      <w:bodyDiv w:val="1"/>
      <w:marLeft w:val="0"/>
      <w:marRight w:val="0"/>
      <w:marTop w:val="0"/>
      <w:marBottom w:val="0"/>
      <w:divBdr>
        <w:top w:val="none" w:sz="0" w:space="0" w:color="auto"/>
        <w:left w:val="none" w:sz="0" w:space="0" w:color="auto"/>
        <w:bottom w:val="none" w:sz="0" w:space="0" w:color="auto"/>
        <w:right w:val="none" w:sz="0" w:space="0" w:color="auto"/>
      </w:divBdr>
    </w:div>
    <w:div w:id="367143354">
      <w:bodyDiv w:val="1"/>
      <w:marLeft w:val="0"/>
      <w:marRight w:val="0"/>
      <w:marTop w:val="0"/>
      <w:marBottom w:val="0"/>
      <w:divBdr>
        <w:top w:val="none" w:sz="0" w:space="0" w:color="auto"/>
        <w:left w:val="none" w:sz="0" w:space="0" w:color="auto"/>
        <w:bottom w:val="none" w:sz="0" w:space="0" w:color="auto"/>
        <w:right w:val="none" w:sz="0" w:space="0" w:color="auto"/>
      </w:divBdr>
    </w:div>
    <w:div w:id="411467056">
      <w:bodyDiv w:val="1"/>
      <w:marLeft w:val="0"/>
      <w:marRight w:val="0"/>
      <w:marTop w:val="0"/>
      <w:marBottom w:val="0"/>
      <w:divBdr>
        <w:top w:val="none" w:sz="0" w:space="0" w:color="auto"/>
        <w:left w:val="none" w:sz="0" w:space="0" w:color="auto"/>
        <w:bottom w:val="none" w:sz="0" w:space="0" w:color="auto"/>
        <w:right w:val="none" w:sz="0" w:space="0" w:color="auto"/>
      </w:divBdr>
    </w:div>
    <w:div w:id="415781816">
      <w:bodyDiv w:val="1"/>
      <w:marLeft w:val="0"/>
      <w:marRight w:val="0"/>
      <w:marTop w:val="0"/>
      <w:marBottom w:val="0"/>
      <w:divBdr>
        <w:top w:val="none" w:sz="0" w:space="0" w:color="auto"/>
        <w:left w:val="none" w:sz="0" w:space="0" w:color="auto"/>
        <w:bottom w:val="none" w:sz="0" w:space="0" w:color="auto"/>
        <w:right w:val="none" w:sz="0" w:space="0" w:color="auto"/>
      </w:divBdr>
    </w:div>
    <w:div w:id="498423626">
      <w:bodyDiv w:val="1"/>
      <w:marLeft w:val="0"/>
      <w:marRight w:val="0"/>
      <w:marTop w:val="0"/>
      <w:marBottom w:val="0"/>
      <w:divBdr>
        <w:top w:val="none" w:sz="0" w:space="0" w:color="auto"/>
        <w:left w:val="none" w:sz="0" w:space="0" w:color="auto"/>
        <w:bottom w:val="none" w:sz="0" w:space="0" w:color="auto"/>
        <w:right w:val="none" w:sz="0" w:space="0" w:color="auto"/>
      </w:divBdr>
    </w:div>
    <w:div w:id="514460521">
      <w:bodyDiv w:val="1"/>
      <w:marLeft w:val="0"/>
      <w:marRight w:val="0"/>
      <w:marTop w:val="0"/>
      <w:marBottom w:val="0"/>
      <w:divBdr>
        <w:top w:val="none" w:sz="0" w:space="0" w:color="auto"/>
        <w:left w:val="none" w:sz="0" w:space="0" w:color="auto"/>
        <w:bottom w:val="none" w:sz="0" w:space="0" w:color="auto"/>
        <w:right w:val="none" w:sz="0" w:space="0" w:color="auto"/>
      </w:divBdr>
    </w:div>
    <w:div w:id="557547131">
      <w:bodyDiv w:val="1"/>
      <w:marLeft w:val="0"/>
      <w:marRight w:val="0"/>
      <w:marTop w:val="0"/>
      <w:marBottom w:val="0"/>
      <w:divBdr>
        <w:top w:val="none" w:sz="0" w:space="0" w:color="auto"/>
        <w:left w:val="none" w:sz="0" w:space="0" w:color="auto"/>
        <w:bottom w:val="none" w:sz="0" w:space="0" w:color="auto"/>
        <w:right w:val="none" w:sz="0" w:space="0" w:color="auto"/>
      </w:divBdr>
    </w:div>
    <w:div w:id="635379038">
      <w:bodyDiv w:val="1"/>
      <w:marLeft w:val="0"/>
      <w:marRight w:val="0"/>
      <w:marTop w:val="0"/>
      <w:marBottom w:val="0"/>
      <w:divBdr>
        <w:top w:val="none" w:sz="0" w:space="0" w:color="auto"/>
        <w:left w:val="none" w:sz="0" w:space="0" w:color="auto"/>
        <w:bottom w:val="none" w:sz="0" w:space="0" w:color="auto"/>
        <w:right w:val="none" w:sz="0" w:space="0" w:color="auto"/>
      </w:divBdr>
    </w:div>
    <w:div w:id="683092177">
      <w:bodyDiv w:val="1"/>
      <w:marLeft w:val="0"/>
      <w:marRight w:val="0"/>
      <w:marTop w:val="0"/>
      <w:marBottom w:val="0"/>
      <w:divBdr>
        <w:top w:val="none" w:sz="0" w:space="0" w:color="auto"/>
        <w:left w:val="none" w:sz="0" w:space="0" w:color="auto"/>
        <w:bottom w:val="none" w:sz="0" w:space="0" w:color="auto"/>
        <w:right w:val="none" w:sz="0" w:space="0" w:color="auto"/>
      </w:divBdr>
    </w:div>
    <w:div w:id="696658476">
      <w:bodyDiv w:val="1"/>
      <w:marLeft w:val="0"/>
      <w:marRight w:val="0"/>
      <w:marTop w:val="0"/>
      <w:marBottom w:val="0"/>
      <w:divBdr>
        <w:top w:val="none" w:sz="0" w:space="0" w:color="auto"/>
        <w:left w:val="none" w:sz="0" w:space="0" w:color="auto"/>
        <w:bottom w:val="none" w:sz="0" w:space="0" w:color="auto"/>
        <w:right w:val="none" w:sz="0" w:space="0" w:color="auto"/>
      </w:divBdr>
    </w:div>
    <w:div w:id="749502260">
      <w:bodyDiv w:val="1"/>
      <w:marLeft w:val="0"/>
      <w:marRight w:val="0"/>
      <w:marTop w:val="0"/>
      <w:marBottom w:val="0"/>
      <w:divBdr>
        <w:top w:val="none" w:sz="0" w:space="0" w:color="auto"/>
        <w:left w:val="none" w:sz="0" w:space="0" w:color="auto"/>
        <w:bottom w:val="none" w:sz="0" w:space="0" w:color="auto"/>
        <w:right w:val="none" w:sz="0" w:space="0" w:color="auto"/>
      </w:divBdr>
    </w:div>
    <w:div w:id="781726570">
      <w:bodyDiv w:val="1"/>
      <w:marLeft w:val="0"/>
      <w:marRight w:val="0"/>
      <w:marTop w:val="0"/>
      <w:marBottom w:val="0"/>
      <w:divBdr>
        <w:top w:val="none" w:sz="0" w:space="0" w:color="auto"/>
        <w:left w:val="none" w:sz="0" w:space="0" w:color="auto"/>
        <w:bottom w:val="none" w:sz="0" w:space="0" w:color="auto"/>
        <w:right w:val="none" w:sz="0" w:space="0" w:color="auto"/>
      </w:divBdr>
    </w:div>
    <w:div w:id="783040298">
      <w:bodyDiv w:val="1"/>
      <w:marLeft w:val="0"/>
      <w:marRight w:val="0"/>
      <w:marTop w:val="0"/>
      <w:marBottom w:val="0"/>
      <w:divBdr>
        <w:top w:val="none" w:sz="0" w:space="0" w:color="auto"/>
        <w:left w:val="none" w:sz="0" w:space="0" w:color="auto"/>
        <w:bottom w:val="none" w:sz="0" w:space="0" w:color="auto"/>
        <w:right w:val="none" w:sz="0" w:space="0" w:color="auto"/>
      </w:divBdr>
    </w:div>
    <w:div w:id="789473242">
      <w:bodyDiv w:val="1"/>
      <w:marLeft w:val="0"/>
      <w:marRight w:val="0"/>
      <w:marTop w:val="0"/>
      <w:marBottom w:val="0"/>
      <w:divBdr>
        <w:top w:val="none" w:sz="0" w:space="0" w:color="auto"/>
        <w:left w:val="none" w:sz="0" w:space="0" w:color="auto"/>
        <w:bottom w:val="none" w:sz="0" w:space="0" w:color="auto"/>
        <w:right w:val="none" w:sz="0" w:space="0" w:color="auto"/>
      </w:divBdr>
    </w:div>
    <w:div w:id="829908407">
      <w:bodyDiv w:val="1"/>
      <w:marLeft w:val="0"/>
      <w:marRight w:val="0"/>
      <w:marTop w:val="0"/>
      <w:marBottom w:val="0"/>
      <w:divBdr>
        <w:top w:val="none" w:sz="0" w:space="0" w:color="auto"/>
        <w:left w:val="none" w:sz="0" w:space="0" w:color="auto"/>
        <w:bottom w:val="none" w:sz="0" w:space="0" w:color="auto"/>
        <w:right w:val="none" w:sz="0" w:space="0" w:color="auto"/>
      </w:divBdr>
    </w:div>
    <w:div w:id="901137865">
      <w:bodyDiv w:val="1"/>
      <w:marLeft w:val="0"/>
      <w:marRight w:val="0"/>
      <w:marTop w:val="0"/>
      <w:marBottom w:val="0"/>
      <w:divBdr>
        <w:top w:val="none" w:sz="0" w:space="0" w:color="auto"/>
        <w:left w:val="none" w:sz="0" w:space="0" w:color="auto"/>
        <w:bottom w:val="none" w:sz="0" w:space="0" w:color="auto"/>
        <w:right w:val="none" w:sz="0" w:space="0" w:color="auto"/>
      </w:divBdr>
    </w:div>
    <w:div w:id="921337209">
      <w:bodyDiv w:val="1"/>
      <w:marLeft w:val="0"/>
      <w:marRight w:val="0"/>
      <w:marTop w:val="0"/>
      <w:marBottom w:val="0"/>
      <w:divBdr>
        <w:top w:val="none" w:sz="0" w:space="0" w:color="auto"/>
        <w:left w:val="none" w:sz="0" w:space="0" w:color="auto"/>
        <w:bottom w:val="none" w:sz="0" w:space="0" w:color="auto"/>
        <w:right w:val="none" w:sz="0" w:space="0" w:color="auto"/>
      </w:divBdr>
    </w:div>
    <w:div w:id="922490730">
      <w:bodyDiv w:val="1"/>
      <w:marLeft w:val="0"/>
      <w:marRight w:val="0"/>
      <w:marTop w:val="0"/>
      <w:marBottom w:val="0"/>
      <w:divBdr>
        <w:top w:val="none" w:sz="0" w:space="0" w:color="auto"/>
        <w:left w:val="none" w:sz="0" w:space="0" w:color="auto"/>
        <w:bottom w:val="none" w:sz="0" w:space="0" w:color="auto"/>
        <w:right w:val="none" w:sz="0" w:space="0" w:color="auto"/>
      </w:divBdr>
    </w:div>
    <w:div w:id="957183396">
      <w:bodyDiv w:val="1"/>
      <w:marLeft w:val="0"/>
      <w:marRight w:val="0"/>
      <w:marTop w:val="0"/>
      <w:marBottom w:val="0"/>
      <w:divBdr>
        <w:top w:val="none" w:sz="0" w:space="0" w:color="auto"/>
        <w:left w:val="none" w:sz="0" w:space="0" w:color="auto"/>
        <w:bottom w:val="none" w:sz="0" w:space="0" w:color="auto"/>
        <w:right w:val="none" w:sz="0" w:space="0" w:color="auto"/>
      </w:divBdr>
    </w:div>
    <w:div w:id="974605836">
      <w:bodyDiv w:val="1"/>
      <w:marLeft w:val="0"/>
      <w:marRight w:val="0"/>
      <w:marTop w:val="0"/>
      <w:marBottom w:val="0"/>
      <w:divBdr>
        <w:top w:val="none" w:sz="0" w:space="0" w:color="auto"/>
        <w:left w:val="none" w:sz="0" w:space="0" w:color="auto"/>
        <w:bottom w:val="none" w:sz="0" w:space="0" w:color="auto"/>
        <w:right w:val="none" w:sz="0" w:space="0" w:color="auto"/>
      </w:divBdr>
    </w:div>
    <w:div w:id="1030302261">
      <w:bodyDiv w:val="1"/>
      <w:marLeft w:val="0"/>
      <w:marRight w:val="0"/>
      <w:marTop w:val="0"/>
      <w:marBottom w:val="0"/>
      <w:divBdr>
        <w:top w:val="none" w:sz="0" w:space="0" w:color="auto"/>
        <w:left w:val="none" w:sz="0" w:space="0" w:color="auto"/>
        <w:bottom w:val="none" w:sz="0" w:space="0" w:color="auto"/>
        <w:right w:val="none" w:sz="0" w:space="0" w:color="auto"/>
      </w:divBdr>
    </w:div>
    <w:div w:id="1067605763">
      <w:bodyDiv w:val="1"/>
      <w:marLeft w:val="0"/>
      <w:marRight w:val="0"/>
      <w:marTop w:val="0"/>
      <w:marBottom w:val="0"/>
      <w:divBdr>
        <w:top w:val="none" w:sz="0" w:space="0" w:color="auto"/>
        <w:left w:val="none" w:sz="0" w:space="0" w:color="auto"/>
        <w:bottom w:val="none" w:sz="0" w:space="0" w:color="auto"/>
        <w:right w:val="none" w:sz="0" w:space="0" w:color="auto"/>
      </w:divBdr>
    </w:div>
    <w:div w:id="1117212641">
      <w:bodyDiv w:val="1"/>
      <w:marLeft w:val="0"/>
      <w:marRight w:val="0"/>
      <w:marTop w:val="0"/>
      <w:marBottom w:val="0"/>
      <w:divBdr>
        <w:top w:val="none" w:sz="0" w:space="0" w:color="auto"/>
        <w:left w:val="none" w:sz="0" w:space="0" w:color="auto"/>
        <w:bottom w:val="none" w:sz="0" w:space="0" w:color="auto"/>
        <w:right w:val="none" w:sz="0" w:space="0" w:color="auto"/>
      </w:divBdr>
    </w:div>
    <w:div w:id="1144154923">
      <w:bodyDiv w:val="1"/>
      <w:marLeft w:val="0"/>
      <w:marRight w:val="0"/>
      <w:marTop w:val="0"/>
      <w:marBottom w:val="0"/>
      <w:divBdr>
        <w:top w:val="none" w:sz="0" w:space="0" w:color="auto"/>
        <w:left w:val="none" w:sz="0" w:space="0" w:color="auto"/>
        <w:bottom w:val="none" w:sz="0" w:space="0" w:color="auto"/>
        <w:right w:val="none" w:sz="0" w:space="0" w:color="auto"/>
      </w:divBdr>
    </w:div>
    <w:div w:id="1149008638">
      <w:bodyDiv w:val="1"/>
      <w:marLeft w:val="0"/>
      <w:marRight w:val="0"/>
      <w:marTop w:val="0"/>
      <w:marBottom w:val="0"/>
      <w:divBdr>
        <w:top w:val="none" w:sz="0" w:space="0" w:color="auto"/>
        <w:left w:val="none" w:sz="0" w:space="0" w:color="auto"/>
        <w:bottom w:val="none" w:sz="0" w:space="0" w:color="auto"/>
        <w:right w:val="none" w:sz="0" w:space="0" w:color="auto"/>
      </w:divBdr>
    </w:div>
    <w:div w:id="1194424419">
      <w:bodyDiv w:val="1"/>
      <w:marLeft w:val="0"/>
      <w:marRight w:val="0"/>
      <w:marTop w:val="0"/>
      <w:marBottom w:val="0"/>
      <w:divBdr>
        <w:top w:val="none" w:sz="0" w:space="0" w:color="auto"/>
        <w:left w:val="none" w:sz="0" w:space="0" w:color="auto"/>
        <w:bottom w:val="none" w:sz="0" w:space="0" w:color="auto"/>
        <w:right w:val="none" w:sz="0" w:space="0" w:color="auto"/>
      </w:divBdr>
    </w:div>
    <w:div w:id="1274901512">
      <w:bodyDiv w:val="1"/>
      <w:marLeft w:val="0"/>
      <w:marRight w:val="0"/>
      <w:marTop w:val="0"/>
      <w:marBottom w:val="0"/>
      <w:divBdr>
        <w:top w:val="none" w:sz="0" w:space="0" w:color="auto"/>
        <w:left w:val="none" w:sz="0" w:space="0" w:color="auto"/>
        <w:bottom w:val="none" w:sz="0" w:space="0" w:color="auto"/>
        <w:right w:val="none" w:sz="0" w:space="0" w:color="auto"/>
      </w:divBdr>
    </w:div>
    <w:div w:id="1315135744">
      <w:bodyDiv w:val="1"/>
      <w:marLeft w:val="0"/>
      <w:marRight w:val="0"/>
      <w:marTop w:val="0"/>
      <w:marBottom w:val="0"/>
      <w:divBdr>
        <w:top w:val="none" w:sz="0" w:space="0" w:color="auto"/>
        <w:left w:val="none" w:sz="0" w:space="0" w:color="auto"/>
        <w:bottom w:val="none" w:sz="0" w:space="0" w:color="auto"/>
        <w:right w:val="none" w:sz="0" w:space="0" w:color="auto"/>
      </w:divBdr>
    </w:div>
    <w:div w:id="1385252856">
      <w:bodyDiv w:val="1"/>
      <w:marLeft w:val="0"/>
      <w:marRight w:val="0"/>
      <w:marTop w:val="0"/>
      <w:marBottom w:val="0"/>
      <w:divBdr>
        <w:top w:val="none" w:sz="0" w:space="0" w:color="auto"/>
        <w:left w:val="none" w:sz="0" w:space="0" w:color="auto"/>
        <w:bottom w:val="none" w:sz="0" w:space="0" w:color="auto"/>
        <w:right w:val="none" w:sz="0" w:space="0" w:color="auto"/>
      </w:divBdr>
    </w:div>
    <w:div w:id="1488983367">
      <w:bodyDiv w:val="1"/>
      <w:marLeft w:val="0"/>
      <w:marRight w:val="0"/>
      <w:marTop w:val="0"/>
      <w:marBottom w:val="0"/>
      <w:divBdr>
        <w:top w:val="none" w:sz="0" w:space="0" w:color="auto"/>
        <w:left w:val="none" w:sz="0" w:space="0" w:color="auto"/>
        <w:bottom w:val="none" w:sz="0" w:space="0" w:color="auto"/>
        <w:right w:val="none" w:sz="0" w:space="0" w:color="auto"/>
      </w:divBdr>
    </w:div>
    <w:div w:id="1510102891">
      <w:bodyDiv w:val="1"/>
      <w:marLeft w:val="0"/>
      <w:marRight w:val="0"/>
      <w:marTop w:val="0"/>
      <w:marBottom w:val="0"/>
      <w:divBdr>
        <w:top w:val="none" w:sz="0" w:space="0" w:color="auto"/>
        <w:left w:val="none" w:sz="0" w:space="0" w:color="auto"/>
        <w:bottom w:val="none" w:sz="0" w:space="0" w:color="auto"/>
        <w:right w:val="none" w:sz="0" w:space="0" w:color="auto"/>
      </w:divBdr>
    </w:div>
    <w:div w:id="1579362450">
      <w:bodyDiv w:val="1"/>
      <w:marLeft w:val="0"/>
      <w:marRight w:val="0"/>
      <w:marTop w:val="0"/>
      <w:marBottom w:val="0"/>
      <w:divBdr>
        <w:top w:val="none" w:sz="0" w:space="0" w:color="auto"/>
        <w:left w:val="none" w:sz="0" w:space="0" w:color="auto"/>
        <w:bottom w:val="none" w:sz="0" w:space="0" w:color="auto"/>
        <w:right w:val="none" w:sz="0" w:space="0" w:color="auto"/>
      </w:divBdr>
    </w:div>
    <w:div w:id="1810593246">
      <w:bodyDiv w:val="1"/>
      <w:marLeft w:val="0"/>
      <w:marRight w:val="0"/>
      <w:marTop w:val="0"/>
      <w:marBottom w:val="0"/>
      <w:divBdr>
        <w:top w:val="none" w:sz="0" w:space="0" w:color="auto"/>
        <w:left w:val="none" w:sz="0" w:space="0" w:color="auto"/>
        <w:bottom w:val="none" w:sz="0" w:space="0" w:color="auto"/>
        <w:right w:val="none" w:sz="0" w:space="0" w:color="auto"/>
      </w:divBdr>
    </w:div>
    <w:div w:id="1875651773">
      <w:bodyDiv w:val="1"/>
      <w:marLeft w:val="0"/>
      <w:marRight w:val="0"/>
      <w:marTop w:val="0"/>
      <w:marBottom w:val="0"/>
      <w:divBdr>
        <w:top w:val="none" w:sz="0" w:space="0" w:color="auto"/>
        <w:left w:val="none" w:sz="0" w:space="0" w:color="auto"/>
        <w:bottom w:val="none" w:sz="0" w:space="0" w:color="auto"/>
        <w:right w:val="none" w:sz="0" w:space="0" w:color="auto"/>
      </w:divBdr>
    </w:div>
    <w:div w:id="1902788342">
      <w:bodyDiv w:val="1"/>
      <w:marLeft w:val="0"/>
      <w:marRight w:val="0"/>
      <w:marTop w:val="0"/>
      <w:marBottom w:val="0"/>
      <w:divBdr>
        <w:top w:val="none" w:sz="0" w:space="0" w:color="auto"/>
        <w:left w:val="none" w:sz="0" w:space="0" w:color="auto"/>
        <w:bottom w:val="none" w:sz="0" w:space="0" w:color="auto"/>
        <w:right w:val="none" w:sz="0" w:space="0" w:color="auto"/>
      </w:divBdr>
    </w:div>
    <w:div w:id="20832119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WTO23</b:Tag>
    <b:SourceType>Report</b:SourceType>
    <b:Guid>{23A7EF2E-FDC1-4AE0-9835-92D072C54AC8}</b:Guid>
    <b:Title>One year of war in Ukraine: Assessing the impact on global trade and development</b:Title>
    <b:Year>2023</b:Year>
    <b:Author>
      <b:Author>
        <b:NameList>
          <b:Person>
            <b:Last>WTO</b:Last>
          </b:Person>
        </b:NameList>
      </b:Author>
    </b:Author>
    <b:Publisher>World Trade Organization</b:Publisher>
    <b:City>Geneva</b:City>
    <b:URL>https://www.wto.org/english/res_e/publications_e/oneyukr_e.htm</b:URL>
    <b:RefOrder>4</b:RefOrder>
  </b:Source>
  <b:Source>
    <b:Tag>Cur23</b:Tag>
    <b:SourceType>JournalArticle</b:SourceType>
    <b:Guid>{9F3B7B7B-17B0-4A81-AE71-3649FA07CA12}</b:Guid>
    <b:Author>
      <b:Author>
        <b:NameList>
          <b:Person>
            <b:Last>Curran</b:Last>
            <b:First>L</b:First>
          </b:Person>
          <b:Person>
            <b:Last>Eckhardt</b:Last>
            <b:First>J</b:First>
          </b:Person>
        </b:NameList>
      </b:Author>
    </b:Author>
    <b:Title>The EU's COVID‐19 policy response and the restructuring of global value chains</b:Title>
    <b:JournalName>Global Policy</b:JournalName>
    <b:Year>2023</b:Year>
    <b:DOI>10.1111/1758-5899.13165</b:DOI>
    <b:RefOrder>5</b:RefOrder>
  </b:Source>
  <b:Source>
    <b:Tag>WTO21</b:Tag>
    <b:SourceType>Report</b:SourceType>
    <b:Guid>{0DB9EF6E-5C43-4671-90B2-57AC062CE541}</b:Guid>
    <b:Title>Improving trade data for products essential to fight COVID-19: A possible way forward</b:Title>
    <b:Year>2021</b:Year>
    <b:Author>
      <b:Author>
        <b:NameList>
          <b:Person>
            <b:Last>WTO</b:Last>
          </b:Person>
        </b:NameList>
      </b:Author>
    </b:Author>
    <b:Publisher>World Trade Organization</b:Publisher>
    <b:City>Geneva</b:City>
    <b:URL>https://www.wto.org/english/tratop_e/covid19_e/trade_data_report_e.pdf</b:URL>
    <b:RefOrder>6</b:RefOrder>
  </b:Source>
  <b:Source>
    <b:Tag>Kor171</b:Tag>
    <b:SourceType>Report</b:SourceType>
    <b:Guid>{7A246649-8869-4674-823A-4060633ECB85}</b:Guid>
    <b:Title>Assessing the fragility of global trade: The impact of localized supply shocks using network analysis (WP/17/30)</b:Title>
    <b:Year>2017</b:Year>
    <b:Author>
      <b:Author>
        <b:NameList>
          <b:Person>
            <b:Last>Korniyenko</b:Last>
            <b:First>M</b:First>
          </b:Person>
          <b:Person>
            <b:Last>Pinat</b:Last>
            <b:First>M</b:First>
          </b:Person>
          <b:Person>
            <b:Last>Dew</b:Last>
            <b:First>B</b:First>
          </b:Person>
        </b:NameList>
      </b:Author>
    </b:Author>
    <b:Publisher>International Monetary Fund</b:Publisher>
    <b:URL>https://www.elibrary.imf.org/view/journals/001/2017/030/article-A001-en.xml</b:URL>
    <b:RefOrder>7</b:RefOrder>
  </b:Source>
  <b:Source>
    <b:Tag>Rei211</b:Tag>
    <b:SourceType>JournalArticle</b:SourceType>
    <b:Guid>{90E1B4B1-B450-4AC3-A94D-C024F1BB564E}</b:Guid>
    <b:Author>
      <b:Author>
        <b:NameList>
          <b:Person>
            <b:Last>Reiter</b:Last>
            <b:First>Oliver</b:First>
          </b:Person>
          <b:Person>
            <b:Last>Stehrer</b:Last>
            <b:First>Robert</b:First>
          </b:Person>
        </b:NameList>
      </b:Author>
    </b:Author>
    <b:Title>Assessing the importance of risky products in international trade and global value chains</b:Title>
    <b:Year>2023</b:Year>
    <b:City>Vienna</b:City>
    <b:JournalName>Empirica</b:JournalName>
    <b:Pages>7-33</b:Pages>
    <b:Volume>50</b:Volume>
    <b:DOI>10.1007/s10663-022-09560-x</b:DOI>
    <b:RefOrder>8</b:RefOrder>
  </b:Source>
  <b:Source>
    <b:Tag>Eur211</b:Tag>
    <b:SourceType>Report</b:SourceType>
    <b:Guid>{C659BCAC-EBF3-4FF2-A127-8AFE48196D21}</b:Guid>
    <b:Author>
      <b:Author>
        <b:Corporate>European Commission</b:Corporate>
      </b:Author>
    </b:Author>
    <b:Title>Strategic dependencies and capacities (Working Document No. 352)</b:Title>
    <b:Year>2021</b:Year>
    <b:Publisher>European Commission</b:Publisher>
    <b:City>Brussels</b:City>
    <b:URL>https://eur-lex.europa.eu/legal-content/en/TXT/?uri=CELEX:52021SC0352</b:URL>
    <b:RefOrder>9</b:RefOrder>
  </b:Source>
  <b:Source>
    <b:Tag>Jia201</b:Tag>
    <b:SourceType>Report</b:SourceType>
    <b:Guid>{476FC474-560D-4643-B191-EF97DF31D13C}</b:Guid>
    <b:Author>
      <b:Author>
        <b:NameList>
          <b:Person>
            <b:Last>Jiang</b:Last>
            <b:First>K</b:First>
          </b:Person>
        </b:NameList>
      </b:Author>
    </b:Author>
    <b:Title>Products with limited international supply for Canada</b:Title>
    <b:Year>2020</b:Year>
    <b:Publisher>Global Affairs Canada, Office of the Chief Economist</b:Publisher>
    <b:URL>https://www.international.gc.ca/trade-commerce/assets/pdfs/economist-economiste/analysis-analyse/products_limited_international_supply-Canada-produits_nombre_limite_internationaux-eng.pdf</b:URL>
    <b:RefOrder>10</b:RefOrder>
  </b:Source>
  <b:Source>
    <b:Tag>Jia20</b:Tag>
    <b:SourceType>JournalArticle</b:SourceType>
    <b:Guid>{A013A075-0272-4A33-B021-F0270ECA434B}</b:Guid>
    <b:Author>
      <b:Author>
        <b:NameList>
          <b:Person>
            <b:Last>Jiang</b:Last>
            <b:First>Y</b:First>
          </b:Person>
          <b:Person>
            <b:Last>Khan</b:Last>
            <b:First>M</b:First>
          </b:Person>
          <b:Person>
            <b:Last>Zaman</b:Last>
            <b:First>S</b:First>
          </b:Person>
          <b:Person>
            <b:Last>Iqbal</b:Last>
            <b:First>A</b:First>
          </b:Person>
        </b:NameList>
      </b:Author>
    </b:Author>
    <b:Title>Financial development and trade in services: Perspective from emerging markets of Asia, South and Central America and Africa</b:Title>
    <b:JournalName>International Journal of Finance &amp; Economics</b:JournalName>
    <b:Year>2021</b:Year>
    <b:DOI>10.1002/ijfe.1963</b:DOI>
    <b:Pages>3306-3320</b:Pages>
    <b:Volume>26</b:Volume>
    <b:Issue>3</b:Issue>
    <b:RefOrder>11</b:RefOrder>
  </b:Source>
  <b:Source>
    <b:Tag>Boi201</b:Tag>
    <b:SourceType>Report</b:SourceType>
    <b:Guid>{731A0793-28F2-4355-9DED-7E295D4F731C}</b:Guid>
    <b:Author>
      <b:Author>
        <b:NameList>
          <b:Person>
            <b:Last>Boileau</b:Last>
            <b:First>D</b:First>
          </b:Person>
          <b:Person>
            <b:Last>Sydor</b:Last>
            <b:First>A</b:First>
          </b:Person>
        </b:NameList>
      </b:Author>
    </b:Author>
    <b:Title>Vulnerability of Canadian industries to disruptions in global supply chains</b:Title>
    <b:Year>2020</b:Year>
    <b:Publisher>Government of Canada</b:Publisher>
    <b:URL>https://www.international.gc.ca/trade-commerce/economist-economiste/analysis-analyse/supply-chain-vulnerability.aspx?lang=eng</b:URL>
    <b:RefOrder>12</b:RefOrder>
  </b:Source>
  <b:Source>
    <b:Tag>Bon201</b:Tag>
    <b:SourceType>Report</b:SourceType>
    <b:Guid>{9D8CDA65-6E27-43C1-B4F8-A4DAEB5EEB5A}</b:Guid>
    <b:Author>
      <b:Author>
        <b:NameList>
          <b:Person>
            <b:Last>Bonneau</b:Last>
            <b:First>Christophe</b:First>
          </b:Person>
          <b:Person>
            <b:Last>Nakaa</b:Last>
            <b:First>Mounira</b:First>
          </b:Person>
        </b:NameList>
      </b:Author>
    </b:Author>
    <b:Title>Vulnerability of French and European imports (No. 274)</b:Title>
    <b:Year>2020</b:Year>
    <b:Publisher>Tresor-Economics</b:Publisher>
    <b:URL>https://www.tresor.economie.gouv.fr/Articles/9ca1aa95-fd2a-4dec-9e76-b65a68c3fe29/files/e7566b5e-a5ae-4304-be42-917dd26651ff</b:URL>
    <b:RefOrder>13</b:RefOrder>
  </b:Source>
  <b:Source>
    <b:Tag>Bal22</b:Tag>
    <b:SourceType>Report</b:SourceType>
    <b:Guid>{93E4A742-DAFE-4E28-91BC-13A0D571F222}</b:Guid>
    <b:Author>
      <b:Author>
        <b:NameList>
          <b:Person>
            <b:Last>Baldwin</b:Last>
            <b:First>R</b:First>
          </b:Person>
          <b:Person>
            <b:Last>Freeman</b:Last>
            <b:First>R</b:First>
          </b:Person>
          <b:Person>
            <b:Last>Theodorakopoulos</b:Last>
            <b:First>A</b:First>
          </b:Person>
        </b:NameList>
      </b:Author>
    </b:Author>
    <b:Title>Horses for Courses: Measuring Foreign Supply Chain Exposure (Working Paper No. 30525)</b:Title>
    <b:Year>2022</b:Year>
    <b:Publisher>National Bureau of Economic Research</b:Publisher>
    <b:City>Cambridge</b:City>
    <b:RefOrder>14</b:RefOrder>
  </b:Source>
  <b:Source>
    <b:Tag>Seo22</b:Tag>
    <b:SourceType>Report</b:SourceType>
    <b:Guid>{45A7E64B-D127-417B-899F-95D77E7CB4B1}</b:Guid>
    <b:Title>Global flows: The ties that bind in an interconnected world (Discussion paper)</b:Title>
    <b:Year>2022</b:Year>
    <b:URL>https://www.mckinsey.com/capabilities/strategy-and-corporate-finance/our-insights/global-flows-the-ties-that-bind-in-an-interconnected-world</b:URL>
    <b:Author>
      <b:Author>
        <b:NameList>
          <b:Person>
            <b:Last>Seong</b:Last>
            <b:First>J</b:First>
          </b:Person>
          <b:Person>
            <b:Last>White</b:Last>
            <b:First>O</b:First>
          </b:Person>
          <b:Person>
            <b:Last>Woetzel</b:Last>
            <b:First>J</b:First>
          </b:Person>
          <b:Person>
            <b:Last>Smit</b:Last>
            <b:First>S</b:First>
          </b:Person>
          <b:Person>
            <b:Last>Devesa</b:Last>
            <b:First>T</b:First>
          </b:Person>
          <b:Person>
            <b:Last>Birshan</b:Last>
            <b:First>M</b:First>
          </b:Person>
          <b:Person>
            <b:Last>Samandari</b:Last>
            <b:First>H</b:First>
          </b:Person>
        </b:NameList>
      </b:Author>
    </b:Author>
    <b:Publisher>McKinsey Global Institute</b:Publisher>
    <b:RefOrder>15</b:RefOrder>
  </b:Source>
  <b:Source>
    <b:Tag>Mon22</b:Tag>
    <b:SourceType>Report</b:SourceType>
    <b:Guid>{E91E370A-AE94-47F9-AEE4-D3A06C644728}</b:Guid>
    <b:Author>
      <b:Author>
        <b:NameList>
          <b:Person>
            <b:Last>Montfaucon</b:Last>
            <b:First>A.F</b:First>
          </b:Person>
          <b:Person>
            <b:Last>Nigatu</b:Last>
            <b:First>N.S</b:First>
          </b:Person>
          <b:Person>
            <b:Last>Majune</b:Last>
            <b:First>S</b:First>
          </b:Person>
        </b:NameList>
      </b:Author>
    </b:Author>
    <b:Title>A Macro and Micro Analysis of Value Chain Trade in Africa</b:Title>
    <b:Year>2022</b:Year>
    <b:Publisher>African Economic Research Consortium</b:Publisher>
    <b:City>Nairobi</b:City>
    <b:ThesisType>Working Paper GVC</b:ThesisType>
    <b:StandardNumber>011</b:StandardNumber>
    <b:URL>chrome-extension://efaidnbmnnnibpcajpcglclefindmkaj/https://publication.aercafricalibrary.org/server/api/core/bitstreams/f058874d-11bb-44cf-b79a-0ae0d2f4a6c3/content</b:URL>
    <b:RefOrder>16</b:RefOrder>
  </b:Source>
  <b:Source>
    <b:Tag>Bal221</b:Tag>
    <b:SourceType>JournalArticle</b:SourceType>
    <b:Guid>{7BAC7087-39E9-47FC-8924-83A2A985578E}</b:Guid>
    <b:Title>Risks and global supply chains: What we know and what we need to know</b:Title>
    <b:Year>2022</b:Year>
    <b:JournalName>Annual Review of Economics</b:JournalName>
    <b:Pages>153-180</b:Pages>
    <b:Author>
      <b:Author>
        <b:NameList>
          <b:Person>
            <b:Last>Baldwin</b:Last>
            <b:First>Richard</b:First>
          </b:Person>
          <b:Person>
            <b:Last>Freeman</b:Last>
            <b:First>Rebecca</b:First>
          </b:Person>
        </b:NameList>
      </b:Author>
    </b:Author>
    <b:Volume>14</b:Volume>
    <b:DOI>10.1146/annurev-economics-051420-113737</b:DOI>
    <b:RefOrder>17</b:RefOrder>
  </b:Source>
  <b:Source>
    <b:Tag>Sch23</b:Tag>
    <b:SourceType>Report</b:SourceType>
    <b:Guid>{CA95CF1E-8729-4389-AEC9-23F4930CDBE7}</b:Guid>
    <b:Title>Global value chain dependencies under the magnifying glass</b:Title>
    <b:Year>2023</b:Year>
    <b:Publisher>OECD Publishing</b:Publisher>
    <b:Author>
      <b:Author>
        <b:NameList>
          <b:Person>
            <b:Last>Schwellnus</b:Last>
            <b:First>Cyrille</b:First>
          </b:Person>
          <b:Person>
            <b:Last>Haramboure</b:Last>
            <b:First>Antton</b:First>
          </b:Person>
          <b:Person>
            <b:Last>Samek</b:Last>
            <b:First>Lea</b:First>
          </b:Person>
          <b:Person>
            <b:Last>Pechansky</b:Last>
            <b:Middle>Chiapin</b:Middle>
            <b:First>Ricardo</b:First>
          </b:Person>
          <b:Person>
            <b:Last>Cadestin</b:Last>
            <b:First>Charles</b:First>
          </b:Person>
        </b:NameList>
      </b:Author>
    </b:Author>
    <b:ThesisType>Policy Paper</b:ThesisType>
    <b:StandardNumber>142</b:StandardNumber>
    <b:DOI>10.1787/23074957</b:DOI>
    <b:City>Paris</b:City>
    <b:RefOrder>18</b:RefOrder>
  </b:Source>
  <b:Source>
    <b:Tag>USD10</b:Tag>
    <b:SourceType>Report</b:SourceType>
    <b:Guid>{455AC4F0-033F-48F4-9568-A83AA8EEBAF0}</b:Guid>
    <b:Title>Horizontal Merger Guidelines</b:Title>
    <b:Year>2010</b:Year>
    <b:Publisher>The U.S Department of Justice</b:Publisher>
    <b:Author>
      <b:Author>
        <b:Corporate>U.S Department of Justice and the Federal Trade Commission</b:Corporate>
      </b:Author>
    </b:Author>
    <b:InternetSiteTitle>Horizontal Merger Guidelines (08/19/2010)</b:InternetSiteTitle>
    <b:URL>https://www.justice.gov/sites/default/files/atr/legacy/2010/08/19/hmg-2010.pdf</b:URL>
    <b:RefOrder>19</b:RefOrder>
  </b:Source>
  <b:Source>
    <b:Tag>Fon19</b:Tag>
    <b:SourceType>JournalArticle</b:SourceType>
    <b:Guid>{0794770B-4804-488C-8B62-5E913B9DA256}</b:Guid>
    <b:Title>Tariff-based product-level trade elasticities</b:Title>
    <b:Year>2022a</b:Year>
    <b:Author>
      <b:Author>
        <b:NameList>
          <b:Person>
            <b:Last>Fontagné</b:Last>
            <b:First>L</b:First>
          </b:Person>
          <b:Person>
            <b:Last>Guimbard</b:Last>
            <b:First>H</b:First>
          </b:Person>
          <b:Person>
            <b:Last>Orefice</b:Last>
            <b:First>G</b:First>
          </b:Person>
        </b:NameList>
      </b:Author>
    </b:Author>
    <b:JournalName>Journal of International Economics</b:JournalName>
    <b:Pages>103593</b:Pages>
    <b:Volume>137</b:Volume>
    <b:DOI>10.1016/j.jinteco.2022.103593</b:DOI>
    <b:RefOrder>20</b:RefOrder>
  </b:Source>
  <b:Source>
    <b:Tag>Fon2b</b:Tag>
    <b:SourceType>JournalArticle</b:SourceType>
    <b:Guid>{A681D5B7-269B-4B97-9999-2AFB95BC8F08}</b:Guid>
    <b:Author>
      <b:Author>
        <b:NameList>
          <b:Person>
            <b:Last>Fontagné</b:Last>
            <b:First>L</b:First>
          </b:Person>
          <b:Person>
            <b:Last>Guimbard</b:Last>
            <b:First>H</b:First>
          </b:Person>
          <b:Person>
            <b:Last>Orefice</b:Last>
            <b:First>G</b:First>
          </b:Person>
        </b:NameList>
      </b:Author>
    </b:Author>
    <b:Title>A new dataset on product-level trade elasticities</b:Title>
    <b:JournalName>Data in Brief</b:JournalName>
    <b:Year>2022b</b:Year>
    <b:Pages>108668</b:Pages>
    <b:DOI>10.1016/j.dib.2022.108668</b:DOI>
    <b:RefOrder>21</b:RefOrder>
  </b:Source>
  <b:Source>
    <b:Tag>Def22</b:Tag>
    <b:SourceType>JournalArticle</b:SourceType>
    <b:Guid>{73E319EA-6754-4DF1-8FC5-C2D3E6B0665D}</b:Guid>
    <b:Author>
      <b:Author>
        <b:NameList>
          <b:Person>
            <b:Last>Defever</b:Last>
            <b:First>F</b:First>
          </b:Person>
          <b:Person>
            <b:Last>Riaño</b:Last>
            <b:First>A</b:First>
          </b:Person>
        </b:NameList>
      </b:Author>
    </b:Author>
    <b:Title>Firm-destination heterogeneity and the distribution of export intensity</b:Title>
    <b:JournalName>Economics Letters</b:JournalName>
    <b:Year>2022</b:Year>
    <b:Pages>110810</b:Pages>
    <b:Volume>219</b:Volume>
    <b:DOI>10.1016/j.econlet.2022.110810</b:DOI>
    <b:RefOrder>22</b:RefOrder>
  </b:Source>
  <b:Source>
    <b:Tag>Pro18</b:Tag>
    <b:SourceType>JournalArticle</b:SourceType>
    <b:Guid>{D5006C7A-B050-49ED-AB09-6077E946DB61}</b:Guid>
    <b:Title>Do announcements of WTO dispute resolution cases matter? Evidence from the rare earth elements market</b:Title>
    <b:Year>2018</b:Year>
    <b:Author>
      <b:Author>
        <b:NameList>
          <b:Person>
            <b:Last>Proelss</b:Last>
            <b:First>J</b:First>
          </b:Person>
          <b:Person>
            <b:Last>Schweizer</b:Last>
            <b:First>D</b:First>
          </b:Person>
          <b:Person>
            <b:Last>Seiler</b:Last>
            <b:First>V</b:First>
          </b:Person>
        </b:NameList>
      </b:Author>
    </b:Author>
    <b:JournalName>Energy Economics</b:JournalName>
    <b:Pages>1-70</b:Pages>
    <b:DOI>10.1016/j.eneco.2018.05.004</b:DOI>
    <b:RefOrder>23</b:RefOrder>
  </b:Source>
  <b:Source>
    <b:Tag>Uni16</b:Tag>
    <b:SourceType>Report</b:SourceType>
    <b:Guid>{1199A114-A1C2-457A-A177-AE39C5AAD069}</b:Guid>
    <b:Title>Classification by Broad Economic Categories Rev.5</b:Title>
    <b:Year>2016</b:Year>
    <b:Author>
      <b:Author>
        <b:Corporate>United Nations</b:Corporate>
      </b:Author>
    </b:Author>
    <b:Publisher>Department of Economic and Social Affairs, Statistics Division</b:Publisher>
    <b:City>New York</b:City>
    <b:URL>https://unstats.un.org/unsd/trade/classifications/Manual%20of%20the%20Fifth%20Revision%20of%20the%20BEC%20(Unedited).pdf</b:URL>
    <b:RefOrder>3</b:RefOrder>
  </b:Source>
  <b:Source>
    <b:Tag>Bes06</b:Tag>
    <b:SourceType>JournalArticle</b:SourceType>
    <b:Guid>{E7D72C6F-1685-4192-A38F-D4B4BEB11BFD}</b:Guid>
    <b:Author>
      <b:Author>
        <b:NameList>
          <b:Person>
            <b:Last>Besedeš</b:Last>
            <b:First>T</b:First>
          </b:Person>
          <b:Person>
            <b:Last>Prusa</b:Last>
            <b:First>T.J</b:First>
          </b:Person>
        </b:NameList>
      </b:Author>
    </b:Author>
    <b:Title>Ins, Outs, and the Duration of Trade</b:Title>
    <b:Year>2006a</b:Year>
    <b:JournalName>The Canadian Journal of Economics</b:JournalName>
    <b:Pages>266-295</b:Pages>
    <b:Volume>39</b:Volume>
    <b:Issue>1</b:Issue>
    <b:DOI>10.1111/j.0008-4085.2006.00347.x</b:DOI>
    <b:RefOrder>24</b:RefOrder>
  </b:Source>
  <b:Source>
    <b:Tag>Bes6b</b:Tag>
    <b:SourceType>JournalArticle</b:SourceType>
    <b:Guid>{C6BC5C0B-1EAA-4E16-B322-2B97E1B7CC6B}</b:Guid>
    <b:Author>
      <b:Author>
        <b:NameList>
          <b:Person>
            <b:Last>Besedeš</b:Last>
            <b:First>Tibor</b:First>
          </b:Person>
          <b:Person>
            <b:Last>Prusa</b:Last>
            <b:First>Thomas</b:First>
            <b:Middle>J.</b:Middle>
          </b:Person>
        </b:NameList>
      </b:Author>
    </b:Author>
    <b:Title>Product differentiation and duration of US import trade</b:Title>
    <b:JournalName>Journal of International Economics</b:JournalName>
    <b:Year>2006b</b:Year>
    <b:Pages>339-358</b:Pages>
    <b:Volume>70</b:Volume>
    <b:DOI>10.1016/j.jinteco.2005.12.005</b:DOI>
    <b:Issue>2</b:Issue>
    <b:RefOrder>25</b:RefOrder>
  </b:Source>
  <b:Source>
    <b:Tag>Sab06</b:Tag>
    <b:SourceType>JournalArticle</b:SourceType>
    <b:Guid>{19FD4A01-3271-46A5-B41C-4A92F091C94A}</b:Guid>
    <b:Author>
      <b:Author>
        <b:NameList>
          <b:Person>
            <b:Last>Sabuhoro</b:Last>
            <b:First>Jean</b:First>
            <b:Middle>Bosco</b:Middle>
          </b:Person>
          <b:Person>
            <b:Last>Larue</b:Last>
            <b:First>Bruno</b:First>
          </b:Person>
          <b:Person>
            <b:Last>Gervais</b:Last>
            <b:First>Yvan</b:First>
          </b:Person>
        </b:NameList>
      </b:Author>
    </b:Author>
    <b:Title>Factors Determining the Success or Failure of Canadian Establishments on Foreign Markets: A Survival Analysis Approach</b:Title>
    <b:JournalName>The International Trade Journal</b:JournalName>
    <b:Year>2006</b:Year>
    <b:Pages>33-73</b:Pages>
    <b:Volume>20</b:Volume>
    <b:Issue>1</b:Issue>
    <b:DOI>10.1080/08853900500467974</b:DOI>
    <b:RefOrder>26</b:RefOrder>
  </b:Source>
  <b:Source>
    <b:Tag>Tür22</b:Tag>
    <b:SourceType>JournalArticle</b:SourceType>
    <b:Guid>{8E739BF3-EBC8-4A73-B150-291004910A7F}</b:Guid>
    <b:Author>
      <b:Author>
        <b:NameList>
          <b:Person>
            <b:Last>Türkcan</b:Last>
            <b:First>K</b:First>
          </b:Person>
          <b:Person>
            <b:Last>Majune</b:Last>
            <b:First>Socrates</b:First>
          </b:Person>
          <b:Person>
            <b:Last>Moyi</b:Last>
            <b:First>E</b:First>
          </b:Person>
        </b:NameList>
      </b:Author>
    </b:Author>
    <b:Title>Export margins and survival: A firm‐level analysis using Kenyan data</b:Title>
    <b:JournalName>South African Journal of Economics</b:JournalName>
    <b:Year>2022</b:Year>
    <b:DOI>10.1111/saje.12314</b:DOI>
    <b:Pages>149-174</b:Pages>
    <b:Volume>90</b:Volume>
    <b:Issue>2</b:Issue>
    <b:RefOrder>27</b:RefOrder>
  </b:Source>
  <b:Source>
    <b:Tag>Bes11</b:Tag>
    <b:SourceType>JournalArticle</b:SourceType>
    <b:Guid>{9503DB24-2880-4ED9-A74B-DAFE80D6E3EE}</b:Guid>
    <b:Author>
      <b:Author>
        <b:NameList>
          <b:Person>
            <b:Last>Besedeš</b:Last>
            <b:First>Tibor</b:First>
          </b:Person>
          <b:Person>
            <b:Last>Prusa</b:Last>
            <b:First>Thomas</b:First>
            <b:Middle>J</b:Middle>
          </b:Person>
        </b:NameList>
      </b:Author>
    </b:Author>
    <b:Title>The role of extensive and intensive margins and export growth</b:Title>
    <b:JournalName>Journal of Development Economics</b:JournalName>
    <b:Year>2011</b:Year>
    <b:Pages>371-379</b:Pages>
    <b:Volume>96</b:Volume>
    <b:Issue>2</b:Issue>
    <b:DOI>10.1016/j.jdeveco.2010.08.013</b:DOI>
    <b:RefOrder>28</b:RefOrder>
  </b:Source>
  <b:Source>
    <b:Tag>Kap58</b:Tag>
    <b:SourceType>JournalArticle</b:SourceType>
    <b:Guid>{CC4CD5C9-06A0-4D0F-93B3-167D6B774743}</b:Guid>
    <b:Author>
      <b:Author>
        <b:NameList>
          <b:Person>
            <b:Last>Kaplan</b:Last>
            <b:First>E</b:First>
          </b:Person>
          <b:Person>
            <b:Last>Meier</b:Last>
            <b:First>P</b:First>
          </b:Person>
        </b:NameList>
      </b:Author>
    </b:Author>
    <b:Title>Nonparametric estimation from incomplete observations</b:Title>
    <b:JournalName>Journal of the American Statistical Association</b:JournalName>
    <b:Year>1958</b:Year>
    <b:Pages>457-481</b:Pages>
    <b:Volume>53</b:Volume>
    <b:Issue>282</b:Issue>
    <b:DOI>10.1080/01621459.1958.10501452</b:DOI>
    <b:RefOrder>29</b:RefOrder>
  </b:Source>
  <b:Source>
    <b:Tag>Tim15</b:Tag>
    <b:SourceType>JournalArticle</b:SourceType>
    <b:Guid>{7DBA8B4B-96B3-4D29-9634-EAEF78EEF418}</b:Guid>
    <b:Author>
      <b:Author>
        <b:NameList>
          <b:Person>
            <b:Last>Timmer</b:Last>
            <b:First>M</b:First>
          </b:Person>
          <b:Person>
            <b:Last>Dietzenbacher</b:Last>
            <b:First>E</b:First>
          </b:Person>
          <b:Person>
            <b:Last>Los</b:Last>
            <b:First>B</b:First>
          </b:Person>
          <b:Person>
            <b:Last>Stehrer</b:Last>
            <b:First>R</b:First>
          </b:Person>
          <b:Person>
            <b:Last>De Vries</b:Last>
            <b:First>G</b:First>
          </b:Person>
        </b:NameList>
      </b:Author>
    </b:Author>
    <b:Title>An illustrated user guide to the world input–output database: the case of global automotive production</b:Title>
    <b:JournalName>Review of International Economics</b:JournalName>
    <b:Year>2015</b:Year>
    <b:Pages>575-605</b:Pages>
    <b:Volume>23</b:Volume>
    <b:Issue>3</b:Issue>
    <b:DOI>10.1111/roie.12178</b:DOI>
    <b:RefOrder>30</b:RefOrder>
  </b:Source>
  <b:Source>
    <b:Tag>Int22</b:Tag>
    <b:SourceType>InternetSite</b:SourceType>
    <b:Guid>{419C77A4-9B31-470D-B01C-3172D746830F}</b:Guid>
    <b:Title>Draft list of critical supply chains</b:Title>
    <b:Year>2022</b:Year>
    <b:Author>
      <b:Author>
        <b:Corporate>International Trade Administration</b:Corporate>
      </b:Author>
    </b:Author>
    <b:InternetSiteTitle>Department of Commerce, United States of America</b:InternetSiteTitle>
    <b:URL>https://www.trade.gov/data-visualization/draft-list-critical-supply-chains</b:URL>
    <b:RefOrder>31</b:RefOrder>
  </b:Source>
  <b:Source>
    <b:Tag>Int221</b:Tag>
    <b:SourceType>Report</b:SourceType>
    <b:Guid>{D78F0045-E16A-4078-BDE9-B4D671DE1784}</b:Guid>
    <b:Title>Special Report on Solar PV Global Supply Chains</b:Title>
    <b:Year>2022</b:Year>
    <b:Author>
      <b:Author>
        <b:Corporate>International Energy Agency</b:Corporate>
      </b:Author>
    </b:Author>
    <b:Publisher>International Energy Agency</b:Publisher>
    <b:City>Paris, France</b:City>
    <b:RefOrder>32</b:RefOrder>
  </b:Source>
  <b:Source>
    <b:Tag>Sig23</b:Tag>
    <b:SourceType>Report</b:SourceType>
    <b:Guid>{F6807C61-FED0-4CD9-9EB2-1613CEB36C66}</b:Guid>
    <b:Title>AfCFTA: A New Era for Global Business and Investment in Africa</b:Title>
    <b:Year>2023</b:Year>
    <b:Publisher>World Economic Forum</b:Publisher>
    <b:City>Geneva</b:City>
    <b:Author>
      <b:Author>
        <b:NameList>
          <b:Person>
            <b:Last>Signé</b:Last>
            <b:First>Landry</b:First>
          </b:Person>
          <b:Person>
            <b:Last>Munyati</b:Last>
            <b:First>Chido</b:First>
          </b:Person>
        </b:NameList>
      </b:Author>
    </b:Author>
    <b:URL>https://policycommons.net/artifacts/3373205/wef_friends_of_the_africa_continental_free_trade_area_2023/4172009/</b:URL>
    <b:RefOrder>1</b:RefOrder>
  </b:Source>
  <b:Source>
    <b:Tag>ITC22</b:Tag>
    <b:SourceType>Book</b:SourceType>
    <b:Guid>{8CA7DCFD-AE6C-4789-8EBB-BD4D5062932F}</b:Guid>
    <b:Author>
      <b:Author>
        <b:NameList>
          <b:Person>
            <b:Last>ITC</b:Last>
          </b:Person>
        </b:NameList>
      </b:Author>
    </b:Author>
    <b:Title>Made by Africa: Creating value through integration</b:Title>
    <b:Year>2022</b:Year>
    <b:City>Geneva</b:City>
    <b:Publisher>International Trade Centre</b:Publisher>
    <b:URL>https://knowledge4policy.ec.europa.eu/publication/made-africa-creating-value-through-integration_en</b:URL>
    <b:RefOrder>2</b:RefOrder>
  </b:Source>
</b:Sources>
</file>

<file path=customXml/itemProps1.xml><?xml version="1.0" encoding="utf-8"?>
<ds:datastoreItem xmlns:ds="http://schemas.openxmlformats.org/officeDocument/2006/customXml" ds:itemID="{F4B4148A-85F8-443A-ACBA-645C7CC5A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1185</Words>
  <Characters>6761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Socrates Majune</dc:creator>
  <cp:lastModifiedBy>Trupti Sudge</cp:lastModifiedBy>
  <cp:revision>2</cp:revision>
  <cp:lastPrinted>2023-08-03T18:02:00Z</cp:lastPrinted>
  <dcterms:created xsi:type="dcterms:W3CDTF">2023-11-29T06:57:00Z</dcterms:created>
  <dcterms:modified xsi:type="dcterms:W3CDTF">2023-11-29T06:57:00Z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light-id">
    <vt:lpwstr>0015b789-7097-41a0-bb0e-2f5473a7fa2b_Journal-Manuscript.docx</vt:lpwstr>
  </property>
</Properties>
</file>