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Times New Roman" w:hAnsi="Times New Roman" w:cs="Times New Roman"/>
          <w:sz w:val="24"/>
          <w:szCs w:val="24"/>
          <w:lang w:val="en-US" w:eastAsia="zh-CN"/>
        </w:rPr>
      </w:pPr>
      <w:r>
        <w:rPr>
          <w:rFonts w:hint="eastAsia" w:ascii="Times New Roman" w:hAnsi="Times New Roman" w:cs="Times New Roman"/>
          <w:b/>
          <w:bCs/>
          <w:color w:val="FF0000"/>
          <w:sz w:val="24"/>
          <w:szCs w:val="24"/>
          <w:lang w:val="en-US" w:eastAsia="zh-CN"/>
        </w:rPr>
        <w:t>1</w:t>
      </w:r>
      <w:r>
        <w:rPr>
          <w:rFonts w:hint="default" w:ascii="Times New Roman" w:hAnsi="Times New Roman" w:cs="Times New Roman"/>
          <w:b/>
          <w:bCs/>
          <w:color w:val="FF0000"/>
          <w:sz w:val="24"/>
          <w:szCs w:val="24"/>
        </w:rPr>
        <w:t xml:space="preserve">. </w:t>
      </w:r>
      <w:r>
        <w:rPr>
          <w:rFonts w:hint="default" w:ascii="Times New Roman" w:hAnsi="Times New Roman" w:cs="Times New Roman"/>
          <w:b/>
          <w:bCs/>
          <w:color w:val="FF0000"/>
          <w:sz w:val="24"/>
          <w:szCs w:val="24"/>
          <w:lang w:val="en-US" w:eastAsia="zh-CN"/>
        </w:rPr>
        <w:t>Single-cell RNA-seq data preprocessing</w:t>
      </w:r>
      <w:r>
        <w:rPr>
          <w:rFonts w:hint="eastAsia" w:ascii="Times New Roman" w:hAnsi="Times New Roman" w:cs="Times New Roman"/>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The Cell Ranger software pipeline (version 5.0.0) provided by 10×Genomics was used to demultiplex cellular barcodes, map reads to the genome and transcriptome using the STAR aligner, and down-sample reads as required to generate normalized aggregate data across samples, producing a matrix of gene counts versus cells. We processed the unique molecular identifier (UMI) count matrix using the R package Seurat</w:t>
      </w:r>
      <w:r>
        <w:rPr>
          <w:rFonts w:hint="default" w:ascii="Times New Roman" w:hAnsi="Times New Roman" w:cs="Times New Roman"/>
          <w:sz w:val="24"/>
          <w:szCs w:val="24"/>
          <w:vertAlign w:val="superscript"/>
        </w:rPr>
        <w:t>[1]</w:t>
      </w:r>
      <w:r>
        <w:rPr>
          <w:rFonts w:hint="default" w:ascii="Times New Roman" w:hAnsi="Times New Roman" w:cs="Times New Roman"/>
          <w:sz w:val="24"/>
          <w:szCs w:val="24"/>
        </w:rPr>
        <w:t xml:space="preserve"> (version 3.1.1). To remove low quality cells and likely multiplet captures, which is a major concern in microdroplet-based experiments, we applied a criteria to filter out cells with gene numbers less than 200, UMI less than 1000 and log10GenesPerUMI less than 0.7. We further discarded low-quality cells where &gt;10% of the counts belonged to mitochondrial genes and &gt;5% of the counts belonged to hemoglobin genes. Additionally, we applied DoubletFinder package</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rPr>
        <w:t xml:space="preserve"> (version 2.0.2) to identify potential doublet. After applying these QC criteria, </w:t>
      </w:r>
      <w:r>
        <w:rPr>
          <w:rFonts w:hint="default" w:ascii="Times New Roman" w:hAnsi="Times New Roman" w:cs="Times New Roman"/>
          <w:sz w:val="24"/>
          <w:szCs w:val="24"/>
          <w:lang w:val="en-US" w:eastAsia="zh-CN"/>
        </w:rPr>
        <w:t>24,789</w:t>
      </w:r>
      <w:r>
        <w:rPr>
          <w:rFonts w:hint="default" w:ascii="Times New Roman" w:hAnsi="Times New Roman" w:cs="Times New Roman"/>
          <w:sz w:val="24"/>
          <w:szCs w:val="24"/>
        </w:rPr>
        <w:t xml:space="preserve"> single cells were included in downstream analyses. Library size normalization was performed with NormalizeData function in Seurat</w:t>
      </w:r>
      <w:r>
        <w:rPr>
          <w:rFonts w:hint="default" w:ascii="Times New Roman" w:hAnsi="Times New Roman" w:cs="Times New Roman"/>
          <w:sz w:val="24"/>
          <w:szCs w:val="24"/>
          <w:vertAlign w:val="superscript"/>
        </w:rPr>
        <w:t>[1]</w:t>
      </w:r>
      <w:r>
        <w:rPr>
          <w:rFonts w:hint="default" w:ascii="Times New Roman" w:hAnsi="Times New Roman" w:cs="Times New Roman"/>
          <w:sz w:val="24"/>
          <w:szCs w:val="24"/>
        </w:rPr>
        <w:t xml:space="preserve"> to obtain the normalized count. Specifically, the global-scaling normalization method “LogNormalize” normalized the gene expression measurements for each cell by the total expression, multiplied by a scaling factor (10,000 by default), and the results were logtransformed. </w:t>
      </w:r>
    </w:p>
    <w:p>
      <w:pPr>
        <w:keepNext w:val="0"/>
        <w:keepLines w:val="0"/>
        <w:pageBreakBefore w:val="0"/>
        <w:widowControl w:val="0"/>
        <w:kinsoku/>
        <w:wordWrap/>
        <w:overflowPunct/>
        <w:topLinePunct w:val="0"/>
        <w:autoSpaceDE/>
        <w:autoSpaceDN/>
        <w:bidi w:val="0"/>
        <w:adjustRightInd/>
        <w:snapToGrid w:val="0"/>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Top variable genes across single cells were identified using the method described in Macosko et al</w:t>
      </w:r>
      <w:r>
        <w:rPr>
          <w:rFonts w:hint="default" w:ascii="Times New Roman" w:hAnsi="Times New Roman" w:cs="Times New Roman"/>
          <w:sz w:val="24"/>
          <w:szCs w:val="24"/>
          <w:vertAlign w:val="superscript"/>
        </w:rPr>
        <w:t>[3]</w:t>
      </w:r>
      <w:r>
        <w:rPr>
          <w:rFonts w:hint="default" w:ascii="Times New Roman" w:hAnsi="Times New Roman" w:cs="Times New Roman"/>
          <w:sz w:val="24"/>
          <w:szCs w:val="24"/>
        </w:rPr>
        <w:t>. The most variable genes were selected using FindVariableGenes function(mean.function = FastExpMean, dispersion.function = FastLogVMR) in Seurat</w:t>
      </w:r>
      <w:r>
        <w:rPr>
          <w:rFonts w:hint="default" w:ascii="Times New Roman" w:hAnsi="Times New Roman" w:cs="Times New Roman"/>
          <w:sz w:val="24"/>
          <w:szCs w:val="24"/>
          <w:vertAlign w:val="superscript"/>
        </w:rPr>
        <w:t>[1]</w:t>
      </w:r>
      <w:r>
        <w:rPr>
          <w:rFonts w:hint="default" w:ascii="Times New Roman" w:hAnsi="Times New Roman" w:cs="Times New Roman"/>
          <w:sz w:val="24"/>
          <w:szCs w:val="24"/>
        </w:rPr>
        <w:t>. To remove the batch effects in single-cell RNA-sequencing data, the mutual nearest neighbors(MNN) presented by Haghverdi et al was performed with the R package batchelor</w:t>
      </w:r>
      <w:r>
        <w:rPr>
          <w:rFonts w:hint="eastAsia" w:ascii="Times New Roman" w:hAnsi="Times New Roman" w:cs="Times New Roman"/>
          <w:sz w:val="24"/>
          <w:szCs w:val="24"/>
          <w:vertAlign w:val="superscript"/>
          <w:lang w:val="en-US" w:eastAsia="zh-CN"/>
        </w:rPr>
        <w:t>[4]</w:t>
      </w:r>
      <w:r>
        <w:rPr>
          <w:rFonts w:hint="default" w:ascii="Times New Roman" w:hAnsi="Times New Roman" w:cs="Times New Roman"/>
          <w:sz w:val="24"/>
          <w:szCs w:val="24"/>
        </w:rPr>
        <w:t>. Graph-based clustering was performed to cluster cells according to their gene expression profile using the FindClusters function in Seurat</w:t>
      </w:r>
      <w:r>
        <w:rPr>
          <w:rFonts w:hint="default" w:ascii="Times New Roman" w:hAnsi="Times New Roman" w:cs="Times New Roman"/>
          <w:sz w:val="24"/>
          <w:szCs w:val="24"/>
          <w:vertAlign w:val="superscript"/>
        </w:rPr>
        <w:t>[1]</w:t>
      </w:r>
      <w:r>
        <w:rPr>
          <w:rFonts w:hint="default" w:ascii="Times New Roman" w:hAnsi="Times New Roman" w:cs="Times New Roman"/>
          <w:sz w:val="24"/>
          <w:szCs w:val="24"/>
        </w:rPr>
        <w:t>. Cells were visualized using a 2-dimensional Uniform Manifold Approximation and Projection (UMAP) algorithm with the RunUMAP function in Seurat</w:t>
      </w:r>
      <w:r>
        <w:rPr>
          <w:rFonts w:hint="default" w:ascii="Times New Roman" w:hAnsi="Times New Roman" w:cs="Times New Roman"/>
          <w:sz w:val="24"/>
          <w:szCs w:val="24"/>
          <w:vertAlign w:val="superscript"/>
        </w:rPr>
        <w:t>[1]</w:t>
      </w:r>
      <w:r>
        <w:rPr>
          <w:rFonts w:hint="default" w:ascii="Times New Roman" w:hAnsi="Times New Roman" w:cs="Times New Roman"/>
          <w:sz w:val="24"/>
          <w:szCs w:val="24"/>
        </w:rPr>
        <w:t>. We used the FindAllMarkers function(test.use = presto) in Seurat</w:t>
      </w:r>
      <w:r>
        <w:rPr>
          <w:rFonts w:hint="default" w:ascii="Times New Roman" w:hAnsi="Times New Roman" w:cs="Times New Roman"/>
          <w:sz w:val="24"/>
          <w:szCs w:val="24"/>
          <w:vertAlign w:val="superscript"/>
        </w:rPr>
        <w:t>[1]</w:t>
      </w:r>
      <w:r>
        <w:rPr>
          <w:rFonts w:hint="default" w:ascii="Times New Roman" w:hAnsi="Times New Roman" w:cs="Times New Roman"/>
          <w:sz w:val="24"/>
          <w:szCs w:val="24"/>
        </w:rPr>
        <w:t xml:space="preserve"> to identify marker genes of each cluster. For a given cluster, FindAllMarkers identified positive markers compared with all other cells. Then, we used the R package SingleR</w:t>
      </w:r>
      <w:r>
        <w:rPr>
          <w:rFonts w:hint="default" w:ascii="Times New Roman" w:hAnsi="Times New Roman" w:cs="Times New Roman"/>
          <w:sz w:val="24"/>
          <w:szCs w:val="24"/>
          <w:vertAlign w:val="superscript"/>
        </w:rPr>
        <w:t>[</w:t>
      </w:r>
      <w:r>
        <w:rPr>
          <w:rFonts w:hint="eastAsia" w:ascii="Times New Roman" w:hAnsi="Times New Roman" w:cs="Times New Roman"/>
          <w:sz w:val="24"/>
          <w:szCs w:val="24"/>
          <w:vertAlign w:val="superscript"/>
          <w:lang w:val="en-US" w:eastAsia="zh-CN"/>
        </w:rPr>
        <w:t>5</w:t>
      </w:r>
      <w:r>
        <w:rPr>
          <w:rFonts w:hint="default" w:ascii="Times New Roman" w:hAnsi="Times New Roman" w:cs="Times New Roman"/>
          <w:sz w:val="24"/>
          <w:szCs w:val="24"/>
          <w:vertAlign w:val="superscript"/>
        </w:rPr>
        <w:t>]</w:t>
      </w:r>
      <w:r>
        <w:rPr>
          <w:rFonts w:hint="default" w:ascii="Times New Roman" w:hAnsi="Times New Roman" w:cs="Times New Roman"/>
          <w:sz w:val="24"/>
          <w:szCs w:val="24"/>
        </w:rPr>
        <w:t>, a novel computational method for unbiased cell type</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 xml:space="preserve">recognition of scRNA-seq, with the reference transcriptomic datasets ‘Human Primary Cell Atlas’ </w:t>
      </w:r>
      <w:r>
        <w:rPr>
          <w:rFonts w:hint="eastAsia" w:ascii="Times New Roman" w:hAnsi="Times New Roman" w:cs="Times New Roman"/>
          <w:sz w:val="24"/>
          <w:szCs w:val="24"/>
          <w:vertAlign w:val="superscript"/>
          <w:lang w:val="en-US" w:eastAsia="zh-CN"/>
        </w:rPr>
        <w:t>[6]</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to infer the cell of origin of each of the single cells independently and identify cell types.</w:t>
      </w:r>
    </w:p>
    <w:p>
      <w:pPr>
        <w:keepNext w:val="0"/>
        <w:keepLines w:val="0"/>
        <w:pageBreakBefore w:val="0"/>
        <w:widowControl w:val="0"/>
        <w:kinsoku/>
        <w:wordWrap/>
        <w:overflowPunct/>
        <w:topLinePunct w:val="0"/>
        <w:autoSpaceDE/>
        <w:autoSpaceDN/>
        <w:bidi w:val="0"/>
        <w:adjustRightInd/>
        <w:snapToGrid w:val="0"/>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Differentially expressed genes(DEGs) were identified using the FindMarkers function(test.use = presto) in Seurat[1]. P value &lt; 0.05 and |log2foldchange| &gt; 0.58 was set as the threshold for significantly differential expression. GO enrichment and KEGG pathway enrichment analysis of DEGs were respectively performed using R based on the hypergeometric distribution.</w:t>
      </w:r>
    </w:p>
    <w:p>
      <w:pPr>
        <w:keepNext w:val="0"/>
        <w:keepLines w:val="0"/>
        <w:pageBreakBefore w:val="0"/>
        <w:widowControl w:val="0"/>
        <w:kinsoku/>
        <w:wordWrap/>
        <w:overflowPunct/>
        <w:topLinePunct w:val="0"/>
        <w:autoSpaceDE/>
        <w:autoSpaceDN/>
        <w:bidi w:val="0"/>
        <w:adjustRightInd/>
        <w:snapToGrid w:val="0"/>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The sequencing and bioinformatics analysis were performed by OE Biotech Co., Ltd. (Shanghai, China).</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eastAsia="Helvetica Neue" w:cs="Times New Roman"/>
          <w:color w:val="000000"/>
          <w:sz w:val="24"/>
          <w:szCs w:val="24"/>
          <w:shd w:val="clear" w:color="auto" w:fill="FFFFFF"/>
        </w:rPr>
      </w:pPr>
      <w:r>
        <w:rPr>
          <w:rFonts w:hint="eastAsia" w:ascii="Times New Roman" w:hAnsi="Times New Roman" w:cs="Times New Roman"/>
          <w:sz w:val="24"/>
          <w:szCs w:val="24"/>
          <w:lang w:val="en-US" w:eastAsia="zh-CN"/>
        </w:rPr>
        <w:t>[1]</w:t>
      </w:r>
      <w:r>
        <w:rPr>
          <w:rFonts w:hint="default" w:ascii="Times New Roman" w:hAnsi="Times New Roman" w:cs="Times New Roman"/>
          <w:sz w:val="24"/>
          <w:szCs w:val="24"/>
        </w:rPr>
        <w:t>Butler A, Hoffman P, Smibert</w:t>
      </w:r>
      <w:r>
        <w:rPr>
          <w:rFonts w:hint="default" w:ascii="Times New Roman" w:hAnsi="Times New Roman" w:eastAsia="Helvetica Neue" w:cs="Times New Roman"/>
          <w:color w:val="000000"/>
          <w:sz w:val="24"/>
          <w:szCs w:val="24"/>
          <w:shd w:val="clear" w:color="auto" w:fill="FFFFFF"/>
        </w:rPr>
        <w:t xml:space="preserve"> P, et al. Integrating single-cell transcriptomic data across different conditions, technologies, and species[J]. Nature biotechnology, 2018, 36(5): 411-420.</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eastAsia="Helvetica Neue" w:cs="Times New Roman"/>
          <w:color w:val="000000"/>
          <w:sz w:val="24"/>
          <w:szCs w:val="24"/>
          <w:shd w:val="clear" w:color="auto" w:fill="FFFFFF"/>
        </w:rPr>
      </w:pPr>
      <w:r>
        <w:rPr>
          <w:rFonts w:hint="eastAsia" w:ascii="Times New Roman" w:hAnsi="Times New Roman" w:eastAsia="宋体" w:cs="Times New Roman"/>
          <w:color w:val="000000"/>
          <w:sz w:val="24"/>
          <w:szCs w:val="24"/>
          <w:shd w:val="clear" w:color="auto" w:fill="FFFFFF"/>
          <w:lang w:val="en-US" w:eastAsia="zh-CN"/>
        </w:rPr>
        <w:t>[2]</w:t>
      </w:r>
      <w:r>
        <w:rPr>
          <w:rFonts w:hint="default" w:ascii="Times New Roman" w:hAnsi="Times New Roman" w:eastAsia="Helvetica Neue" w:cs="Times New Roman"/>
          <w:color w:val="000000"/>
          <w:sz w:val="24"/>
          <w:szCs w:val="24"/>
          <w:shd w:val="clear" w:color="auto" w:fill="FFFFFF"/>
        </w:rPr>
        <w:t>Mcginnis C S , Murrow L M , Gartner Z J . DoubletFinder: Doublet detection in single-cell RNA sequencing data using artificial nearest neighbors. 2018.</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eastAsia="Helvetica Neue" w:cs="Times New Roman"/>
          <w:color w:val="000000"/>
          <w:sz w:val="24"/>
          <w:szCs w:val="24"/>
          <w:shd w:val="clear" w:color="auto" w:fill="FFFFFF"/>
        </w:rPr>
      </w:pPr>
      <w:r>
        <w:rPr>
          <w:rFonts w:hint="eastAsia" w:ascii="Times New Roman" w:hAnsi="Times New Roman" w:eastAsia="宋体" w:cs="Times New Roman"/>
          <w:color w:val="000000"/>
          <w:sz w:val="24"/>
          <w:szCs w:val="24"/>
          <w:shd w:val="clear" w:color="auto" w:fill="FFFFFF"/>
          <w:lang w:val="en-US" w:eastAsia="zh-CN"/>
        </w:rPr>
        <w:t>[3]</w:t>
      </w:r>
      <w:r>
        <w:rPr>
          <w:rFonts w:hint="default" w:ascii="Times New Roman" w:hAnsi="Times New Roman" w:eastAsia="Helvetica Neue" w:cs="Times New Roman"/>
          <w:color w:val="000000"/>
          <w:sz w:val="24"/>
          <w:szCs w:val="24"/>
          <w:shd w:val="clear" w:color="auto" w:fill="FFFFFF"/>
        </w:rPr>
        <w:t>Macosko E Z, Basu A, Satija R, et al. Highly parallel genome-wide expression profiling of individual cells using nanoliter droplets[J]. Cell, 2015, 161(5): 1202-1214.</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eastAsia="Helvetica Neue" w:cs="Times New Roman"/>
          <w:color w:val="000000"/>
          <w:sz w:val="24"/>
          <w:szCs w:val="24"/>
          <w:shd w:val="clear" w:color="auto" w:fill="FFFFFF"/>
        </w:rPr>
      </w:pPr>
      <w:r>
        <w:rPr>
          <w:rFonts w:hint="eastAsia" w:ascii="Times New Roman" w:hAnsi="Times New Roman" w:eastAsia="宋体" w:cs="Times New Roman"/>
          <w:color w:val="000000"/>
          <w:sz w:val="24"/>
          <w:szCs w:val="24"/>
          <w:shd w:val="clear" w:color="auto" w:fill="FFFFFF"/>
          <w:lang w:val="en-US" w:eastAsia="zh-CN"/>
        </w:rPr>
        <w:t>[4]</w:t>
      </w:r>
      <w:r>
        <w:rPr>
          <w:rFonts w:hint="default" w:ascii="Times New Roman" w:hAnsi="Times New Roman" w:eastAsia="Helvetica Neue" w:cs="Times New Roman"/>
          <w:color w:val="000000"/>
          <w:sz w:val="24"/>
          <w:szCs w:val="24"/>
          <w:shd w:val="clear" w:color="auto" w:fill="FFFFFF"/>
        </w:rPr>
        <w:t>Haghverdi L, Lun A T L, Morgan M D, et al. Batch effects in single-cell RNA-sequencing data are corrected by matching mutual nearest neighbors[J]. Nature biotechnology, 2018, 36(5): 421-427.</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eastAsia="Helvetica Neue" w:cs="Times New Roman"/>
          <w:color w:val="000000"/>
          <w:sz w:val="24"/>
          <w:szCs w:val="24"/>
          <w:shd w:val="clear" w:color="auto" w:fill="FFFFFF"/>
        </w:rPr>
      </w:pPr>
      <w:r>
        <w:rPr>
          <w:rFonts w:hint="eastAsia" w:ascii="Times New Roman" w:hAnsi="Times New Roman" w:eastAsia="宋体" w:cs="Times New Roman"/>
          <w:color w:val="000000"/>
          <w:sz w:val="24"/>
          <w:szCs w:val="24"/>
          <w:shd w:val="clear" w:color="auto" w:fill="FFFFFF"/>
          <w:lang w:val="en-US" w:eastAsia="zh-CN"/>
        </w:rPr>
        <w:t>[5]</w:t>
      </w:r>
      <w:r>
        <w:rPr>
          <w:rFonts w:hint="default" w:ascii="Times New Roman" w:hAnsi="Times New Roman" w:eastAsia="Helvetica Neue" w:cs="Times New Roman"/>
          <w:color w:val="000000"/>
          <w:sz w:val="24"/>
          <w:szCs w:val="24"/>
          <w:shd w:val="clear" w:color="auto" w:fill="FFFFFF"/>
        </w:rPr>
        <w:t>Aran D, Looney A P, Liu L, et al. Reference-based analysis of lung single-cell sequencing reveals a transitional profibrotic macrophage[J]. Nature immunology, 2019, 20(2): 163-172.</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color w:val="000000"/>
          <w:sz w:val="24"/>
          <w:szCs w:val="24"/>
          <w:shd w:val="clear" w:color="auto" w:fill="FFFFFF"/>
          <w:lang w:val="en-US" w:eastAsia="zh-CN"/>
        </w:rPr>
      </w:pPr>
      <w:r>
        <w:rPr>
          <w:rFonts w:hint="eastAsia" w:ascii="Times New Roman" w:hAnsi="Times New Roman" w:eastAsia="宋体" w:cs="Times New Roman"/>
          <w:color w:val="000000"/>
          <w:sz w:val="24"/>
          <w:szCs w:val="24"/>
          <w:shd w:val="clear" w:color="auto" w:fill="FFFFFF"/>
          <w:lang w:val="en-US" w:eastAsia="zh-CN"/>
        </w:rPr>
        <w:t xml:space="preserve">[6]Mabbott N A, Baillie J K, Brown H, et al. An expression atlas of human primary cells: inference of gene function from coexpression networks[J]. BMC genomics, 2013, 14(1): 632. </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cs="Times New Roman"/>
          <w:b/>
          <w:bCs/>
          <w:sz w:val="24"/>
          <w:szCs w:val="24"/>
        </w:rPr>
      </w:pPr>
      <w:r>
        <w:rPr>
          <w:rFonts w:hint="default" w:ascii="Times New Roman" w:hAnsi="Times New Roman" w:cs="Times New Roman"/>
          <w:b/>
          <w:bCs/>
          <w:color w:val="FF0000"/>
          <w:sz w:val="24"/>
          <w:szCs w:val="24"/>
        </w:rPr>
        <w:t>2. Pseudotime analysis</w:t>
      </w:r>
    </w:p>
    <w:p>
      <w:pPr>
        <w:keepNext w:val="0"/>
        <w:keepLines w:val="0"/>
        <w:pageBreakBefore w:val="0"/>
        <w:widowControl w:val="0"/>
        <w:kinsoku/>
        <w:wordWrap/>
        <w:overflowPunct/>
        <w:topLinePunct w:val="0"/>
        <w:autoSpaceDE/>
        <w:autoSpaceDN/>
        <w:bidi w:val="0"/>
        <w:adjustRightInd/>
        <w:snapToGrid w:val="0"/>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We determined the developmental pseudotime with the Monocle2 package</w:t>
      </w:r>
      <w:r>
        <w:rPr>
          <w:rFonts w:hint="default" w:ascii="Times New Roman" w:hAnsi="Times New Roman" w:cs="Times New Roman"/>
          <w:sz w:val="24"/>
          <w:szCs w:val="24"/>
          <w:vertAlign w:val="superscript"/>
        </w:rPr>
        <w:t>[1]</w:t>
      </w:r>
      <w:r>
        <w:rPr>
          <w:rFonts w:hint="default" w:ascii="Times New Roman" w:hAnsi="Times New Roman" w:cs="Times New Roman"/>
          <w:sz w:val="24"/>
          <w:szCs w:val="24"/>
        </w:rPr>
        <w:t xml:space="preserve">. The raw count was first converted from Seurat object into CellDataSet object with the importCDS function in Monocle. We used the differentialGeneTest function of the Monocle2 package to select ordering genes (qval &lt; 0.01) which were likely to be informative in the ordering of cells along the pseudotime trajectory. The dimensional reduction clustering analysis was performed with the reduceDimension function, followed by trajectory inference with the orderCells function using default parameters. Gene expression was plotted with the plot_genes_in_pseudotime function to track changes over pseudo-time. </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 Trapnell C, Cacchiarelli D, Grimsby J, et al. The dynamics and regulators of cell fate decisions are revealed by pseudotemporal ordering of single cells[J]. Nature biotechnology, 2014, 32(4): 381.</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cs="Times New Roman"/>
          <w:b/>
          <w:bCs/>
          <w:color w:val="FF0000"/>
          <w:sz w:val="24"/>
          <w:szCs w:val="24"/>
        </w:rPr>
      </w:pPr>
      <w:bookmarkStart w:id="0" w:name="_Hlk20653634"/>
      <w:r>
        <w:rPr>
          <w:rFonts w:hint="eastAsia" w:ascii="Times New Roman" w:hAnsi="Times New Roman" w:cs="Times New Roman"/>
          <w:b/>
          <w:bCs/>
          <w:color w:val="FF0000"/>
          <w:sz w:val="24"/>
          <w:szCs w:val="24"/>
          <w:lang w:val="en-US" w:eastAsia="zh-CN"/>
        </w:rPr>
        <w:t>3</w:t>
      </w:r>
      <w:r>
        <w:rPr>
          <w:rFonts w:hint="default" w:ascii="Times New Roman" w:hAnsi="Times New Roman" w:cs="Times New Roman"/>
          <w:b/>
          <w:bCs/>
          <w:color w:val="FF0000"/>
          <w:sz w:val="24"/>
          <w:szCs w:val="24"/>
        </w:rPr>
        <w:t>. SCENIC analysis</w:t>
      </w:r>
    </w:p>
    <w:bookmarkEnd w:id="0"/>
    <w:p>
      <w:pPr>
        <w:keepNext w:val="0"/>
        <w:keepLines w:val="0"/>
        <w:pageBreakBefore w:val="0"/>
        <w:widowControl w:val="0"/>
        <w:kinsoku/>
        <w:wordWrap/>
        <w:overflowPunct/>
        <w:topLinePunct w:val="0"/>
        <w:autoSpaceDE/>
        <w:autoSpaceDN/>
        <w:bidi w:val="0"/>
        <w:adjustRightInd/>
        <w:snapToGrid w:val="0"/>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The SCENIC analysis was run using the motifs database for RcisTarget and GRNboost (SCENIC</w:t>
      </w:r>
      <w:r>
        <w:rPr>
          <w:rFonts w:hint="default" w:ascii="Times New Roman" w:hAnsi="Times New Roman" w:cs="Times New Roman"/>
          <w:sz w:val="24"/>
          <w:szCs w:val="24"/>
          <w:vertAlign w:val="superscript"/>
        </w:rPr>
        <w:t>[1]</w:t>
      </w:r>
      <w:r>
        <w:rPr>
          <w:rFonts w:hint="default" w:ascii="Times New Roman" w:hAnsi="Times New Roman" w:cs="Times New Roman"/>
          <w:sz w:val="24"/>
          <w:szCs w:val="24"/>
        </w:rPr>
        <w:t xml:space="preserve">  version 1.1.2.2, which corresponds to RcisTarget 1.2.1 and AUCell 1.4.1) with the default parameters. In detail, we identified transcription factor (TF) binding motifs over-represented on a gene list with RcisTarget package. The activity of each group of regulons in each cell was scored by AUCell package.</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To evaluate the cell type specificity of each predicted regulon, we calculated the regulon specificity score (RSS) which was based on the Jensen-Shannon divergence (JSD), a measure of the similarity between two probability distributions. Specifically, we calculated the JSD (Jensen-Shannon divergence) between each vector of binary regulon activity overlaps with the assignment of cells to a specific cell type</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rPr>
        <w:t>. The connection specificity index (CSI) for all regulons was calculated with the scFunctions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"https://github.com/FloWuenne/scFunctions/"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https://github.com/FloWuenne/scFunctions/</w:t>
      </w:r>
      <w:r>
        <w:rPr>
          <w:rFonts w:hint="default" w:ascii="Times New Roman" w:hAnsi="Times New Roman" w:cs="Times New Roman"/>
          <w:sz w:val="24"/>
          <w:szCs w:val="24"/>
        </w:rPr>
        <w:fldChar w:fldCharType="end"/>
      </w:r>
      <w:r>
        <w:rPr>
          <w:rFonts w:hint="default" w:ascii="Times New Roman" w:hAnsi="Times New Roman" w:cs="Times New Roman"/>
          <w:sz w:val="24"/>
          <w:szCs w:val="24"/>
        </w:rPr>
        <w:t>) package.</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 Aibar S, González-Blas C B, Moerman T, et al. SCENIC: single-cell regulatory network inference and clustering[J]. Nature methods, 2017, 14(11): 1083-1086.</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[2] Suo S , Zhu Q , Saadatpour A , et al. Revealing the Critical Regulators of Cell Identity in the Mouse Cell Atlas[J]. Cell Reports, 2018, 25(6):1436-1445.e3.</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cs="Times New Roman"/>
          <w:b/>
          <w:bCs/>
          <w:color w:val="FF0000"/>
          <w:sz w:val="24"/>
          <w:szCs w:val="24"/>
        </w:rPr>
      </w:pPr>
      <w:r>
        <w:rPr>
          <w:rFonts w:hint="eastAsia" w:ascii="Times New Roman" w:hAnsi="Times New Roman" w:cs="Times New Roman"/>
          <w:b/>
          <w:bCs/>
          <w:color w:val="FF0000"/>
          <w:sz w:val="24"/>
          <w:szCs w:val="24"/>
          <w:lang w:val="en-US" w:eastAsia="zh-CN"/>
        </w:rPr>
        <w:t>4</w:t>
      </w:r>
      <w:r>
        <w:rPr>
          <w:rFonts w:hint="default" w:ascii="Times New Roman" w:hAnsi="Times New Roman" w:cs="Times New Roman"/>
          <w:b/>
          <w:bCs/>
          <w:color w:val="FF0000"/>
          <w:sz w:val="24"/>
          <w:szCs w:val="24"/>
        </w:rPr>
        <w:t>. Gene set variation analysis (GSVA)</w:t>
      </w:r>
    </w:p>
    <w:p>
      <w:pPr>
        <w:keepNext w:val="0"/>
        <w:keepLines w:val="0"/>
        <w:pageBreakBefore w:val="0"/>
        <w:widowControl w:val="0"/>
        <w:kinsoku/>
        <w:wordWrap/>
        <w:overflowPunct/>
        <w:topLinePunct w:val="0"/>
        <w:autoSpaceDE/>
        <w:autoSpaceDN/>
        <w:bidi w:val="0"/>
        <w:adjustRightInd/>
        <w:snapToGrid w:val="0"/>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To perform the Gene Set Variation Analysis, the GSEABase package (version 1.44.0) was used to load the gene set file which was downloaded and processed from KEGG database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"https://www.kegg.jp/" </w:instrText>
      </w:r>
      <w:r>
        <w:rPr>
          <w:rFonts w:hint="default" w:ascii="Times New Roman" w:hAnsi="Times New Roman" w:cs="Times New Roman"/>
          <w:sz w:val="24"/>
          <w:szCs w:val="24"/>
        </w:rPr>
        <w:fldChar w:fldCharType="separate"/>
      </w:r>
      <w:r>
        <w:rPr>
          <w:rStyle w:val="8"/>
          <w:rFonts w:hint="default" w:ascii="Times New Roman" w:hAnsi="Times New Roman" w:cs="Times New Roman"/>
          <w:sz w:val="24"/>
          <w:szCs w:val="24"/>
        </w:rPr>
        <w:t>https://www.kegg.jp/</w:t>
      </w:r>
      <w:r>
        <w:rPr>
          <w:rStyle w:val="8"/>
          <w:rFonts w:hint="default" w:ascii="Times New Roman" w:hAnsi="Times New Roman" w:cs="Times New Roman"/>
          <w:sz w:val="24"/>
          <w:szCs w:val="24"/>
        </w:rPr>
        <w:fldChar w:fldCharType="end"/>
      </w:r>
      <w:r>
        <w:rPr>
          <w:rFonts w:hint="default" w:ascii="Times New Roman" w:hAnsi="Times New Roman" w:cs="Times New Roman"/>
          <w:sz w:val="24"/>
          <w:szCs w:val="24"/>
        </w:rPr>
        <w:t>). To assign pathway activity estimates to individual cells, we applied GSVA</w:t>
      </w:r>
      <w:r>
        <w:rPr>
          <w:rFonts w:hint="default" w:ascii="Times New Roman" w:hAnsi="Times New Roman" w:cs="Times New Roman"/>
          <w:sz w:val="24"/>
          <w:szCs w:val="24"/>
          <w:vertAlign w:val="superscript"/>
        </w:rPr>
        <w:t xml:space="preserve">[1] </w:t>
      </w:r>
      <w:r>
        <w:rPr>
          <w:rFonts w:hint="default" w:ascii="Times New Roman" w:hAnsi="Times New Roman" w:cs="Times New Roman"/>
          <w:sz w:val="24"/>
          <w:szCs w:val="24"/>
        </w:rPr>
        <w:t>using standard settings, as implemented in the GSVA package (version 1.30.0). The differences in pathway activities scored per cell were calculated with LIMMA package (version 3.38.3).</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[1] Hänzelmann S, Castelo R, Guinney J. GSVA: gene set variation analysis for microarray and RNA-seq data[J]. BMC bioinformatics, 2013, 14(1): 7.</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cs="Times New Roman"/>
          <w:b/>
          <w:bCs/>
          <w:color w:val="FF0000"/>
          <w:sz w:val="24"/>
          <w:szCs w:val="24"/>
        </w:rPr>
      </w:pPr>
      <w:r>
        <w:rPr>
          <w:rFonts w:hint="eastAsia" w:ascii="Times New Roman" w:hAnsi="Times New Roman" w:cs="Times New Roman"/>
          <w:b/>
          <w:bCs/>
          <w:color w:val="FF0000"/>
          <w:sz w:val="24"/>
          <w:szCs w:val="24"/>
          <w:lang w:val="en-US" w:eastAsia="zh-CN"/>
        </w:rPr>
        <w:t>5</w:t>
      </w:r>
      <w:r>
        <w:rPr>
          <w:rFonts w:hint="default" w:ascii="Times New Roman" w:hAnsi="Times New Roman" w:cs="Times New Roman"/>
          <w:b/>
          <w:bCs/>
          <w:color w:val="FF0000"/>
          <w:sz w:val="24"/>
          <w:szCs w:val="24"/>
        </w:rPr>
        <w:t>.</w:t>
      </w:r>
      <w:bookmarkStart w:id="1" w:name="_Hlk39916188"/>
      <w:r>
        <w:rPr>
          <w:rFonts w:hint="default" w:ascii="Times New Roman" w:hAnsi="Times New Roman" w:cs="Times New Roman"/>
          <w:b/>
          <w:bCs/>
          <w:color w:val="FF0000"/>
          <w:sz w:val="24"/>
          <w:szCs w:val="24"/>
        </w:rPr>
        <w:t>CNV analysis</w:t>
      </w:r>
    </w:p>
    <w:p>
      <w:pPr>
        <w:keepNext w:val="0"/>
        <w:keepLines w:val="0"/>
        <w:pageBreakBefore w:val="0"/>
        <w:widowControl w:val="0"/>
        <w:kinsoku/>
        <w:wordWrap/>
        <w:overflowPunct/>
        <w:topLinePunct w:val="0"/>
        <w:autoSpaceDE/>
        <w:autoSpaceDN/>
        <w:bidi w:val="0"/>
        <w:adjustRightInd/>
        <w:snapToGrid w:val="0"/>
        <w:spacing w:line="360" w:lineRule="auto"/>
        <w:ind w:firstLine="240" w:firstLineChars="100"/>
        <w:textAlignment w:val="auto"/>
        <w:rPr>
          <w:rFonts w:hint="default" w:ascii="Times New Roman" w:hAnsi="Times New Roman" w:cs="Times New Roman" w:eastAsiaTheme="minorEastAsia"/>
          <w:sz w:val="24"/>
          <w:szCs w:val="24"/>
          <w:lang w:val="en-US" w:eastAsia="zh-CN"/>
        </w:rPr>
      </w:pPr>
      <w:r>
        <w:rPr>
          <w:rFonts w:hint="default" w:ascii="Times New Roman" w:hAnsi="Times New Roman" w:cs="Times New Roman"/>
          <w:sz w:val="24"/>
          <w:szCs w:val="24"/>
        </w:rPr>
        <w:t>Initial CNVs for each region were estimated by inferCNV</w:t>
      </w:r>
      <w:r>
        <w:rPr>
          <w:rFonts w:hint="default" w:ascii="Times New Roman" w:hAnsi="Times New Roman" w:cs="Times New Roman"/>
          <w:sz w:val="24"/>
          <w:szCs w:val="24"/>
          <w:vertAlign w:val="superscript"/>
        </w:rPr>
        <w:t>[1]</w:t>
      </w:r>
      <w:r>
        <w:rPr>
          <w:rFonts w:hint="default" w:ascii="Times New Roman" w:hAnsi="Times New Roman" w:cs="Times New Roman"/>
          <w:sz w:val="24"/>
          <w:szCs w:val="24"/>
        </w:rPr>
        <w:t xml:space="preserve"> R package. The CNV of total cell types was calculated by expression level from single-cell sequencing data for</w:t>
      </w:r>
      <w:r>
        <w:rPr>
          <w:rFonts w:hint="eastAsia" w:ascii="Times New Roman" w:hAnsi="Times New Roman" w:cs="Times New Roman"/>
          <w:sz w:val="24"/>
          <w:szCs w:val="24"/>
          <w:lang w:val="en-US" w:eastAsia="zh-CN"/>
        </w:rPr>
        <w:t xml:space="preserve"> each cell with -- cutoff 0.01.</w:t>
      </w:r>
    </w:p>
    <w:p>
      <w:pPr>
        <w:keepNext w:val="0"/>
        <w:keepLines w:val="0"/>
        <w:pageBreakBefore w:val="0"/>
        <w:widowControl w:val="0"/>
        <w:kinsoku/>
        <w:wordWrap/>
        <w:overflowPunct/>
        <w:topLinePunct w:val="0"/>
        <w:autoSpaceDE/>
        <w:autoSpaceDN/>
        <w:bidi w:val="0"/>
        <w:adjustRightInd/>
        <w:snapToGrid w:val="0"/>
        <w:spacing w:line="360" w:lineRule="auto"/>
        <w:ind w:firstLine="240" w:firstLineChars="100"/>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Genes were sorted based on their chromosomal location and a moving average of gene expression was calculated using a window size of 101 genes. The expression was then centered to zero by subtracting the mean. The </w:t>
      </w:r>
      <w:r>
        <w:rPr>
          <w:rFonts w:hint="default" w:ascii="Times New Roman" w:hAnsi="Times New Roman" w:cs="Times New Roman"/>
          <w:sz w:val="24"/>
          <w:szCs w:val="24"/>
          <w:lang w:val="en-US" w:eastAsia="zh-CN"/>
        </w:rPr>
        <w:t>melanocytes</w:t>
      </w:r>
      <w:r>
        <w:rPr>
          <w:rFonts w:hint="default" w:ascii="Times New Roman" w:hAnsi="Times New Roman" w:cs="Times New Roman"/>
          <w:sz w:val="24"/>
          <w:szCs w:val="24"/>
        </w:rPr>
        <w:t xml:space="preserve"> were selected as malignant cells, leaving all remaining cells as the normal cells. The de-noising was carried out to generate the final CNV profiles.</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cs="Times New Roman"/>
          <w:sz w:val="24"/>
          <w:szCs w:val="24"/>
        </w:rPr>
      </w:pPr>
    </w:p>
    <w:bookmarkEnd w:id="1"/>
    <w:p>
      <w:pPr>
        <w:keepNext w:val="0"/>
        <w:keepLines w:val="0"/>
        <w:pageBreakBefore w:val="0"/>
        <w:widowControl w:val="0"/>
        <w:numPr>
          <w:ilvl w:val="0"/>
          <w:numId w:val="1"/>
        </w:numPr>
        <w:kinsoku/>
        <w:wordWrap/>
        <w:overflowPunct/>
        <w:topLinePunct w:val="0"/>
        <w:autoSpaceDE/>
        <w:autoSpaceDN/>
        <w:bidi w:val="0"/>
        <w:adjustRightInd/>
        <w:snapToGrid w:val="0"/>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Puram S V, Tirosh I, Parikh A S, et al. Single-cell transcriptomic analysis of primary and metastatic tumor ecosystems in head and neck cancer[J]. Cell, 2017, 171(7): 1611-1624. e24.</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textAlignment w:val="auto"/>
        <w:rPr>
          <w:rFonts w:hint="default" w:ascii="Times New Roman" w:hAnsi="Times New Roman" w:cs="Times New Roman"/>
          <w:sz w:val="24"/>
          <w:szCs w:val="24"/>
        </w:rPr>
      </w:pP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textAlignment w:val="auto"/>
        <w:rPr>
          <w:rFonts w:hint="default" w:ascii="Times New Roman" w:hAnsi="Times New Roman" w:cs="Times New Roman"/>
          <w:sz w:val="24"/>
          <w:szCs w:val="24"/>
        </w:rPr>
      </w:pPr>
    </w:p>
    <w:p>
      <w:pPr>
        <w:keepNext w:val="0"/>
        <w:keepLines w:val="0"/>
        <w:pageBreakBefore w:val="0"/>
        <w:widowControl w:val="0"/>
        <w:numPr>
          <w:ilvl w:val="0"/>
          <w:numId w:val="2"/>
        </w:numPr>
        <w:kinsoku/>
        <w:wordWrap/>
        <w:overflowPunct/>
        <w:topLinePunct w:val="0"/>
        <w:autoSpaceDE/>
        <w:autoSpaceDN/>
        <w:bidi w:val="0"/>
        <w:adjustRightInd/>
        <w:snapToGrid w:val="0"/>
        <w:spacing w:line="360" w:lineRule="auto"/>
        <w:textAlignment w:val="auto"/>
        <w:rPr>
          <w:rFonts w:hint="default" w:ascii="Times New Roman" w:hAnsi="Times New Roman" w:cs="Times New Roman"/>
          <w:b/>
          <w:bCs/>
          <w:color w:val="FF0000"/>
          <w:sz w:val="24"/>
          <w:szCs w:val="24"/>
          <w:lang w:val="en-US" w:eastAsia="zh-CN"/>
        </w:rPr>
      </w:pPr>
      <w:bookmarkStart w:id="2" w:name="_GoBack"/>
      <w:bookmarkEnd w:id="2"/>
      <w:r>
        <w:rPr>
          <w:rFonts w:hint="default" w:ascii="Times New Roman" w:hAnsi="Times New Roman" w:cs="Times New Roman"/>
          <w:b/>
          <w:bCs/>
          <w:color w:val="FF0000"/>
          <w:sz w:val="24"/>
          <w:szCs w:val="24"/>
          <w:lang w:val="en-US" w:eastAsia="zh-CN"/>
        </w:rPr>
        <w:t>CellChat</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240" w:firstLineChars="1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Cell-to-cell ligand-receptor interaction analysis was performed using the CellChat</w:t>
      </w:r>
      <w:r>
        <w:rPr>
          <w:rFonts w:hint="default" w:ascii="Times New Roman" w:hAnsi="Times New Roman" w:cs="Times New Roman"/>
          <w:sz w:val="24"/>
          <w:szCs w:val="24"/>
          <w:vertAlign w:val="superscript"/>
          <w:lang w:val="en-US" w:eastAsia="zh-CN"/>
        </w:rPr>
        <w:t>[1]</w:t>
      </w:r>
      <w:r>
        <w:rPr>
          <w:rFonts w:hint="default" w:ascii="Times New Roman" w:hAnsi="Times New Roman" w:cs="Times New Roman"/>
          <w:sz w:val="24"/>
          <w:szCs w:val="24"/>
          <w:lang w:val="en-US" w:eastAsia="zh-CN"/>
        </w:rPr>
        <w:t xml:space="preserve"> (v 1.1.3) R package. Firstly, the normalized expression matrix was imported and cellchat object was created through createCellChat function; using default parameters through identify</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Over</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Expressed</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Genes, identify</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Over</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Expressed</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Interactions, and project</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Data functions for the preprocessing operations; calculate potential ligand-receptor interactions using the computeCommunProb, filterCommunication (min.cells = 10), and computeCommunProbPathway functions; and finally aggregate intercellular communication networks using the aggregateNet function.</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textAlignment w:val="auto"/>
        <w:rPr>
          <w:rFonts w:hint="default" w:ascii="Times New Roman" w:hAnsi="Times New Roman" w:cs="Times New Roman"/>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rPr>
        <w:t>[1] Jin S, Guerrero-Juarez CF, Zhang L, et al. Inference and analysis of cell-cell communication using CellChat. Nat Commun. 2021;12(1):1088. Published 2021 Feb 17. doi:10.1038/s41467-021-21246-9</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eastAsia="Helvetica Neue" w:cs="Times New Roman"/>
          <w:color w:val="000000"/>
          <w:sz w:val="24"/>
          <w:szCs w:val="24"/>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Helvetica Neue">
    <w:altName w:val="Arial"/>
    <w:panose1 w:val="00000000000000000000"/>
    <w:charset w:val="00"/>
    <w:family w:val="auto"/>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7F4D45"/>
    <w:multiLevelType w:val="singleLevel"/>
    <w:tmpl w:val="957F4D45"/>
    <w:lvl w:ilvl="0" w:tentative="0">
      <w:start w:val="6"/>
      <w:numFmt w:val="decimal"/>
      <w:suff w:val="space"/>
      <w:lvlText w:val="%1."/>
      <w:lvlJc w:val="left"/>
    </w:lvl>
  </w:abstractNum>
  <w:abstractNum w:abstractNumId="1">
    <w:nsid w:val="9CBA5C36"/>
    <w:multiLevelType w:val="singleLevel"/>
    <w:tmpl w:val="9CBA5C36"/>
    <w:lvl w:ilvl="0" w:tentative="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gyMDZlZmE2N2U0Njg1NjZiZDQ3ZGRjY2E3ODNjMzkifQ=="/>
  </w:docVars>
  <w:rsids>
    <w:rsidRoot w:val="00F74E05"/>
    <w:rsid w:val="00296A4C"/>
    <w:rsid w:val="00540AE7"/>
    <w:rsid w:val="00DF0073"/>
    <w:rsid w:val="00F74E05"/>
    <w:rsid w:val="1A2C5D8D"/>
    <w:rsid w:val="3B300389"/>
    <w:rsid w:val="5F5D08FD"/>
    <w:rsid w:val="6D5202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2"/>
    <w:unhideWhenUsed/>
    <w:uiPriority w:val="99"/>
    <w:pPr>
      <w:jc w:val="left"/>
    </w:p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jc w:val="left"/>
    </w:pPr>
    <w:rPr>
      <w:rFonts w:ascii="Times New Roman" w:hAnsi="Times New Roman" w:eastAsia="宋体" w:cs="Times New Roman"/>
      <w:kern w:val="0"/>
      <w:sz w:val="24"/>
    </w:rPr>
  </w:style>
  <w:style w:type="character" w:styleId="8">
    <w:name w:val="Hyperlink"/>
    <w:basedOn w:val="7"/>
    <w:unhideWhenUsed/>
    <w:qFormat/>
    <w:uiPriority w:val="99"/>
    <w:rPr>
      <w:color w:val="0000FF"/>
      <w:u w:val="single"/>
    </w:rPr>
  </w:style>
  <w:style w:type="character" w:styleId="9">
    <w:name w:val="annotation reference"/>
    <w:basedOn w:val="7"/>
    <w:semiHidden/>
    <w:unhideWhenUsed/>
    <w:qFormat/>
    <w:uiPriority w:val="99"/>
    <w:rPr>
      <w:sz w:val="21"/>
      <w:szCs w:val="21"/>
    </w:rPr>
  </w:style>
  <w:style w:type="character" w:customStyle="1" w:styleId="10">
    <w:name w:val="页眉 字符"/>
    <w:basedOn w:val="7"/>
    <w:link w:val="4"/>
    <w:qFormat/>
    <w:uiPriority w:val="99"/>
    <w:rPr>
      <w:sz w:val="18"/>
      <w:szCs w:val="18"/>
    </w:rPr>
  </w:style>
  <w:style w:type="character" w:customStyle="1" w:styleId="11">
    <w:name w:val="页脚 字符"/>
    <w:basedOn w:val="7"/>
    <w:link w:val="3"/>
    <w:qFormat/>
    <w:uiPriority w:val="99"/>
    <w:rPr>
      <w:sz w:val="18"/>
      <w:szCs w:val="18"/>
    </w:rPr>
  </w:style>
  <w:style w:type="character" w:customStyle="1" w:styleId="12">
    <w:name w:val="批注文字 字符"/>
    <w:basedOn w:val="7"/>
    <w:link w:val="2"/>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1295</Words>
  <Characters>7684</Characters>
  <Lines>914</Lines>
  <Paragraphs>834</Paragraphs>
  <TotalTime>0</TotalTime>
  <ScaleCrop>false</ScaleCrop>
  <LinksUpToDate>false</LinksUpToDate>
  <CharactersWithSpaces>8956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2023-07-17T02:36:00Z</dcterms:created>
  <dc:creator>Iris Zhao</dc:creator>
  <cp:lastModifiedBy>小面包</cp:lastModifiedBy>
  <dcterms:modified xsi:type="dcterms:W3CDTF">2023-10-31T13:58:04Z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2032AF48099C4300982583F72FA3C42B_12</vt:lpwstr>
  </property>
</Properties>
</file>