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613" w14:textId="77777777" w:rsidR="006C5A0E" w:rsidRDefault="006C5A0E" w:rsidP="004D2DB2">
      <w:pPr>
        <w:spacing w:after="0" w:line="240" w:lineRule="auto"/>
        <w:jc w:val="center"/>
        <w:rPr>
          <w:b/>
          <w:bCs/>
          <w:lang w:val="en-US"/>
        </w:rPr>
      </w:pPr>
    </w:p>
    <w:p w14:paraId="07B66BCA" w14:textId="77777777" w:rsidR="00AE6783" w:rsidRDefault="00AE6783" w:rsidP="004D2DB2">
      <w:pPr>
        <w:spacing w:after="0" w:line="240" w:lineRule="auto"/>
        <w:jc w:val="center"/>
        <w:rPr>
          <w:b/>
          <w:bCs/>
          <w:lang w:val="en-US"/>
        </w:rPr>
      </w:pPr>
    </w:p>
    <w:tbl>
      <w:tblPr>
        <w:tblW w:w="110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792"/>
        <w:gridCol w:w="552"/>
        <w:gridCol w:w="448"/>
        <w:gridCol w:w="448"/>
        <w:gridCol w:w="1092"/>
        <w:gridCol w:w="448"/>
        <w:gridCol w:w="460"/>
        <w:gridCol w:w="799"/>
        <w:gridCol w:w="448"/>
        <w:gridCol w:w="448"/>
        <w:gridCol w:w="838"/>
        <w:gridCol w:w="686"/>
        <w:gridCol w:w="686"/>
        <w:gridCol w:w="448"/>
        <w:gridCol w:w="448"/>
        <w:gridCol w:w="619"/>
        <w:gridCol w:w="448"/>
        <w:gridCol w:w="448"/>
      </w:tblGrid>
      <w:tr w:rsidR="00C17107" w:rsidRPr="003E319E" w14:paraId="24B541B4" w14:textId="77777777" w:rsidTr="00DE413C">
        <w:trPr>
          <w:cantSplit/>
          <w:trHeight w:val="8190"/>
        </w:trPr>
        <w:tc>
          <w:tcPr>
            <w:tcW w:w="53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0B103C" w14:textId="77777777" w:rsidR="00C17107" w:rsidRPr="003E319E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Description</w:t>
            </w:r>
          </w:p>
        </w:tc>
        <w:tc>
          <w:tcPr>
            <w:tcW w:w="793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7ABDD2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PTE 1: Died due to causes other than deep brain stimulation after the last follow-up. PTE 3: After two months, aggressiveness returned to baseline.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14:paraId="5CD0C39B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1 patient with basal ganglia hemorrhage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FECF27E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None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01FA144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None</w:t>
            </w:r>
          </w:p>
        </w:tc>
        <w:tc>
          <w:tcPr>
            <w:tcW w:w="1093" w:type="dxa"/>
            <w:shd w:val="clear" w:color="auto" w:fill="auto"/>
            <w:textDirection w:val="btLr"/>
            <w:vAlign w:val="center"/>
            <w:hideMark/>
          </w:tcPr>
          <w:p w14:paraId="687A9135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During follow-up, patients 1, 2, and 5 experienced GPI issues and increased aggression, which improved after generator replacement and resumption of hypothalamic stimulation. PTE 10: Device replacement required due to surgical site infection. PTE 11: As the stimulation parameters were increased, conjugate lateral gaze deviation occurred. The family requested explantation.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121807C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None</w:t>
            </w:r>
          </w:p>
        </w:tc>
        <w:tc>
          <w:tcPr>
            <w:tcW w:w="460" w:type="dxa"/>
            <w:shd w:val="clear" w:color="auto" w:fill="auto"/>
            <w:textDirection w:val="btLr"/>
            <w:vAlign w:val="center"/>
            <w:hideMark/>
          </w:tcPr>
          <w:p w14:paraId="3D4AF3E8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None</w:t>
            </w:r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7F7BE378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PTE 1: He received the first DBS (Naac) with some improvement, he underwent a second intervention in the posteromedial thalamus, he suffered infection, and the device was removed. PTE 2: Malfunction of the Impulse Pulse Generator (IPG).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ED26AC7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No clinical follow-up occurred due to missed follow-up appointments.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79573B9E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None</w:t>
            </w:r>
          </w:p>
        </w:tc>
        <w:tc>
          <w:tcPr>
            <w:tcW w:w="839" w:type="dxa"/>
            <w:shd w:val="clear" w:color="auto" w:fill="auto"/>
            <w:textDirection w:val="btLr"/>
            <w:vAlign w:val="center"/>
            <w:hideMark/>
          </w:tcPr>
          <w:p w14:paraId="229708BF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Parameters were adjusted several times to improve treatment efficacy because of persistent insomnia and agitation and to minimize the mild side effects associated with higher-voltage stimulation.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1737540B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Several stimulation adjustments were necessary because of the aggression and other pathologies observed until 12 months of age; after changing the parameters, aggressiveness decreased.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409FD681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PTE 1: Battery site infection. PTE 2: Transient dystonia of the left upper extremity improves with changes in stimulation.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EF4E8A8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None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48E4E0C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PTE 2: stereotypes back to their original condition</w:t>
            </w:r>
          </w:p>
        </w:tc>
        <w:tc>
          <w:tcPr>
            <w:tcW w:w="619" w:type="dxa"/>
            <w:shd w:val="clear" w:color="auto" w:fill="auto"/>
            <w:textDirection w:val="btLr"/>
            <w:vAlign w:val="center"/>
            <w:hideMark/>
          </w:tcPr>
          <w:p w14:paraId="0254F41C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The battery discharged in the 10th month, leading to the return of aggression. Aggressiveness diminished after battery change.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025902B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2013: None</w:t>
            </w:r>
          </w:p>
        </w:tc>
        <w:tc>
          <w:tcPr>
            <w:tcW w:w="443" w:type="dxa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188BBB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en-US" w:eastAsia="es-CO"/>
                <w14:ligatures w14:val="none"/>
              </w:rPr>
              <w:t>2020: Increase in blood pressure, heart rate, and headache.</w:t>
            </w:r>
          </w:p>
        </w:tc>
      </w:tr>
      <w:tr w:rsidR="00C17107" w:rsidRPr="003E319E" w14:paraId="6A8BF567" w14:textId="77777777" w:rsidTr="00DE413C">
        <w:trPr>
          <w:cantSplit/>
          <w:trHeight w:val="1134"/>
        </w:trPr>
        <w:tc>
          <w:tcPr>
            <w:tcW w:w="53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A655C7" w14:textId="77777777" w:rsidR="00C17107" w:rsidRPr="003E319E" w:rsidRDefault="00C17107" w:rsidP="00C17107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Patients</w:t>
            </w:r>
          </w:p>
        </w:tc>
        <w:tc>
          <w:tcPr>
            <w:tcW w:w="793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35A6C3" w14:textId="50B74EA4" w:rsidR="00C17107" w:rsidRPr="003E319E" w:rsidRDefault="003B4993" w:rsidP="00C17107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2/3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14:paraId="254B36CC" w14:textId="31CF05AE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1/19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181ED2D" w14:textId="6E19A698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0074C100" w14:textId="691912DF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1093" w:type="dxa"/>
            <w:shd w:val="clear" w:color="auto" w:fill="auto"/>
            <w:textDirection w:val="btLr"/>
            <w:vAlign w:val="center"/>
            <w:hideMark/>
          </w:tcPr>
          <w:p w14:paraId="1A1CD4D3" w14:textId="328EC9B6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5/8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5F1D627E" w14:textId="2ADD0C88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460" w:type="dxa"/>
            <w:shd w:val="clear" w:color="auto" w:fill="auto"/>
            <w:textDirection w:val="btLr"/>
            <w:vAlign w:val="center"/>
            <w:hideMark/>
          </w:tcPr>
          <w:p w14:paraId="055857D4" w14:textId="7D3686D5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292E05EE" w14:textId="7AB76DEA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2/2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5A651DA" w14:textId="1FD211B4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89F0298" w14:textId="23C910A0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839" w:type="dxa"/>
            <w:shd w:val="clear" w:color="auto" w:fill="auto"/>
            <w:textDirection w:val="btLr"/>
            <w:vAlign w:val="center"/>
            <w:hideMark/>
          </w:tcPr>
          <w:p w14:paraId="4733585C" w14:textId="543BCA42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17D1A4C8" w14:textId="3A2CBA27" w:rsidR="00C17107" w:rsidRPr="003E319E" w:rsidRDefault="003B4993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60AB3A96" w14:textId="5100807E" w:rsidR="00C17107" w:rsidRPr="003E319E" w:rsidRDefault="000322E1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2/4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3F37398" w14:textId="1B4E3579" w:rsidR="00C17107" w:rsidRPr="003E319E" w:rsidRDefault="000322E1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-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DA665A9" w14:textId="6D3C5D0A" w:rsidR="00C17107" w:rsidRPr="003E319E" w:rsidRDefault="000322E1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1/2</w:t>
            </w:r>
          </w:p>
        </w:tc>
        <w:tc>
          <w:tcPr>
            <w:tcW w:w="619" w:type="dxa"/>
            <w:shd w:val="clear" w:color="auto" w:fill="auto"/>
            <w:textDirection w:val="btLr"/>
            <w:vAlign w:val="center"/>
            <w:hideMark/>
          </w:tcPr>
          <w:p w14:paraId="0396DD43" w14:textId="0ED4BDC9" w:rsidR="00C17107" w:rsidRPr="003E319E" w:rsidRDefault="000322E1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</w:t>
            </w:r>
          </w:p>
        </w:tc>
        <w:tc>
          <w:tcPr>
            <w:tcW w:w="891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B31726" w14:textId="3B6F00B9" w:rsidR="00C17107" w:rsidRPr="003E319E" w:rsidRDefault="000322E1" w:rsidP="003B4993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Times New Roman"/>
                <w:kern w:val="0"/>
                <w:sz w:val="20"/>
                <w:szCs w:val="20"/>
                <w:lang w:eastAsia="es-CO"/>
                <w14:ligatures w14:val="none"/>
              </w:rPr>
              <w:t>1/1</w:t>
            </w:r>
          </w:p>
        </w:tc>
      </w:tr>
      <w:tr w:rsidR="00C17107" w:rsidRPr="00C17107" w14:paraId="4B376CD0" w14:textId="77777777" w:rsidTr="00DE413C">
        <w:trPr>
          <w:cantSplit/>
          <w:trHeight w:val="2615"/>
        </w:trPr>
        <w:tc>
          <w:tcPr>
            <w:tcW w:w="53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526024" w14:textId="77777777" w:rsidR="00C17107" w:rsidRPr="003E319E" w:rsidRDefault="00C17107" w:rsidP="00C17107">
            <w:pPr>
              <w:spacing w:after="0" w:line="240" w:lineRule="auto"/>
              <w:ind w:left="113" w:right="113"/>
              <w:jc w:val="center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E319E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First autor, year</w:t>
            </w:r>
          </w:p>
        </w:tc>
        <w:tc>
          <w:tcPr>
            <w:tcW w:w="793" w:type="dxa"/>
            <w:tcBorders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3EF1E2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</w:t>
            </w:r>
            <w:r w:rsidRPr="00C171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‐</w:t>
            </w: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Isaac et al., 2015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14:paraId="16D25CC5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Benedetti</w:t>
            </w:r>
            <w:r w:rsidRPr="00C171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‐</w:t>
            </w: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Isaac et al., 2021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F3DBA2D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Benedetti</w:t>
            </w:r>
            <w:r w:rsidRPr="00C171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‐</w:t>
            </w: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Isaac, et al., 2023a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E1C0433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Benedetti</w:t>
            </w:r>
            <w:r w:rsidRPr="00C171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‐</w:t>
            </w: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val="it-IT" w:eastAsia="es-CO"/>
                <w14:ligatures w14:val="none"/>
              </w:rPr>
              <w:t>Isaac, et al., 2023b</w:t>
            </w:r>
          </w:p>
        </w:tc>
        <w:tc>
          <w:tcPr>
            <w:tcW w:w="1093" w:type="dxa"/>
            <w:shd w:val="clear" w:color="auto" w:fill="auto"/>
            <w:textDirection w:val="btLr"/>
            <w:vAlign w:val="center"/>
            <w:hideMark/>
          </w:tcPr>
          <w:p w14:paraId="33D9E6AE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Escobar Vidarte et al., 2022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497365FF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Franzini et al., 2013</w:t>
            </w:r>
          </w:p>
        </w:tc>
        <w:tc>
          <w:tcPr>
            <w:tcW w:w="460" w:type="dxa"/>
            <w:shd w:val="clear" w:color="auto" w:fill="auto"/>
            <w:textDirection w:val="btLr"/>
            <w:vAlign w:val="center"/>
            <w:hideMark/>
          </w:tcPr>
          <w:p w14:paraId="6B1CB7BC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Giordano et al., 2016</w:t>
            </w:r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47C187CE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Harat et al., 2021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683C1E0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Heiden et al., 2022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67B1989F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Kakko et al., 2019</w:t>
            </w:r>
          </w:p>
        </w:tc>
        <w:tc>
          <w:tcPr>
            <w:tcW w:w="839" w:type="dxa"/>
            <w:shd w:val="clear" w:color="auto" w:fill="auto"/>
            <w:textDirection w:val="btLr"/>
            <w:vAlign w:val="center"/>
            <w:hideMark/>
          </w:tcPr>
          <w:p w14:paraId="2338FB55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López Ríos et al., 2022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5C0EB11C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Maley et al., 2010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14:paraId="3AAD7915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Micieli et al., 2017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2C0AE269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Park et al., 2017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89CB06F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Stocco, et al., 2014</w:t>
            </w:r>
          </w:p>
        </w:tc>
        <w:tc>
          <w:tcPr>
            <w:tcW w:w="619" w:type="dxa"/>
            <w:shd w:val="clear" w:color="auto" w:fill="auto"/>
            <w:textDirection w:val="btLr"/>
            <w:vAlign w:val="center"/>
            <w:hideMark/>
          </w:tcPr>
          <w:p w14:paraId="6E296771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Sturm et al., 2013</w:t>
            </w:r>
          </w:p>
        </w:tc>
        <w:tc>
          <w:tcPr>
            <w:tcW w:w="891" w:type="dxa"/>
            <w:gridSpan w:val="2"/>
            <w:tcBorders>
              <w:righ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724114" w14:textId="77777777" w:rsidR="00C17107" w:rsidRPr="00C17107" w:rsidRDefault="00C17107" w:rsidP="00C17107">
            <w:pPr>
              <w:spacing w:after="0" w:line="240" w:lineRule="auto"/>
              <w:ind w:left="113" w:right="113"/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C17107">
              <w:rPr>
                <w:rFonts w:ascii="Amasis MT Pro Light" w:eastAsia="Times New Roman" w:hAnsi="Amasis MT Pro Light" w:cs="Calibr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Torres et al., 2013, 2020</w:t>
            </w:r>
          </w:p>
        </w:tc>
      </w:tr>
    </w:tbl>
    <w:p w14:paraId="1E982EA9" w14:textId="77777777" w:rsidR="00467757" w:rsidRPr="00B9788D" w:rsidRDefault="00467757">
      <w:pPr>
        <w:rPr>
          <w:lang w:val="en-US"/>
        </w:rPr>
      </w:pPr>
    </w:p>
    <w:sectPr w:rsidR="00467757" w:rsidRPr="00B9788D" w:rsidSect="00C17107">
      <w:pgSz w:w="12240" w:h="15840"/>
      <w:pgMar w:top="1417" w:right="1135" w:bottom="141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C0EA" w14:textId="77777777" w:rsidR="00821066" w:rsidRDefault="00821066" w:rsidP="004D2DB2">
      <w:pPr>
        <w:spacing w:after="0" w:line="240" w:lineRule="auto"/>
      </w:pPr>
      <w:r>
        <w:separator/>
      </w:r>
    </w:p>
  </w:endnote>
  <w:endnote w:type="continuationSeparator" w:id="0">
    <w:p w14:paraId="07B66011" w14:textId="77777777" w:rsidR="00821066" w:rsidRDefault="00821066" w:rsidP="004D2DB2">
      <w:pPr>
        <w:spacing w:after="0" w:line="240" w:lineRule="auto"/>
      </w:pPr>
      <w:r>
        <w:continuationSeparator/>
      </w:r>
    </w:p>
  </w:endnote>
  <w:endnote w:type="continuationNotice" w:id="1">
    <w:p w14:paraId="044C502A" w14:textId="77777777" w:rsidR="00821066" w:rsidRDefault="008210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2690" w14:textId="77777777" w:rsidR="00821066" w:rsidRDefault="00821066" w:rsidP="004D2DB2">
      <w:pPr>
        <w:spacing w:after="0" w:line="240" w:lineRule="auto"/>
      </w:pPr>
      <w:r>
        <w:separator/>
      </w:r>
    </w:p>
  </w:footnote>
  <w:footnote w:type="continuationSeparator" w:id="0">
    <w:p w14:paraId="19CEAFD6" w14:textId="77777777" w:rsidR="00821066" w:rsidRDefault="00821066" w:rsidP="004D2DB2">
      <w:pPr>
        <w:spacing w:after="0" w:line="240" w:lineRule="auto"/>
      </w:pPr>
      <w:r>
        <w:continuationSeparator/>
      </w:r>
    </w:p>
  </w:footnote>
  <w:footnote w:type="continuationNotice" w:id="1">
    <w:p w14:paraId="0E66E79C" w14:textId="77777777" w:rsidR="00821066" w:rsidRDefault="0082106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B2"/>
    <w:rsid w:val="00016F0C"/>
    <w:rsid w:val="000322E1"/>
    <w:rsid w:val="00196863"/>
    <w:rsid w:val="002231F6"/>
    <w:rsid w:val="0030238F"/>
    <w:rsid w:val="003026B0"/>
    <w:rsid w:val="00353106"/>
    <w:rsid w:val="003B4993"/>
    <w:rsid w:val="003E319E"/>
    <w:rsid w:val="00432447"/>
    <w:rsid w:val="00451BA5"/>
    <w:rsid w:val="00454E3F"/>
    <w:rsid w:val="00467757"/>
    <w:rsid w:val="004A5766"/>
    <w:rsid w:val="004D2DB2"/>
    <w:rsid w:val="005B43A7"/>
    <w:rsid w:val="005D7E9D"/>
    <w:rsid w:val="00666812"/>
    <w:rsid w:val="006A5F79"/>
    <w:rsid w:val="006C5A0E"/>
    <w:rsid w:val="006D5FC6"/>
    <w:rsid w:val="006F7D7A"/>
    <w:rsid w:val="00735BB8"/>
    <w:rsid w:val="00821066"/>
    <w:rsid w:val="00897051"/>
    <w:rsid w:val="008A5FF4"/>
    <w:rsid w:val="008B1DD2"/>
    <w:rsid w:val="0091665F"/>
    <w:rsid w:val="00997C60"/>
    <w:rsid w:val="009F50F2"/>
    <w:rsid w:val="00AA0C77"/>
    <w:rsid w:val="00AE6783"/>
    <w:rsid w:val="00B9788D"/>
    <w:rsid w:val="00C07762"/>
    <w:rsid w:val="00C17107"/>
    <w:rsid w:val="00CD6AD2"/>
    <w:rsid w:val="00D40516"/>
    <w:rsid w:val="00DE413C"/>
    <w:rsid w:val="00E24AD8"/>
    <w:rsid w:val="00E313EB"/>
    <w:rsid w:val="00E650B8"/>
    <w:rsid w:val="00EE72DB"/>
    <w:rsid w:val="00F2209B"/>
    <w:rsid w:val="00F6721A"/>
    <w:rsid w:val="00F95F7A"/>
    <w:rsid w:val="00FA0DF1"/>
    <w:rsid w:val="00FA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ED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DB2"/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2DB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4D2DB2"/>
  </w:style>
  <w:style w:type="paragraph" w:styleId="Piedepgina">
    <w:name w:val="footer"/>
    <w:basedOn w:val="Normal"/>
    <w:link w:val="PiedepginaCar"/>
    <w:uiPriority w:val="99"/>
    <w:unhideWhenUsed/>
    <w:rsid w:val="004D2DB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2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2023-10-28T23:57:00Z</dcterms:created>
  <dcterms:modified xsi:type="dcterms:W3CDTF">2023-10-28T23:57:00Z</dcterms:modified>
</cp:coreProperties>
</file>