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CA664" w14:textId="7F0CC0E0" w:rsidR="008D758F" w:rsidRPr="008D758F" w:rsidRDefault="008D758F" w:rsidP="008D758F">
      <w:pPr>
        <w:spacing w:line="480" w:lineRule="auto"/>
        <w:rPr>
          <w:rFonts w:eastAsia="宋体" w:cs="Times New Roman"/>
          <w:bCs/>
          <w:color w:val="000000" w:themeColor="text1"/>
          <w:lang w:eastAsia="zh-CN"/>
        </w:rPr>
      </w:pPr>
      <w:r w:rsidRPr="00992CDC">
        <w:rPr>
          <w:rFonts w:eastAsia="宋体" w:cs="Times New Roman"/>
          <w:b/>
          <w:color w:val="000000" w:themeColor="text1"/>
        </w:rPr>
        <w:t>Supplemental Table 2</w:t>
      </w:r>
      <w:r w:rsidRPr="00992CDC">
        <w:rPr>
          <w:rFonts w:eastAsia="宋体" w:cs="Times New Roman"/>
          <w:bCs/>
          <w:color w:val="000000" w:themeColor="text1"/>
          <w:lang w:eastAsia="zh-CN"/>
        </w:rPr>
        <w:t xml:space="preserve">: </w:t>
      </w:r>
      <w:r w:rsidRPr="00992CDC">
        <w:rPr>
          <w:rFonts w:eastAsia="宋体" w:cs="Times New Roman"/>
          <w:bCs/>
          <w:color w:val="000000" w:themeColor="text1"/>
        </w:rPr>
        <w:t xml:space="preserve">The </w:t>
      </w:r>
      <w:r w:rsidRPr="00992CDC">
        <w:rPr>
          <w:rFonts w:cs="Times New Roman"/>
        </w:rPr>
        <w:t>protocol</w:t>
      </w:r>
      <w:r w:rsidRPr="00992CDC">
        <w:rPr>
          <w:rFonts w:eastAsia="宋体" w:cs="Times New Roman"/>
          <w:bCs/>
          <w:color w:val="000000" w:themeColor="text1"/>
        </w:rPr>
        <w:t xml:space="preserve"> of laser treatment for postoperative scar of cleft lip</w:t>
      </w:r>
      <w:r w:rsidRPr="00992CDC">
        <w:rPr>
          <w:rFonts w:eastAsia="宋体" w:cs="Times New Roman"/>
          <w:bCs/>
          <w:color w:val="000000" w:themeColor="text1"/>
          <w:lang w:eastAsia="zh-CN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12480"/>
      </w:tblGrid>
      <w:tr w:rsidR="00992CDC" w:rsidRPr="00992CDC" w14:paraId="31F7FFDA" w14:textId="77777777" w:rsidTr="008D758F">
        <w:trPr>
          <w:jc w:val="center"/>
        </w:trPr>
        <w:tc>
          <w:tcPr>
            <w:tcW w:w="0" w:type="auto"/>
          </w:tcPr>
          <w:p w14:paraId="644DE1FF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eastAsia="宋体" w:cs="Times New Roman"/>
                <w:color w:val="000000" w:themeColor="text1"/>
              </w:rPr>
              <w:t>Source</w:t>
            </w:r>
          </w:p>
        </w:tc>
        <w:tc>
          <w:tcPr>
            <w:tcW w:w="0" w:type="auto"/>
          </w:tcPr>
          <w:p w14:paraId="1AE3D891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cs="Times New Roman"/>
              </w:rPr>
              <w:t>Protocol</w:t>
            </w:r>
          </w:p>
        </w:tc>
      </w:tr>
      <w:tr w:rsidR="00992CDC" w:rsidRPr="00992CDC" w14:paraId="6D37A7E9" w14:textId="77777777" w:rsidTr="008D758F">
        <w:trPr>
          <w:jc w:val="center"/>
        </w:trPr>
        <w:tc>
          <w:tcPr>
            <w:tcW w:w="0" w:type="auto"/>
          </w:tcPr>
          <w:p w14:paraId="121F2B7C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  <w:vertAlign w:val="superscript"/>
              </w:rPr>
            </w:pPr>
            <w:r w:rsidRPr="00992CDC">
              <w:rPr>
                <w:rFonts w:eastAsia="宋体" w:cs="Times New Roman"/>
                <w:bCs/>
                <w:color w:val="000000" w:themeColor="text1"/>
              </w:rPr>
              <w:t>Chi et al. 2023 (11)</w:t>
            </w:r>
          </w:p>
        </w:tc>
        <w:tc>
          <w:tcPr>
            <w:tcW w:w="0" w:type="auto"/>
          </w:tcPr>
          <w:p w14:paraId="50D3ECFE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eastAsia="宋体" w:cs="Times New Roman"/>
                <w:bCs/>
                <w:color w:val="000000" w:themeColor="text1"/>
                <w:lang w:eastAsia="zh-CN"/>
              </w:rPr>
              <w:t>Use</w:t>
            </w:r>
            <w:r w:rsidRPr="00992CDC">
              <w:rPr>
                <w:rFonts w:eastAsia="宋体" w:cs="Times New Roman"/>
                <w:bCs/>
                <w:color w:val="000000" w:themeColor="text1"/>
              </w:rPr>
              <w:t xml:space="preserve"> a </w:t>
            </w:r>
            <w:proofErr w:type="spellStart"/>
            <w:r w:rsidRPr="00992CDC">
              <w:rPr>
                <w:rFonts w:eastAsia="宋体" w:cs="Times New Roman"/>
                <w:bCs/>
                <w:color w:val="000000" w:themeColor="text1"/>
              </w:rPr>
              <w:t>Lumenis</w:t>
            </w:r>
            <w:proofErr w:type="spellEnd"/>
            <w:r w:rsidRPr="00992CDC">
              <w:rPr>
                <w:rFonts w:eastAsia="宋体" w:cs="Times New Roman"/>
                <w:bCs/>
                <w:color w:val="000000" w:themeColor="text1"/>
              </w:rPr>
              <w:t xml:space="preserve"> Ultra Pulse Encore fractional CO2 laser, Deep FX 20 to 30 J/10%. Each patient was treated with the same parameters 3 times at an interval of 1 month. A follow-up visit was made 1 month after laser treatment.</w:t>
            </w:r>
          </w:p>
        </w:tc>
      </w:tr>
      <w:tr w:rsidR="00992CDC" w:rsidRPr="00992CDC" w14:paraId="071E66C7" w14:textId="77777777" w:rsidTr="008D758F">
        <w:trPr>
          <w:jc w:val="center"/>
        </w:trPr>
        <w:tc>
          <w:tcPr>
            <w:tcW w:w="0" w:type="auto"/>
          </w:tcPr>
          <w:p w14:paraId="0B31751B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  <w:vertAlign w:val="superscript"/>
              </w:rPr>
            </w:pPr>
            <w:r w:rsidRPr="00992CDC">
              <w:rPr>
                <w:rFonts w:eastAsia="宋体" w:cs="Times New Roman"/>
                <w:bCs/>
                <w:color w:val="000000" w:themeColor="text1"/>
              </w:rPr>
              <w:t>Hao et al. 2022 (40)</w:t>
            </w:r>
          </w:p>
        </w:tc>
        <w:tc>
          <w:tcPr>
            <w:tcW w:w="0" w:type="auto"/>
          </w:tcPr>
          <w:p w14:paraId="5DD4A7F7" w14:textId="77777777" w:rsidR="007F0ADB" w:rsidRPr="007F0ADB" w:rsidRDefault="007F0ADB" w:rsidP="007F0ADB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7F0ADB">
              <w:rPr>
                <w:rFonts w:eastAsia="宋体" w:cs="Times New Roman"/>
                <w:color w:val="000000" w:themeColor="text1"/>
              </w:rPr>
              <w:t xml:space="preserve">Dual wavelength pulse laser therapy: Two types of lasers, 585nm pulsed dye laser and 1064nm Nd: YAG, are sequentially emitted using the Synergy skin laser therapy instrument. Pulse dye laser wavelength 585nm, spot 7mm, energy 6.5-9J/cm2, pulse width 0.5-6ms; Nd: YAG laser has a wavelength of 1064nm, a spot of 7mm, an energy of 30-60J/cm2, and a pulse width of 15ms. Set specific treatment parameters based on the patient's skin type and the color of the scar area. Treatment method: After facial cleaning, perform a low energy spot test to determine the energy and treatment parameters. Each treatment takes </w:t>
            </w:r>
            <w:r w:rsidRPr="007F0ADB">
              <w:rPr>
                <w:rFonts w:eastAsia="宋体" w:cs="Times New Roman"/>
                <w:color w:val="000000" w:themeColor="text1"/>
              </w:rPr>
              <w:lastRenderedPageBreak/>
              <w:t>approximately 20-30 minutes. During treatment, a cold air therapy device is used to synchronously cool the skin. After treatment, apply ice for 15-30 minutes. Treat once a month.</w:t>
            </w:r>
          </w:p>
          <w:p w14:paraId="0366502C" w14:textId="423CA1BF" w:rsidR="00992CDC" w:rsidRPr="00992CDC" w:rsidRDefault="007F0ADB" w:rsidP="007F0ADB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7F0ADB">
              <w:rPr>
                <w:rFonts w:eastAsia="宋体" w:cs="Times New Roman"/>
                <w:color w:val="000000" w:themeColor="text1"/>
              </w:rPr>
              <w:t xml:space="preserve">CO2 dot matrix laser treatment: Super pulse CO2 dot matrix laser </w:t>
            </w:r>
            <w:proofErr w:type="spellStart"/>
            <w:r w:rsidRPr="007F0ADB">
              <w:rPr>
                <w:rFonts w:eastAsia="宋体" w:cs="Times New Roman"/>
                <w:color w:val="000000" w:themeColor="text1"/>
              </w:rPr>
              <w:t>Acuscan</w:t>
            </w:r>
            <w:proofErr w:type="spellEnd"/>
            <w:r w:rsidRPr="007F0ADB">
              <w:rPr>
                <w:rFonts w:eastAsia="宋体" w:cs="Times New Roman"/>
                <w:color w:val="000000" w:themeColor="text1"/>
              </w:rPr>
              <w:t xml:space="preserve"> micro scanning tool, diamond shaped spot, shallow mode: 50J/cm2, density 40%, deep mode: 27.5J/cm2, density 5%, scanning once per treatment. For obvious areas with depressions: 7.5J/cm2, density 5%, and full coverage of scars. Treatment method: First, clean the treatment area, apply 2% lidocaine topical anesthesia, and start treatment after 1 hour. Observe the degree of scar hyperplasia and select corresponding treatment parameters accordingly, with treatment once a month.</w:t>
            </w:r>
          </w:p>
        </w:tc>
      </w:tr>
      <w:tr w:rsidR="00992CDC" w:rsidRPr="00992CDC" w14:paraId="0D7E8387" w14:textId="77777777" w:rsidTr="008D758F">
        <w:trPr>
          <w:jc w:val="center"/>
        </w:trPr>
        <w:tc>
          <w:tcPr>
            <w:tcW w:w="0" w:type="auto"/>
          </w:tcPr>
          <w:p w14:paraId="34599C03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  <w:vertAlign w:val="superscript"/>
              </w:rPr>
            </w:pPr>
            <w:proofErr w:type="spellStart"/>
            <w:r w:rsidRPr="00992CDC">
              <w:rPr>
                <w:rFonts w:eastAsia="宋体" w:cs="Times New Roman"/>
                <w:bCs/>
                <w:color w:val="000000" w:themeColor="text1"/>
              </w:rPr>
              <w:lastRenderedPageBreak/>
              <w:t>Shadad</w:t>
            </w:r>
            <w:proofErr w:type="spellEnd"/>
            <w:r w:rsidRPr="00992CDC">
              <w:rPr>
                <w:rFonts w:eastAsia="宋体" w:cs="Times New Roman"/>
                <w:bCs/>
                <w:color w:val="000000" w:themeColor="text1"/>
              </w:rPr>
              <w:t xml:space="preserve"> et al. 2021 (21)</w:t>
            </w:r>
          </w:p>
        </w:tc>
        <w:tc>
          <w:tcPr>
            <w:tcW w:w="0" w:type="auto"/>
          </w:tcPr>
          <w:p w14:paraId="6CC2F003" w14:textId="26FBE39A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eastAsia="宋体" w:cs="Times New Roman"/>
                <w:color w:val="000000" w:themeColor="text1"/>
              </w:rPr>
              <w:t xml:space="preserve">Fractional CO2 laser configurations were as follows: wave length 10,600 nm, scanner mode, time of pulse from 0.1 to 0.2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ms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, pixel per inch from 5 to 6, and power from 20 to 25 w. The laser was applied in groups 1 and 2 for 5 to 7 sessions with 4 weeks of interval during which the patients used corticosteroid creams for the first weak and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antiscarring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 silicone creams for the next 3 weeks. It is absolutely necessary to do at least 5 sessions to get good results.</w:t>
            </w:r>
          </w:p>
        </w:tc>
      </w:tr>
      <w:tr w:rsidR="00992CDC" w:rsidRPr="00992CDC" w14:paraId="1BEB97FC" w14:textId="77777777" w:rsidTr="008D758F">
        <w:trPr>
          <w:jc w:val="center"/>
        </w:trPr>
        <w:tc>
          <w:tcPr>
            <w:tcW w:w="0" w:type="auto"/>
          </w:tcPr>
          <w:p w14:paraId="49887CD4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  <w:vertAlign w:val="superscript"/>
              </w:rPr>
            </w:pPr>
            <w:r w:rsidRPr="00992CDC">
              <w:rPr>
                <w:rFonts w:eastAsia="宋体" w:cs="Times New Roman"/>
                <w:bCs/>
                <w:color w:val="000000" w:themeColor="text1"/>
              </w:rPr>
              <w:lastRenderedPageBreak/>
              <w:t>Li et ql. 2019 (41)</w:t>
            </w:r>
          </w:p>
        </w:tc>
        <w:tc>
          <w:tcPr>
            <w:tcW w:w="0" w:type="auto"/>
          </w:tcPr>
          <w:p w14:paraId="14299FFE" w14:textId="671D3328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eastAsia="宋体" w:cs="Times New Roman"/>
                <w:color w:val="000000" w:themeColor="text1"/>
              </w:rPr>
              <w:t xml:space="preserve">The laser treatments group was treated with IPL (590 nm filter; double pulse; pulse width, 4-6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ms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>;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 xml:space="preserve">energy density, 25-28 J/cm2) until appropriate scar darkling and skin rubefaction were observed. The IPL was administered with a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Lumenis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 M22 IPL machine.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>Cold compresses were applied to minimize potential thermal damage. One month later, the patient's lip was coated with 5% lidocaine cream for an hour before being subjected to lattice CO2 laser (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AcuPulse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 40AES,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Lumenis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>) application.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 xml:space="preserve">The precise laser configuration and power settings were determined for individual patients depending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onscar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 size and shape.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 xml:space="preserve">Generally, patients were subjected to deep (15-20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mJ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, 5% density,) and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superfical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 (80-100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mJ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>, 5% density) mode laser treatments.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>The laser treatment was administered every 3 months.</w:t>
            </w:r>
            <w:r w:rsidR="007F0ADB">
              <w:rPr>
                <w:rFonts w:eastAsia="宋体" w:cs="Times New Roman"/>
                <w:color w:val="000000" w:themeColor="text1"/>
              </w:rPr>
              <w:t xml:space="preserve"> </w:t>
            </w:r>
            <w:r w:rsidRPr="00992CDC">
              <w:rPr>
                <w:rFonts w:eastAsia="宋体" w:cs="Times New Roman"/>
                <w:color w:val="000000" w:themeColor="text1"/>
              </w:rPr>
              <w:t>The IPL treatment was repeated monthly from 1 month to 6 months postoperatively.</w:t>
            </w:r>
          </w:p>
        </w:tc>
      </w:tr>
      <w:tr w:rsidR="00992CDC" w:rsidRPr="00992CDC" w14:paraId="69DCEBFC" w14:textId="77777777" w:rsidTr="008D758F">
        <w:trPr>
          <w:jc w:val="center"/>
        </w:trPr>
        <w:tc>
          <w:tcPr>
            <w:tcW w:w="0" w:type="auto"/>
          </w:tcPr>
          <w:p w14:paraId="383267AD" w14:textId="77777777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  <w:vertAlign w:val="superscript"/>
              </w:rPr>
            </w:pPr>
            <w:r w:rsidRPr="00992CDC">
              <w:rPr>
                <w:rFonts w:eastAsia="宋体" w:cs="Times New Roman"/>
                <w:bCs/>
                <w:color w:val="000000" w:themeColor="text1"/>
              </w:rPr>
              <w:t>Aida et al. 2018 (24)</w:t>
            </w:r>
          </w:p>
        </w:tc>
        <w:tc>
          <w:tcPr>
            <w:tcW w:w="0" w:type="auto"/>
          </w:tcPr>
          <w:p w14:paraId="00C03C7B" w14:textId="51B66189" w:rsidR="00992CDC" w:rsidRPr="00992CDC" w:rsidRDefault="00992CDC" w:rsidP="008D758F">
            <w:pPr>
              <w:spacing w:line="480" w:lineRule="auto"/>
              <w:rPr>
                <w:rFonts w:eastAsia="宋体" w:cs="Times New Roman"/>
                <w:color w:val="000000" w:themeColor="text1"/>
              </w:rPr>
            </w:pPr>
            <w:r w:rsidRPr="00992CDC">
              <w:rPr>
                <w:rFonts w:eastAsia="宋体" w:cs="Times New Roman"/>
                <w:color w:val="000000" w:themeColor="text1"/>
              </w:rPr>
              <w:t xml:space="preserve">Six sessions every four weeks for six months to have a complete collagen cycle. Laser parameters: Power 22.5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mJ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 xml:space="preserve">, pulse width 500 microsecond, stack 3 and density 0.8. Using Bison Medical </w:t>
            </w:r>
            <w:proofErr w:type="spellStart"/>
            <w:r w:rsidRPr="00992CDC">
              <w:rPr>
                <w:rFonts w:eastAsia="宋体" w:cs="Times New Roman"/>
                <w:color w:val="000000" w:themeColor="text1"/>
              </w:rPr>
              <w:t>Firexel</w:t>
            </w:r>
            <w:proofErr w:type="spellEnd"/>
            <w:r w:rsidRPr="00992CDC">
              <w:rPr>
                <w:rFonts w:eastAsia="宋体" w:cs="Times New Roman"/>
                <w:color w:val="000000" w:themeColor="text1"/>
              </w:rPr>
              <w:t>* laser device.</w:t>
            </w:r>
          </w:p>
        </w:tc>
      </w:tr>
    </w:tbl>
    <w:p w14:paraId="7CD0B096" w14:textId="275055DA" w:rsidR="00992CDC" w:rsidRPr="00992CDC" w:rsidRDefault="00992CDC" w:rsidP="008D758F">
      <w:pPr>
        <w:spacing w:line="480" w:lineRule="auto"/>
        <w:rPr>
          <w:rFonts w:eastAsia="宋体" w:cs="Times New Roman"/>
          <w:bCs/>
          <w:color w:val="000000" w:themeColor="text1"/>
          <w:lang w:eastAsia="zh-CN"/>
        </w:rPr>
      </w:pPr>
    </w:p>
    <w:sectPr w:rsidR="00992CDC" w:rsidRPr="00992CDC" w:rsidSect="008D758F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DC"/>
    <w:rsid w:val="000133BD"/>
    <w:rsid w:val="00025B66"/>
    <w:rsid w:val="000278CD"/>
    <w:rsid w:val="00050A52"/>
    <w:rsid w:val="000960B5"/>
    <w:rsid w:val="000C128F"/>
    <w:rsid w:val="000F1C50"/>
    <w:rsid w:val="00122E5C"/>
    <w:rsid w:val="001244EC"/>
    <w:rsid w:val="00125999"/>
    <w:rsid w:val="00140D73"/>
    <w:rsid w:val="00142C44"/>
    <w:rsid w:val="001705F4"/>
    <w:rsid w:val="001A19F0"/>
    <w:rsid w:val="001A779C"/>
    <w:rsid w:val="001D7921"/>
    <w:rsid w:val="001F51BC"/>
    <w:rsid w:val="002005AF"/>
    <w:rsid w:val="00212319"/>
    <w:rsid w:val="002272D2"/>
    <w:rsid w:val="00235BE1"/>
    <w:rsid w:val="00247E32"/>
    <w:rsid w:val="00254443"/>
    <w:rsid w:val="0025488B"/>
    <w:rsid w:val="002703FF"/>
    <w:rsid w:val="002B03C0"/>
    <w:rsid w:val="002B6CBE"/>
    <w:rsid w:val="002D2116"/>
    <w:rsid w:val="002E6111"/>
    <w:rsid w:val="00301940"/>
    <w:rsid w:val="00311956"/>
    <w:rsid w:val="00313CBB"/>
    <w:rsid w:val="003261A8"/>
    <w:rsid w:val="003623D2"/>
    <w:rsid w:val="003B4E90"/>
    <w:rsid w:val="003C26E3"/>
    <w:rsid w:val="003F518D"/>
    <w:rsid w:val="003F5F03"/>
    <w:rsid w:val="00402475"/>
    <w:rsid w:val="00405C09"/>
    <w:rsid w:val="0042679C"/>
    <w:rsid w:val="00432483"/>
    <w:rsid w:val="00442D5A"/>
    <w:rsid w:val="00444519"/>
    <w:rsid w:val="004565FA"/>
    <w:rsid w:val="004640D1"/>
    <w:rsid w:val="00481062"/>
    <w:rsid w:val="00494F8B"/>
    <w:rsid w:val="00495CBF"/>
    <w:rsid w:val="004964A0"/>
    <w:rsid w:val="00497C6E"/>
    <w:rsid w:val="004A11C9"/>
    <w:rsid w:val="004A7674"/>
    <w:rsid w:val="005063D0"/>
    <w:rsid w:val="00516BFD"/>
    <w:rsid w:val="005221F4"/>
    <w:rsid w:val="00525E42"/>
    <w:rsid w:val="005812F1"/>
    <w:rsid w:val="00645284"/>
    <w:rsid w:val="00646F31"/>
    <w:rsid w:val="00652FD6"/>
    <w:rsid w:val="00663D9A"/>
    <w:rsid w:val="0068283B"/>
    <w:rsid w:val="006A15BB"/>
    <w:rsid w:val="006B291C"/>
    <w:rsid w:val="00701A66"/>
    <w:rsid w:val="0070396D"/>
    <w:rsid w:val="00703A9A"/>
    <w:rsid w:val="007117E5"/>
    <w:rsid w:val="007140A8"/>
    <w:rsid w:val="00720A40"/>
    <w:rsid w:val="007231C8"/>
    <w:rsid w:val="007243B5"/>
    <w:rsid w:val="00727810"/>
    <w:rsid w:val="007528DE"/>
    <w:rsid w:val="007A34F7"/>
    <w:rsid w:val="007C1969"/>
    <w:rsid w:val="007C3EFF"/>
    <w:rsid w:val="007F0ADB"/>
    <w:rsid w:val="00826831"/>
    <w:rsid w:val="008312D2"/>
    <w:rsid w:val="008460E5"/>
    <w:rsid w:val="00852EBB"/>
    <w:rsid w:val="008745F1"/>
    <w:rsid w:val="00874F04"/>
    <w:rsid w:val="0089117A"/>
    <w:rsid w:val="008D758F"/>
    <w:rsid w:val="008E31A7"/>
    <w:rsid w:val="008F040C"/>
    <w:rsid w:val="00923151"/>
    <w:rsid w:val="009765D0"/>
    <w:rsid w:val="00992CDC"/>
    <w:rsid w:val="009A07D4"/>
    <w:rsid w:val="009A5FC7"/>
    <w:rsid w:val="009D431C"/>
    <w:rsid w:val="009F4D2A"/>
    <w:rsid w:val="00A04E3E"/>
    <w:rsid w:val="00A12502"/>
    <w:rsid w:val="00A13431"/>
    <w:rsid w:val="00A17D3F"/>
    <w:rsid w:val="00A202CF"/>
    <w:rsid w:val="00A2465E"/>
    <w:rsid w:val="00A607A4"/>
    <w:rsid w:val="00A73D94"/>
    <w:rsid w:val="00AD7872"/>
    <w:rsid w:val="00AE2BCB"/>
    <w:rsid w:val="00AF792C"/>
    <w:rsid w:val="00B34ED4"/>
    <w:rsid w:val="00B57CA3"/>
    <w:rsid w:val="00B7564F"/>
    <w:rsid w:val="00B84EA3"/>
    <w:rsid w:val="00BA4052"/>
    <w:rsid w:val="00BD26AD"/>
    <w:rsid w:val="00BD6A27"/>
    <w:rsid w:val="00C0530D"/>
    <w:rsid w:val="00C45EA1"/>
    <w:rsid w:val="00C5317D"/>
    <w:rsid w:val="00C95119"/>
    <w:rsid w:val="00CA2D14"/>
    <w:rsid w:val="00CF02EB"/>
    <w:rsid w:val="00CF119C"/>
    <w:rsid w:val="00D10802"/>
    <w:rsid w:val="00D26FBA"/>
    <w:rsid w:val="00D4634C"/>
    <w:rsid w:val="00D53160"/>
    <w:rsid w:val="00D555C4"/>
    <w:rsid w:val="00D60545"/>
    <w:rsid w:val="00DA1517"/>
    <w:rsid w:val="00DB1AD4"/>
    <w:rsid w:val="00DD5E78"/>
    <w:rsid w:val="00DE1528"/>
    <w:rsid w:val="00DF212E"/>
    <w:rsid w:val="00E3413E"/>
    <w:rsid w:val="00E56BD9"/>
    <w:rsid w:val="00E9537E"/>
    <w:rsid w:val="00EC7458"/>
    <w:rsid w:val="00ED0537"/>
    <w:rsid w:val="00ED0D58"/>
    <w:rsid w:val="00ED780F"/>
    <w:rsid w:val="00EE2F5C"/>
    <w:rsid w:val="00F007EF"/>
    <w:rsid w:val="00F3304E"/>
    <w:rsid w:val="00F366D7"/>
    <w:rsid w:val="00F92C3B"/>
    <w:rsid w:val="00F94C3D"/>
    <w:rsid w:val="00F97216"/>
    <w:rsid w:val="00FA65B2"/>
    <w:rsid w:val="00FE451B"/>
    <w:rsid w:val="00FE6CBF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4590D8"/>
  <w15:chartTrackingRefBased/>
  <w15:docId w15:val="{BCE0FDA1-3B42-E945-A3E7-94B79F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CDC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F519F"/>
    <w:tblPr>
      <w:tblBorders>
        <w:top w:val="single" w:sz="4" w:space="0" w:color="auto"/>
        <w:bottom w:val="single" w:sz="4" w:space="0" w:color="auto"/>
      </w:tblBorders>
    </w:tblPr>
  </w:style>
  <w:style w:type="table" w:styleId="a4">
    <w:name w:val="Table Grid"/>
    <w:basedOn w:val="a1"/>
    <w:uiPriority w:val="39"/>
    <w:rsid w:val="00992CDC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 雪菲</dc:creator>
  <cp:keywords/>
  <dc:description/>
  <cp:lastModifiedBy>庞 雪菲</cp:lastModifiedBy>
  <cp:revision>3</cp:revision>
  <dcterms:created xsi:type="dcterms:W3CDTF">2023-10-30T13:09:00Z</dcterms:created>
  <dcterms:modified xsi:type="dcterms:W3CDTF">2023-11-01T13:08:00Z</dcterms:modified>
</cp:coreProperties>
</file>