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1135" w:type="dxa"/>
        <w:tblInd w:w="-998" w:type="dxa"/>
        <w:shd w:val="clear" w:color="auto" w:fill="EDEDED" w:themeFill="accent3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5345"/>
        <w:gridCol w:w="5360"/>
      </w:tblGrid>
      <w:tr w:rsidR="00F45516" w:rsidTr="00DC409F">
        <w:tc>
          <w:tcPr>
            <w:tcW w:w="422" w:type="dxa"/>
            <w:vMerge w:val="restart"/>
            <w:shd w:val="clear" w:color="auto" w:fill="EDEDED" w:themeFill="accent3" w:themeFillTint="33"/>
            <w:textDirection w:val="btLr"/>
            <w:vAlign w:val="center"/>
          </w:tcPr>
          <w:p w:rsidR="00F45516" w:rsidRPr="00B66E12" w:rsidRDefault="00F45516" w:rsidP="007620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F80371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F96767">
              <w:rPr>
                <w:rFonts w:ascii="Times New Roman" w:hAnsi="Times New Roman" w:cs="Times New Roman"/>
                <w:b/>
                <w:sz w:val="24"/>
                <w:lang w:val="en-US"/>
              </w:rPr>
              <w:t>Removal of Dye (%)</w:t>
            </w:r>
          </w:p>
        </w:tc>
        <w:tc>
          <w:tcPr>
            <w:tcW w:w="5353" w:type="dxa"/>
            <w:tcBorders>
              <w:bottom w:val="single" w:sz="12" w:space="0" w:color="5B9BD5" w:themeColor="accent1"/>
              <w:right w:val="nil"/>
            </w:tcBorders>
            <w:shd w:val="clear" w:color="auto" w:fill="EDEDED" w:themeFill="accent3" w:themeFillTint="33"/>
          </w:tcPr>
          <w:p w:rsidR="00F45516" w:rsidRDefault="00F45516">
            <w:pPr>
              <w:rPr>
                <w:noProof/>
                <w:lang w:eastAsia="tr-TR"/>
              </w:rPr>
            </w:pPr>
          </w:p>
        </w:tc>
        <w:tc>
          <w:tcPr>
            <w:tcW w:w="5360" w:type="dxa"/>
            <w:tcBorders>
              <w:left w:val="nil"/>
              <w:bottom w:val="single" w:sz="12" w:space="0" w:color="5B9BD5" w:themeColor="accent1"/>
            </w:tcBorders>
            <w:shd w:val="clear" w:color="auto" w:fill="EDEDED" w:themeFill="accent3" w:themeFillTint="33"/>
          </w:tcPr>
          <w:p w:rsidR="00F45516" w:rsidRDefault="00F45516">
            <w:pPr>
              <w:rPr>
                <w:noProof/>
                <w:lang w:eastAsia="tr-TR"/>
              </w:rPr>
            </w:pPr>
          </w:p>
        </w:tc>
      </w:tr>
      <w:tr w:rsidR="00F45516" w:rsidTr="00DC409F">
        <w:tc>
          <w:tcPr>
            <w:tcW w:w="422" w:type="dxa"/>
            <w:vMerge/>
            <w:shd w:val="clear" w:color="auto" w:fill="EDEDED" w:themeFill="accent3" w:themeFillTint="33"/>
            <w:textDirection w:val="btLr"/>
          </w:tcPr>
          <w:p w:rsidR="00F45516" w:rsidRPr="002900C6" w:rsidRDefault="00F45516" w:rsidP="002900C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3" w:type="dxa"/>
            <w:tcBorders>
              <w:bottom w:val="single" w:sz="12" w:space="0" w:color="5B9BD5" w:themeColor="accent1"/>
              <w:right w:val="nil"/>
            </w:tcBorders>
            <w:shd w:val="clear" w:color="auto" w:fill="EDEDED" w:themeFill="accent3" w:themeFillTint="33"/>
          </w:tcPr>
          <w:p w:rsidR="00F45516" w:rsidRDefault="00F45516">
            <w:r>
              <w:rPr>
                <w:noProof/>
                <w:lang w:eastAsia="tr-TR"/>
              </w:rPr>
              <w:drawing>
                <wp:inline distT="0" distB="0" distL="0" distR="0" wp14:anchorId="17FEDBDE" wp14:editId="27458E2B">
                  <wp:extent cx="3291840" cy="1996440"/>
                  <wp:effectExtent l="0" t="0" r="3810" b="381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  <w:tc>
          <w:tcPr>
            <w:tcW w:w="5360" w:type="dxa"/>
            <w:tcBorders>
              <w:left w:val="nil"/>
              <w:bottom w:val="single" w:sz="12" w:space="0" w:color="5B9BD5" w:themeColor="accent1"/>
            </w:tcBorders>
            <w:shd w:val="clear" w:color="auto" w:fill="EDEDED" w:themeFill="accent3" w:themeFillTint="33"/>
          </w:tcPr>
          <w:p w:rsidR="00F45516" w:rsidRDefault="00F45516">
            <w:r>
              <w:rPr>
                <w:noProof/>
                <w:lang w:eastAsia="tr-TR"/>
              </w:rPr>
              <w:drawing>
                <wp:inline distT="0" distB="0" distL="0" distR="0" wp14:anchorId="326BDC24" wp14:editId="6EE926B8">
                  <wp:extent cx="3307080" cy="2004060"/>
                  <wp:effectExtent l="0" t="0" r="7620" b="15240"/>
                  <wp:docPr id="2" name="Grafik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F45516" w:rsidTr="00DC409F">
        <w:tc>
          <w:tcPr>
            <w:tcW w:w="422" w:type="dxa"/>
            <w:vMerge/>
            <w:shd w:val="clear" w:color="auto" w:fill="EDEDED" w:themeFill="accent3" w:themeFillTint="33"/>
            <w:textDirection w:val="btLr"/>
          </w:tcPr>
          <w:p w:rsidR="00F45516" w:rsidRDefault="00F45516" w:rsidP="002900C6">
            <w:pPr>
              <w:ind w:left="113" w:right="113"/>
              <w:jc w:val="center"/>
              <w:rPr>
                <w:rFonts w:ascii="Times New Roman" w:hAnsi="Times New Roman" w:cs="Times New Roman"/>
                <w:color w:val="C00000"/>
                <w:sz w:val="24"/>
              </w:rPr>
            </w:pPr>
          </w:p>
        </w:tc>
        <w:tc>
          <w:tcPr>
            <w:tcW w:w="5353" w:type="dxa"/>
            <w:tcBorders>
              <w:top w:val="single" w:sz="12" w:space="0" w:color="5B9BD5" w:themeColor="accent1"/>
              <w:bottom w:val="nil"/>
              <w:right w:val="nil"/>
            </w:tcBorders>
            <w:shd w:val="clear" w:color="auto" w:fill="EDEDED" w:themeFill="accent3" w:themeFillTint="33"/>
          </w:tcPr>
          <w:p w:rsidR="00F45516" w:rsidRDefault="00F45516">
            <w:pPr>
              <w:rPr>
                <w:noProof/>
                <w:lang w:eastAsia="tr-TR"/>
              </w:rPr>
            </w:pPr>
          </w:p>
        </w:tc>
        <w:tc>
          <w:tcPr>
            <w:tcW w:w="5360" w:type="dxa"/>
            <w:tcBorders>
              <w:top w:val="single" w:sz="12" w:space="0" w:color="5B9BD5" w:themeColor="accent1"/>
              <w:left w:val="nil"/>
              <w:bottom w:val="nil"/>
            </w:tcBorders>
            <w:shd w:val="clear" w:color="auto" w:fill="EDEDED" w:themeFill="accent3" w:themeFillTint="33"/>
          </w:tcPr>
          <w:p w:rsidR="00F45516" w:rsidRDefault="00F45516">
            <w:pPr>
              <w:rPr>
                <w:noProof/>
                <w:lang w:eastAsia="tr-TR"/>
              </w:rPr>
            </w:pPr>
          </w:p>
        </w:tc>
      </w:tr>
      <w:tr w:rsidR="00F45516" w:rsidTr="00DC409F">
        <w:trPr>
          <w:trHeight w:val="3180"/>
        </w:trPr>
        <w:tc>
          <w:tcPr>
            <w:tcW w:w="422" w:type="dxa"/>
            <w:vMerge/>
            <w:shd w:val="clear" w:color="auto" w:fill="EDEDED" w:themeFill="accent3" w:themeFillTint="33"/>
          </w:tcPr>
          <w:p w:rsidR="00F45516" w:rsidRDefault="00F45516"/>
        </w:tc>
        <w:tc>
          <w:tcPr>
            <w:tcW w:w="5353" w:type="dxa"/>
            <w:tcBorders>
              <w:top w:val="nil"/>
              <w:bottom w:val="nil"/>
              <w:right w:val="nil"/>
            </w:tcBorders>
            <w:shd w:val="clear" w:color="auto" w:fill="EDEDED" w:themeFill="accent3" w:themeFillTint="33"/>
          </w:tcPr>
          <w:p w:rsidR="00F45516" w:rsidRDefault="00F45516">
            <w:r>
              <w:rPr>
                <w:noProof/>
                <w:lang w:eastAsia="tr-TR"/>
              </w:rPr>
              <w:drawing>
                <wp:inline distT="0" distB="0" distL="0" distR="0" wp14:anchorId="017F524A" wp14:editId="0C8494A9">
                  <wp:extent cx="3291840" cy="1874520"/>
                  <wp:effectExtent l="0" t="0" r="3810" b="11430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</w:tcBorders>
            <w:shd w:val="clear" w:color="auto" w:fill="EDEDED" w:themeFill="accent3" w:themeFillTint="33"/>
          </w:tcPr>
          <w:p w:rsidR="00F45516" w:rsidRDefault="00F45516">
            <w:r>
              <w:rPr>
                <w:noProof/>
                <w:lang w:eastAsia="tr-TR"/>
              </w:rPr>
              <w:drawing>
                <wp:inline distT="0" distB="0" distL="0" distR="0" wp14:anchorId="5547DE94" wp14:editId="4132A82C">
                  <wp:extent cx="3307080" cy="1874520"/>
                  <wp:effectExtent l="0" t="0" r="7620" b="11430"/>
                  <wp:docPr id="5" name="Grafik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F45516" w:rsidTr="00DC409F">
        <w:tc>
          <w:tcPr>
            <w:tcW w:w="422" w:type="dxa"/>
            <w:vMerge/>
            <w:shd w:val="clear" w:color="auto" w:fill="EDEDED" w:themeFill="accent3" w:themeFillTint="33"/>
          </w:tcPr>
          <w:p w:rsidR="00F45516" w:rsidRDefault="00F45516"/>
        </w:tc>
        <w:tc>
          <w:tcPr>
            <w:tcW w:w="5353" w:type="dxa"/>
            <w:tcBorders>
              <w:top w:val="nil"/>
              <w:right w:val="nil"/>
            </w:tcBorders>
            <w:shd w:val="clear" w:color="auto" w:fill="EDEDED" w:themeFill="accent3" w:themeFillTint="33"/>
          </w:tcPr>
          <w:p w:rsidR="00F45516" w:rsidRDefault="00F45516">
            <w:r>
              <w:rPr>
                <w:noProof/>
                <w:lang w:eastAsia="tr-TR"/>
              </w:rPr>
              <w:drawing>
                <wp:inline distT="0" distB="0" distL="0" distR="0" wp14:anchorId="4F6A7E65" wp14:editId="437FBD6F">
                  <wp:extent cx="3291840" cy="2004060"/>
                  <wp:effectExtent l="0" t="0" r="3810" b="15240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5360" w:type="dxa"/>
            <w:tcBorders>
              <w:top w:val="nil"/>
              <w:left w:val="nil"/>
            </w:tcBorders>
            <w:shd w:val="clear" w:color="auto" w:fill="EDEDED" w:themeFill="accent3" w:themeFillTint="33"/>
            <w:vAlign w:val="center"/>
          </w:tcPr>
          <w:p w:rsidR="00F45516" w:rsidRDefault="007620D0" w:rsidP="007620D0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497B6430" wp14:editId="659A15BE">
                  <wp:extent cx="1760220" cy="995363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995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C6" w:rsidTr="00DC409F">
        <w:tblPrEx>
          <w:tblCellMar>
            <w:left w:w="108" w:type="dxa"/>
            <w:right w:w="108" w:type="dxa"/>
          </w:tblCellMar>
        </w:tblPrEx>
        <w:tc>
          <w:tcPr>
            <w:tcW w:w="422" w:type="dxa"/>
            <w:shd w:val="clear" w:color="auto" w:fill="EDEDED" w:themeFill="accent3" w:themeFillTint="33"/>
          </w:tcPr>
          <w:p w:rsidR="002900C6" w:rsidRDefault="002900C6"/>
        </w:tc>
        <w:tc>
          <w:tcPr>
            <w:tcW w:w="10713" w:type="dxa"/>
            <w:gridSpan w:val="2"/>
            <w:shd w:val="clear" w:color="auto" w:fill="EDEDED" w:themeFill="accent3" w:themeFillTint="33"/>
            <w:vAlign w:val="center"/>
          </w:tcPr>
          <w:p w:rsidR="002900C6" w:rsidRPr="00F96767" w:rsidRDefault="00F80371" w:rsidP="007620D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96767">
              <w:rPr>
                <w:rFonts w:ascii="Times New Roman" w:hAnsi="Times New Roman" w:cs="Times New Roman"/>
                <w:b/>
                <w:sz w:val="24"/>
                <w:lang w:val="en-US"/>
              </w:rPr>
              <w:t>Concentration of Dye (mg</w:t>
            </w:r>
            <w:r w:rsidR="00E842FF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="002900C6" w:rsidRPr="00F96767">
              <w:rPr>
                <w:rFonts w:ascii="Times New Roman" w:hAnsi="Times New Roman" w:cs="Times New Roman"/>
                <w:b/>
                <w:sz w:val="24"/>
                <w:lang w:val="en-US"/>
              </w:rPr>
              <w:t>L</w:t>
            </w:r>
            <w:r w:rsidRPr="00F96767">
              <w:rPr>
                <w:rFonts w:ascii="Times New Roman" w:hAnsi="Times New Roman" w:cs="Times New Roman"/>
                <w:b/>
                <w:sz w:val="24"/>
                <w:vertAlign w:val="superscript"/>
                <w:lang w:val="en-US"/>
              </w:rPr>
              <w:t>-</w:t>
            </w:r>
            <w:r w:rsidR="002900C6" w:rsidRPr="00F96767">
              <w:rPr>
                <w:rFonts w:ascii="Times New Roman" w:hAnsi="Times New Roman" w:cs="Times New Roman"/>
                <w:b/>
                <w:sz w:val="24"/>
                <w:lang w:val="en-US"/>
              </w:rPr>
              <w:t>)</w:t>
            </w:r>
          </w:p>
        </w:tc>
      </w:tr>
    </w:tbl>
    <w:p w:rsidR="00431D2F" w:rsidRDefault="00431D2F">
      <w:bookmarkStart w:id="0" w:name="_GoBack"/>
      <w:bookmarkEnd w:id="0"/>
    </w:p>
    <w:sectPr w:rsidR="00431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9D"/>
    <w:rsid w:val="000F7072"/>
    <w:rsid w:val="002900C6"/>
    <w:rsid w:val="002B329D"/>
    <w:rsid w:val="00431D2F"/>
    <w:rsid w:val="007620D0"/>
    <w:rsid w:val="00A51BB7"/>
    <w:rsid w:val="00B3136E"/>
    <w:rsid w:val="00B66E12"/>
    <w:rsid w:val="00C54035"/>
    <w:rsid w:val="00CF23BF"/>
    <w:rsid w:val="00DC409F"/>
    <w:rsid w:val="00DD63A8"/>
    <w:rsid w:val="00E842FF"/>
    <w:rsid w:val="00F27D6F"/>
    <w:rsid w:val="00F45516"/>
    <w:rsid w:val="00F80371"/>
    <w:rsid w:val="00F9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96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as&#305;m%20yay&#305;n\tabl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as&#305;m%20yay&#305;n\tabl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as&#305;m%20yay&#305;n\tabl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cap="all" spc="12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cap="none" baseline="0">
                <a:effectLst/>
              </a:rPr>
              <a:t>Free</a:t>
            </a:r>
            <a:r>
              <a:rPr lang="tr-TR" sz="1000" b="0" i="1" cap="none" baseline="0">
                <a:effectLst/>
              </a:rPr>
              <a:t> M. Esculenta</a:t>
            </a:r>
            <a:endParaRPr lang="tr-TR" sz="1000" cap="none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cap="all" spc="120" normalizeH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tr-TR" sz="1200"/>
          </a:p>
        </c:rich>
      </c:tx>
      <c:layout>
        <c:manualLayout>
          <c:xMode val="edge"/>
          <c:yMode val="edge"/>
          <c:x val="0.57253086419753096"/>
          <c:y val="8.905852417302799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93562263050452"/>
          <c:y val="7.3346055979643776E-2"/>
          <c:w val="0.82110673665791778"/>
          <c:h val="0.78544358958946925"/>
        </c:manualLayout>
      </c:layout>
      <c:scatterChart>
        <c:scatterStyle val="lineMarker"/>
        <c:varyColors val="0"/>
        <c:ser>
          <c:idx val="0"/>
          <c:order val="0"/>
          <c:tx>
            <c:v>Biyosorption</c:v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Sayfa2!$B$1:$F$1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Sayfa2!$B$2:$F$2</c:f>
              <c:numCache>
                <c:formatCode>General</c:formatCode>
                <c:ptCount val="5"/>
                <c:pt idx="0">
                  <c:v>17.57</c:v>
                </c:pt>
                <c:pt idx="1">
                  <c:v>21.09</c:v>
                </c:pt>
                <c:pt idx="2">
                  <c:v>21.26</c:v>
                </c:pt>
                <c:pt idx="3">
                  <c:v>22.8</c:v>
                </c:pt>
                <c:pt idx="4">
                  <c:v>29.51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451-4995-BEB5-B56E3F619DA9}"/>
            </c:ext>
          </c:extLst>
        </c:ser>
        <c:ser>
          <c:idx val="1"/>
          <c:order val="1"/>
          <c:tx>
            <c:v>Biodegredation</c:v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Sayfa2!$B$1:$F$1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Sayfa2!$B$3:$F$3</c:f>
              <c:numCache>
                <c:formatCode>General</c:formatCode>
                <c:ptCount val="5"/>
                <c:pt idx="0">
                  <c:v>68.290000000000006</c:v>
                </c:pt>
                <c:pt idx="1">
                  <c:v>62.58</c:v>
                </c:pt>
                <c:pt idx="2">
                  <c:v>50.92</c:v>
                </c:pt>
                <c:pt idx="3">
                  <c:v>47.58</c:v>
                </c:pt>
                <c:pt idx="4">
                  <c:v>31.24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451-4995-BEB5-B56E3F619DA9}"/>
            </c:ext>
          </c:extLst>
        </c:ser>
        <c:ser>
          <c:idx val="2"/>
          <c:order val="2"/>
          <c:tx>
            <c:v>Biological Removal</c:v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Sayfa2!$B$1:$F$1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Sayfa2!$B$4:$F$4</c:f>
              <c:numCache>
                <c:formatCode>General</c:formatCode>
                <c:ptCount val="5"/>
                <c:pt idx="0">
                  <c:v>85.86</c:v>
                </c:pt>
                <c:pt idx="1">
                  <c:v>83.67</c:v>
                </c:pt>
                <c:pt idx="2">
                  <c:v>72.180000000000007</c:v>
                </c:pt>
                <c:pt idx="3">
                  <c:v>70.38</c:v>
                </c:pt>
                <c:pt idx="4">
                  <c:v>60.76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451-4995-BEB5-B56E3F619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964032"/>
        <c:axId val="162471936"/>
      </c:scatterChart>
      <c:valAx>
        <c:axId val="16196403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1936"/>
        <c:crosses val="autoZero"/>
        <c:crossBetween val="midCat"/>
      </c:valAx>
      <c:valAx>
        <c:axId val="16247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1964032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cap="none" baseline="0">
                <a:effectLst/>
              </a:rPr>
              <a:t>Free</a:t>
            </a:r>
            <a:r>
              <a:rPr lang="tr-TR" sz="1000" b="0" i="1" cap="none" baseline="0">
                <a:effectLst/>
              </a:rPr>
              <a:t> C. Pilicatilis</a:t>
            </a:r>
            <a:endParaRPr lang="tr-TR" sz="1000" cap="none">
              <a:effectLst/>
            </a:endParaRPr>
          </a:p>
        </c:rich>
      </c:tx>
      <c:layout>
        <c:manualLayout>
          <c:xMode val="edge"/>
          <c:yMode val="edge"/>
          <c:x val="0.58885361104055545"/>
          <c:y val="0.1077313054499366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955888578443823"/>
          <c:y val="8.0164765525982257E-2"/>
          <c:w val="0.84113235845519307"/>
          <c:h val="0.77282466592816579"/>
        </c:manualLayout>
      </c:layout>
      <c:scatterChart>
        <c:scatterStyle val="lineMarker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Sayfa2!$B$6:$F$6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Sayfa2!$B$7:$F$7</c:f>
              <c:numCache>
                <c:formatCode>General</c:formatCode>
                <c:ptCount val="5"/>
                <c:pt idx="0">
                  <c:v>16.89</c:v>
                </c:pt>
                <c:pt idx="1">
                  <c:v>19.21</c:v>
                </c:pt>
                <c:pt idx="2">
                  <c:v>19.59</c:v>
                </c:pt>
                <c:pt idx="3">
                  <c:v>19.78</c:v>
                </c:pt>
                <c:pt idx="4">
                  <c:v>20.98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2CC-4F76-BA79-F33AE0C422D3}"/>
            </c:ext>
          </c:extLst>
        </c:ser>
        <c:ser>
          <c:idx val="1"/>
          <c:order val="1"/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Sayfa2!$B$6:$F$6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Sayfa2!$B$8:$F$8</c:f>
              <c:numCache>
                <c:formatCode>General</c:formatCode>
                <c:ptCount val="5"/>
                <c:pt idx="0">
                  <c:v>52.59</c:v>
                </c:pt>
                <c:pt idx="1">
                  <c:v>48.33</c:v>
                </c:pt>
                <c:pt idx="2">
                  <c:v>24.68</c:v>
                </c:pt>
                <c:pt idx="3">
                  <c:v>8.6300000000000008</c:v>
                </c:pt>
                <c:pt idx="4">
                  <c:v>5.88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2CC-4F76-BA79-F33AE0C422D3}"/>
            </c:ext>
          </c:extLst>
        </c:ser>
        <c:ser>
          <c:idx val="2"/>
          <c:order val="2"/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Sayfa2!$B$6:$F$6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Sayfa2!$B$9:$F$9</c:f>
              <c:numCache>
                <c:formatCode>General</c:formatCode>
                <c:ptCount val="5"/>
                <c:pt idx="0">
                  <c:v>69.48</c:v>
                </c:pt>
                <c:pt idx="1">
                  <c:v>67.540000000000006</c:v>
                </c:pt>
                <c:pt idx="2">
                  <c:v>44.27</c:v>
                </c:pt>
                <c:pt idx="3">
                  <c:v>28.41</c:v>
                </c:pt>
                <c:pt idx="4">
                  <c:v>27.96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2CC-4F76-BA79-F33AE0C42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473088"/>
        <c:axId val="162473664"/>
      </c:scatterChart>
      <c:valAx>
        <c:axId val="16247308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3664"/>
        <c:crosses val="autoZero"/>
        <c:crossBetween val="midCat"/>
      </c:valAx>
      <c:valAx>
        <c:axId val="16247366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3088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cap="none" baseline="0">
                <a:effectLst/>
              </a:rPr>
              <a:t>Free</a:t>
            </a:r>
            <a:r>
              <a:rPr lang="tr-TR" sz="1000" b="0" i="1" cap="none" baseline="0">
                <a:effectLst/>
              </a:rPr>
              <a:t> P. Ostreatus</a:t>
            </a:r>
            <a:endParaRPr lang="tr-TR" sz="1000" cap="none">
              <a:effectLst/>
            </a:endParaRPr>
          </a:p>
        </c:rich>
      </c:tx>
      <c:layout>
        <c:manualLayout>
          <c:xMode val="edge"/>
          <c:yMode val="edge"/>
          <c:x val="0.5613617308253136"/>
          <c:y val="9.485094850948509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006610284825508"/>
          <c:y val="7.2154471544715437E-2"/>
          <c:w val="0.82110673665791778"/>
          <c:h val="0.77067569297740224"/>
        </c:manualLayout>
      </c:layout>
      <c:scatterChart>
        <c:scatterStyle val="lineMarker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Sayfa2!$B$11:$F$11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Sayfa2!$B$12:$F$12</c:f>
              <c:numCache>
                <c:formatCode>General</c:formatCode>
                <c:ptCount val="5"/>
                <c:pt idx="0">
                  <c:v>14.7</c:v>
                </c:pt>
                <c:pt idx="1">
                  <c:v>15.36</c:v>
                </c:pt>
                <c:pt idx="2">
                  <c:v>16.809999999999999</c:v>
                </c:pt>
                <c:pt idx="3">
                  <c:v>23.45</c:v>
                </c:pt>
                <c:pt idx="4">
                  <c:v>27.65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77D-4B35-A99B-0264470A5A84}"/>
            </c:ext>
          </c:extLst>
        </c:ser>
        <c:ser>
          <c:idx val="1"/>
          <c:order val="1"/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Sayfa2!$B$11:$F$11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Sayfa2!$B$13:$F$13</c:f>
              <c:numCache>
                <c:formatCode>General</c:formatCode>
                <c:ptCount val="5"/>
                <c:pt idx="0">
                  <c:v>50.08</c:v>
                </c:pt>
                <c:pt idx="1">
                  <c:v>47.66</c:v>
                </c:pt>
                <c:pt idx="2">
                  <c:v>37.409999999999997</c:v>
                </c:pt>
                <c:pt idx="3">
                  <c:v>11.35</c:v>
                </c:pt>
                <c:pt idx="4">
                  <c:v>1.38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77D-4B35-A99B-0264470A5A84}"/>
            </c:ext>
          </c:extLst>
        </c:ser>
        <c:ser>
          <c:idx val="2"/>
          <c:order val="2"/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Sayfa2!$B$11:$F$11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Sayfa2!$B$14:$F$14</c:f>
              <c:numCache>
                <c:formatCode>General</c:formatCode>
                <c:ptCount val="5"/>
                <c:pt idx="0">
                  <c:v>64.77</c:v>
                </c:pt>
                <c:pt idx="1">
                  <c:v>63.02</c:v>
                </c:pt>
                <c:pt idx="2">
                  <c:v>54.22</c:v>
                </c:pt>
                <c:pt idx="3">
                  <c:v>34.799999999999997</c:v>
                </c:pt>
                <c:pt idx="4">
                  <c:v>29.03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77D-4B35-A99B-0264470A5A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475392"/>
        <c:axId val="162476544"/>
      </c:scatterChart>
      <c:valAx>
        <c:axId val="16247539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6544"/>
        <c:crosses val="autoZero"/>
        <c:crossBetween val="midCat"/>
      </c:valAx>
      <c:valAx>
        <c:axId val="16247654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53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cap="none" baseline="0">
                <a:effectLst/>
              </a:rPr>
              <a:t>Free</a:t>
            </a:r>
            <a:r>
              <a:rPr lang="tr-TR" sz="1000" b="0" i="1" cap="none" baseline="0">
                <a:effectLst/>
              </a:rPr>
              <a:t> T. Versicolor</a:t>
            </a:r>
            <a:endParaRPr lang="tr-TR" sz="1000" cap="none">
              <a:effectLst/>
            </a:endParaRPr>
          </a:p>
        </c:rich>
      </c:tx>
      <c:layout>
        <c:manualLayout>
          <c:xMode val="edge"/>
          <c:yMode val="edge"/>
          <c:x val="0.5802420866746496"/>
          <c:y val="6.775067750677506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955888578443823"/>
          <c:y val="4.5054200542005415E-2"/>
          <c:w val="0.84113235845519307"/>
          <c:h val="0.79777596398011219"/>
        </c:manualLayout>
      </c:layout>
      <c:scatterChart>
        <c:scatterStyle val="lineMarker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Sayfa2!$B$16:$F$16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Sayfa2!$B$17:$F$17</c:f>
              <c:numCache>
                <c:formatCode>General</c:formatCode>
                <c:ptCount val="5"/>
                <c:pt idx="0">
                  <c:v>18.37</c:v>
                </c:pt>
                <c:pt idx="1">
                  <c:v>19.86</c:v>
                </c:pt>
                <c:pt idx="2">
                  <c:v>21.76</c:v>
                </c:pt>
                <c:pt idx="3">
                  <c:v>24.26</c:v>
                </c:pt>
                <c:pt idx="4">
                  <c:v>27.08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8ED-4EA3-A615-404800246B75}"/>
            </c:ext>
          </c:extLst>
        </c:ser>
        <c:ser>
          <c:idx val="1"/>
          <c:order val="1"/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Sayfa2!$B$16:$F$16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Sayfa2!$B$18:$F$18</c:f>
              <c:numCache>
                <c:formatCode>General</c:formatCode>
                <c:ptCount val="5"/>
                <c:pt idx="0">
                  <c:v>66.28</c:v>
                </c:pt>
                <c:pt idx="1">
                  <c:v>63.27</c:v>
                </c:pt>
                <c:pt idx="2">
                  <c:v>57.61</c:v>
                </c:pt>
                <c:pt idx="3">
                  <c:v>43.28</c:v>
                </c:pt>
                <c:pt idx="4">
                  <c:v>33.270000000000003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8ED-4EA3-A615-404800246B75}"/>
            </c:ext>
          </c:extLst>
        </c:ser>
        <c:ser>
          <c:idx val="2"/>
          <c:order val="2"/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Sayfa2!$B$16:$F$16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Sayfa2!$B$19:$F$19</c:f>
              <c:numCache>
                <c:formatCode>General</c:formatCode>
                <c:ptCount val="5"/>
                <c:pt idx="0">
                  <c:v>84.66</c:v>
                </c:pt>
                <c:pt idx="1">
                  <c:v>83.12</c:v>
                </c:pt>
                <c:pt idx="2">
                  <c:v>79.37</c:v>
                </c:pt>
                <c:pt idx="3">
                  <c:v>67.540000000000006</c:v>
                </c:pt>
                <c:pt idx="4">
                  <c:v>60.35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C8ED-4EA3-A615-404800246B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478272"/>
        <c:axId val="162478848"/>
      </c:scatterChart>
      <c:valAx>
        <c:axId val="1624782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8848"/>
        <c:crosses val="autoZero"/>
        <c:crossBetween val="midCat"/>
      </c:valAx>
      <c:valAx>
        <c:axId val="1624788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478272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cap="none" baseline="0">
                <a:effectLst/>
              </a:rPr>
              <a:t>Free</a:t>
            </a:r>
            <a:r>
              <a:rPr lang="tr-TR" sz="1000" b="0" i="1" cap="none" baseline="0">
                <a:effectLst/>
              </a:rPr>
              <a:t> M. Esculenta- </a:t>
            </a:r>
            <a:endParaRPr lang="tr-TR" sz="1000" cap="none">
              <a:effectLst/>
            </a:endParaRPr>
          </a:p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1" cap="none" baseline="0">
                <a:effectLst/>
              </a:rPr>
              <a:t>T. Versicolor </a:t>
            </a:r>
            <a:r>
              <a:rPr lang="tr-TR" sz="1000" b="0" i="0" cap="none" baseline="0">
                <a:effectLst/>
              </a:rPr>
              <a:t>(Mix)</a:t>
            </a:r>
            <a:endParaRPr lang="tr-TR" sz="1000" i="0" cap="none">
              <a:effectLst/>
            </a:endParaRPr>
          </a:p>
        </c:rich>
      </c:tx>
      <c:layout>
        <c:manualLayout>
          <c:xMode val="edge"/>
          <c:yMode val="edge"/>
          <c:x val="0.55013518275493345"/>
          <c:y val="8.238276299112801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164017692232916"/>
          <c:y val="5.4816223067173639E-2"/>
          <c:w val="0.82110673665791778"/>
          <c:h val="0.77916180154286796"/>
        </c:manualLayout>
      </c:layout>
      <c:scatterChart>
        <c:scatterStyle val="lineMarker"/>
        <c:varyColors val="0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Sayfa2!$B$21:$F$21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Sayfa2!$B$22:$F$22</c:f>
              <c:numCache>
                <c:formatCode>General</c:formatCode>
                <c:ptCount val="5"/>
                <c:pt idx="0">
                  <c:v>17.170000000000002</c:v>
                </c:pt>
                <c:pt idx="1">
                  <c:v>18.260000000000002</c:v>
                </c:pt>
                <c:pt idx="2">
                  <c:v>21.22</c:v>
                </c:pt>
                <c:pt idx="3">
                  <c:v>22.74</c:v>
                </c:pt>
                <c:pt idx="4">
                  <c:v>27.11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F0D-41A8-8573-B30F7523883E}"/>
            </c:ext>
          </c:extLst>
        </c:ser>
        <c:ser>
          <c:idx val="1"/>
          <c:order val="1"/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xVal>
            <c:numRef>
              <c:f>Sayfa2!$B$21:$F$21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Sayfa2!$B$23:$F$23</c:f>
              <c:numCache>
                <c:formatCode>General</c:formatCode>
                <c:ptCount val="5"/>
                <c:pt idx="0">
                  <c:v>75.31</c:v>
                </c:pt>
                <c:pt idx="1">
                  <c:v>67.349999999999994</c:v>
                </c:pt>
                <c:pt idx="2">
                  <c:v>42.23</c:v>
                </c:pt>
                <c:pt idx="3">
                  <c:v>20.98</c:v>
                </c:pt>
                <c:pt idx="4">
                  <c:v>11.25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F0D-41A8-8573-B30F7523883E}"/>
            </c:ext>
          </c:extLst>
        </c:ser>
        <c:ser>
          <c:idx val="2"/>
          <c:order val="2"/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triangle"/>
            <c:size val="6"/>
            <c:spPr>
              <a:solidFill>
                <a:schemeClr val="accent3"/>
              </a:solidFill>
              <a:ln w="9525">
                <a:solidFill>
                  <a:schemeClr val="accent3"/>
                </a:solidFill>
                <a:round/>
              </a:ln>
              <a:effectLst/>
            </c:spPr>
          </c:marker>
          <c:xVal>
            <c:numRef>
              <c:f>Sayfa2!$B$21:$F$21</c:f>
              <c:numCache>
                <c:formatCode>General</c:formatCode>
                <c:ptCount val="5"/>
                <c:pt idx="0">
                  <c:v>10</c:v>
                </c:pt>
                <c:pt idx="1">
                  <c:v>25</c:v>
                </c:pt>
                <c:pt idx="2">
                  <c:v>50</c:v>
                </c:pt>
                <c:pt idx="3">
                  <c:v>75</c:v>
                </c:pt>
                <c:pt idx="4">
                  <c:v>100</c:v>
                </c:pt>
              </c:numCache>
            </c:numRef>
          </c:xVal>
          <c:yVal>
            <c:numRef>
              <c:f>Sayfa2!$B$24:$F$24</c:f>
              <c:numCache>
                <c:formatCode>General</c:formatCode>
                <c:ptCount val="5"/>
                <c:pt idx="0">
                  <c:v>92.47</c:v>
                </c:pt>
                <c:pt idx="1">
                  <c:v>85.61</c:v>
                </c:pt>
                <c:pt idx="2">
                  <c:v>63.46</c:v>
                </c:pt>
                <c:pt idx="3">
                  <c:v>43.72</c:v>
                </c:pt>
                <c:pt idx="4">
                  <c:v>38.36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F0D-41A8-8573-B30F752388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2510464"/>
        <c:axId val="162512192"/>
      </c:scatterChart>
      <c:valAx>
        <c:axId val="16251046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512192"/>
        <c:crosses val="autoZero"/>
        <c:crossBetween val="midCat"/>
      </c:valAx>
      <c:valAx>
        <c:axId val="16251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510464"/>
        <c:crosses val="autoZero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KAYA</dc:creator>
  <cp:keywords/>
  <dc:description/>
  <cp:lastModifiedBy>Canan Onac</cp:lastModifiedBy>
  <cp:revision>13</cp:revision>
  <dcterms:created xsi:type="dcterms:W3CDTF">2023-07-05T12:13:00Z</dcterms:created>
  <dcterms:modified xsi:type="dcterms:W3CDTF">2023-10-26T11:34:00Z</dcterms:modified>
</cp:coreProperties>
</file>