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740A9" w14:textId="25A803E9" w:rsidR="00AC3EFC" w:rsidRDefault="00AC3EFC" w:rsidP="00AC3EFC">
      <w:pPr>
        <w:rPr>
          <w:kern w:val="0"/>
          <w:sz w:val="24"/>
          <w:szCs w:val="24"/>
          <w:lang w:eastAsia="zh-Hans" w:bidi="ar"/>
        </w:rPr>
      </w:pPr>
      <w:r>
        <w:t xml:space="preserve">The </w:t>
      </w:r>
      <w:r w:rsidRPr="00E05C1D">
        <w:t>manuscript submission number: BJC-A3345614.</w:t>
      </w:r>
    </w:p>
    <w:p w14:paraId="1F004C19" w14:textId="13F785DE" w:rsidR="00140B5A" w:rsidRDefault="002771A1">
      <w:pPr>
        <w:jc w:val="center"/>
        <w:rPr>
          <w:kern w:val="0"/>
          <w:sz w:val="24"/>
          <w:szCs w:val="24"/>
          <w:lang w:eastAsia="zh-Hans" w:bidi="ar"/>
        </w:rPr>
      </w:pPr>
      <w:r>
        <w:rPr>
          <w:kern w:val="0"/>
          <w:sz w:val="24"/>
          <w:szCs w:val="24"/>
          <w:lang w:eastAsia="zh-Hans" w:bidi="ar"/>
        </w:rPr>
        <w:t>Supplementary Appendix</w:t>
      </w:r>
    </w:p>
    <w:p w14:paraId="1F004C1A" w14:textId="77777777" w:rsidR="00140B5A" w:rsidRDefault="00140B5A">
      <w:pPr>
        <w:jc w:val="center"/>
        <w:rPr>
          <w:kern w:val="0"/>
          <w:sz w:val="24"/>
          <w:szCs w:val="24"/>
          <w:lang w:eastAsia="zh-Hans" w:bidi="ar"/>
        </w:rPr>
      </w:pPr>
    </w:p>
    <w:p w14:paraId="1F004C1B" w14:textId="77777777" w:rsidR="00140B5A" w:rsidRDefault="002771A1">
      <w:pPr>
        <w:rPr>
          <w:b/>
          <w:bCs/>
          <w:kern w:val="0"/>
          <w:sz w:val="24"/>
          <w:szCs w:val="24"/>
          <w:lang w:eastAsia="zh-Hans" w:bidi="ar"/>
        </w:rPr>
      </w:pPr>
      <w:r>
        <w:rPr>
          <w:rFonts w:hint="eastAsia"/>
          <w:b/>
          <w:bCs/>
          <w:kern w:val="0"/>
          <w:sz w:val="24"/>
          <w:szCs w:val="24"/>
          <w:lang w:eastAsia="zh-Hans" w:bidi="ar"/>
        </w:rPr>
        <w:t xml:space="preserve">Efficacy and safety of </w:t>
      </w:r>
      <w:proofErr w:type="spellStart"/>
      <w:r>
        <w:rPr>
          <w:rFonts w:hint="eastAsia"/>
          <w:b/>
          <w:bCs/>
          <w:kern w:val="0"/>
          <w:sz w:val="24"/>
          <w:szCs w:val="24"/>
          <w:lang w:eastAsia="zh-Hans" w:bidi="ar"/>
        </w:rPr>
        <w:t>Genolimzumab</w:t>
      </w:r>
      <w:proofErr w:type="spellEnd"/>
      <w:r>
        <w:rPr>
          <w:rFonts w:hint="eastAsia"/>
          <w:b/>
          <w:bCs/>
          <w:kern w:val="0"/>
          <w:sz w:val="24"/>
          <w:szCs w:val="24"/>
          <w:lang w:eastAsia="zh-Hans" w:bidi="ar"/>
        </w:rPr>
        <w:t xml:space="preserve"> (GB226) in previously treated PD-L1-Positive recurrent or metastatic cervical cancer: a </w:t>
      </w:r>
      <w:proofErr w:type="spellStart"/>
      <w:r>
        <w:rPr>
          <w:rFonts w:hint="eastAsia"/>
          <w:b/>
          <w:bCs/>
          <w:kern w:val="0"/>
          <w:sz w:val="24"/>
          <w:szCs w:val="24"/>
          <w:lang w:eastAsia="zh-Hans" w:bidi="ar"/>
        </w:rPr>
        <w:t>multicentre</w:t>
      </w:r>
      <w:proofErr w:type="spellEnd"/>
      <w:r>
        <w:rPr>
          <w:rFonts w:hint="eastAsia"/>
          <w:b/>
          <w:bCs/>
          <w:kern w:val="0"/>
          <w:sz w:val="24"/>
          <w:szCs w:val="24"/>
          <w:lang w:eastAsia="zh-Hans" w:bidi="ar"/>
        </w:rPr>
        <w:t xml:space="preserve">, open-label, single-arm, phase </w:t>
      </w:r>
      <w:r>
        <w:rPr>
          <w:rFonts w:hint="eastAsia"/>
          <w:b/>
          <w:bCs/>
          <w:kern w:val="0"/>
          <w:sz w:val="24"/>
          <w:szCs w:val="24"/>
          <w:lang w:eastAsia="zh-Hans" w:bidi="ar"/>
        </w:rPr>
        <w:t>Ⅱ</w:t>
      </w:r>
      <w:r>
        <w:rPr>
          <w:rFonts w:hint="eastAsia"/>
          <w:b/>
          <w:bCs/>
          <w:kern w:val="0"/>
          <w:sz w:val="24"/>
          <w:szCs w:val="24"/>
          <w:lang w:eastAsia="zh-Hans" w:bidi="ar"/>
        </w:rPr>
        <w:t xml:space="preserve"> study</w:t>
      </w:r>
    </w:p>
    <w:p w14:paraId="1F004C1C" w14:textId="77777777" w:rsidR="00140B5A" w:rsidRDefault="00140B5A">
      <w:pPr>
        <w:rPr>
          <w:kern w:val="0"/>
          <w:sz w:val="24"/>
          <w:szCs w:val="24"/>
          <w:lang w:eastAsia="zh-Hans" w:bidi="ar"/>
        </w:rPr>
      </w:pPr>
    </w:p>
    <w:p w14:paraId="1F004C1D" w14:textId="77777777" w:rsidR="00140B5A" w:rsidRDefault="002771A1">
      <w:pPr>
        <w:rPr>
          <w:kern w:val="0"/>
          <w:sz w:val="24"/>
          <w:szCs w:val="24"/>
          <w:lang w:eastAsia="zh-Hans" w:bidi="ar"/>
        </w:rPr>
      </w:pPr>
      <w:proofErr w:type="spellStart"/>
      <w:r>
        <w:rPr>
          <w:kern w:val="0"/>
          <w:sz w:val="24"/>
          <w:szCs w:val="24"/>
          <w:lang w:eastAsia="zh-Hans" w:bidi="ar"/>
        </w:rPr>
        <w:t>Jusheng</w:t>
      </w:r>
      <w:proofErr w:type="spellEnd"/>
      <w:r>
        <w:rPr>
          <w:kern w:val="0"/>
          <w:sz w:val="24"/>
          <w:szCs w:val="24"/>
          <w:lang w:eastAsia="zh-Hans" w:bidi="ar"/>
        </w:rPr>
        <w:t xml:space="preserve"> An, Mei Feng, Keqiang Zhang, </w:t>
      </w:r>
      <w:proofErr w:type="spellStart"/>
      <w:r>
        <w:rPr>
          <w:kern w:val="0"/>
          <w:sz w:val="24"/>
          <w:szCs w:val="24"/>
          <w:lang w:eastAsia="zh-Hans" w:bidi="ar"/>
        </w:rPr>
        <w:t>Jianqing</w:t>
      </w:r>
      <w:proofErr w:type="spellEnd"/>
      <w:r>
        <w:rPr>
          <w:kern w:val="0"/>
          <w:sz w:val="24"/>
          <w:szCs w:val="24"/>
          <w:lang w:eastAsia="zh-Hans" w:bidi="ar"/>
        </w:rPr>
        <w:t xml:space="preserve"> Zhu, </w:t>
      </w:r>
      <w:proofErr w:type="spellStart"/>
      <w:r>
        <w:rPr>
          <w:kern w:val="0"/>
          <w:sz w:val="24"/>
          <w:szCs w:val="24"/>
          <w:lang w:eastAsia="zh-Hans" w:bidi="ar"/>
        </w:rPr>
        <w:t>Aiqin</w:t>
      </w:r>
      <w:proofErr w:type="spellEnd"/>
      <w:r>
        <w:rPr>
          <w:kern w:val="0"/>
          <w:sz w:val="24"/>
          <w:szCs w:val="24"/>
          <w:lang w:eastAsia="zh-Hans" w:bidi="ar"/>
        </w:rPr>
        <w:t xml:space="preserve"> He, </w:t>
      </w:r>
      <w:proofErr w:type="spellStart"/>
      <w:r>
        <w:rPr>
          <w:kern w:val="0"/>
          <w:sz w:val="24"/>
          <w:szCs w:val="24"/>
          <w:lang w:eastAsia="zh-Hans" w:bidi="ar"/>
        </w:rPr>
        <w:t>Xiumin</w:t>
      </w:r>
      <w:proofErr w:type="spellEnd"/>
      <w:r>
        <w:rPr>
          <w:kern w:val="0"/>
          <w:sz w:val="24"/>
          <w:szCs w:val="24"/>
          <w:lang w:eastAsia="zh-Hans" w:bidi="ar"/>
        </w:rPr>
        <w:t xml:space="preserve"> Li, </w:t>
      </w:r>
      <w:proofErr w:type="spellStart"/>
      <w:r>
        <w:rPr>
          <w:kern w:val="0"/>
          <w:sz w:val="24"/>
          <w:szCs w:val="24"/>
          <w:lang w:eastAsia="zh-Hans" w:bidi="ar"/>
        </w:rPr>
        <w:t>Jin</w:t>
      </w:r>
      <w:proofErr w:type="spellEnd"/>
      <w:r>
        <w:rPr>
          <w:kern w:val="0"/>
          <w:sz w:val="24"/>
          <w:szCs w:val="24"/>
          <w:lang w:eastAsia="zh-Hans" w:bidi="ar"/>
        </w:rPr>
        <w:t xml:space="preserve"> Peng, </w:t>
      </w:r>
      <w:proofErr w:type="spellStart"/>
      <w:r>
        <w:rPr>
          <w:kern w:val="0"/>
          <w:sz w:val="24"/>
          <w:szCs w:val="24"/>
          <w:lang w:eastAsia="zh-Hans" w:bidi="ar"/>
        </w:rPr>
        <w:t>Xinwen</w:t>
      </w:r>
      <w:proofErr w:type="spellEnd"/>
      <w:r>
        <w:rPr>
          <w:kern w:val="0"/>
          <w:sz w:val="24"/>
          <w:szCs w:val="24"/>
          <w:lang w:eastAsia="zh-Hans" w:bidi="ar"/>
        </w:rPr>
        <w:t xml:space="preserve"> Wang, </w:t>
      </w:r>
      <w:proofErr w:type="spellStart"/>
      <w:r>
        <w:rPr>
          <w:kern w:val="0"/>
          <w:sz w:val="24"/>
          <w:szCs w:val="24"/>
          <w:lang w:eastAsia="zh-Hans" w:bidi="ar"/>
        </w:rPr>
        <w:t>Hongping</w:t>
      </w:r>
      <w:proofErr w:type="spellEnd"/>
      <w:r>
        <w:rPr>
          <w:kern w:val="0"/>
          <w:sz w:val="24"/>
          <w:szCs w:val="24"/>
          <w:lang w:eastAsia="zh-Hans" w:bidi="ar"/>
        </w:rPr>
        <w:t xml:space="preserve"> Zhang, </w:t>
      </w:r>
      <w:proofErr w:type="spellStart"/>
      <w:r>
        <w:rPr>
          <w:kern w:val="0"/>
          <w:sz w:val="24"/>
          <w:szCs w:val="24"/>
          <w:lang w:eastAsia="zh-Hans" w:bidi="ar"/>
        </w:rPr>
        <w:t>Weimin</w:t>
      </w:r>
      <w:proofErr w:type="spellEnd"/>
      <w:r>
        <w:rPr>
          <w:kern w:val="0"/>
          <w:sz w:val="24"/>
          <w:szCs w:val="24"/>
          <w:lang w:eastAsia="zh-Hans" w:bidi="ar"/>
        </w:rPr>
        <w:t xml:space="preserve"> Kong, Guiling Li, </w:t>
      </w:r>
      <w:proofErr w:type="spellStart"/>
      <w:r>
        <w:rPr>
          <w:kern w:val="0"/>
          <w:sz w:val="24"/>
          <w:szCs w:val="24"/>
          <w:lang w:eastAsia="zh-Hans" w:bidi="ar"/>
        </w:rPr>
        <w:t>Jianlin</w:t>
      </w:r>
      <w:proofErr w:type="spellEnd"/>
      <w:r>
        <w:rPr>
          <w:kern w:val="0"/>
          <w:sz w:val="24"/>
          <w:szCs w:val="24"/>
          <w:lang w:eastAsia="zh-Hans" w:bidi="ar"/>
        </w:rPr>
        <w:t xml:space="preserve"> Yuan, Hu Liu, </w:t>
      </w:r>
      <w:proofErr w:type="spellStart"/>
      <w:r>
        <w:rPr>
          <w:kern w:val="0"/>
          <w:sz w:val="24"/>
          <w:szCs w:val="24"/>
          <w:lang w:eastAsia="zh-Hans" w:bidi="ar"/>
        </w:rPr>
        <w:t>Shiying</w:t>
      </w:r>
      <w:proofErr w:type="spellEnd"/>
      <w:r>
        <w:rPr>
          <w:kern w:val="0"/>
          <w:sz w:val="24"/>
          <w:szCs w:val="24"/>
          <w:lang w:eastAsia="zh-Hans" w:bidi="ar"/>
        </w:rPr>
        <w:t xml:space="preserve"> Yu, </w:t>
      </w:r>
      <w:proofErr w:type="spellStart"/>
      <w:r>
        <w:rPr>
          <w:kern w:val="0"/>
          <w:sz w:val="24"/>
          <w:szCs w:val="24"/>
          <w:lang w:eastAsia="zh-Hans" w:bidi="ar"/>
        </w:rPr>
        <w:t>Liangfang</w:t>
      </w:r>
      <w:proofErr w:type="spellEnd"/>
      <w:r>
        <w:rPr>
          <w:kern w:val="0"/>
          <w:sz w:val="24"/>
          <w:szCs w:val="24"/>
          <w:lang w:eastAsia="zh-Hans" w:bidi="ar"/>
        </w:rPr>
        <w:t xml:space="preserve"> Shen, </w:t>
      </w:r>
      <w:proofErr w:type="spellStart"/>
      <w:r>
        <w:rPr>
          <w:kern w:val="0"/>
          <w:sz w:val="24"/>
          <w:szCs w:val="24"/>
          <w:lang w:eastAsia="zh-Hans" w:bidi="ar"/>
        </w:rPr>
        <w:t>Cailing</w:t>
      </w:r>
      <w:proofErr w:type="spellEnd"/>
      <w:r>
        <w:rPr>
          <w:kern w:val="0"/>
          <w:sz w:val="24"/>
          <w:szCs w:val="24"/>
          <w:lang w:eastAsia="zh-Hans" w:bidi="ar"/>
        </w:rPr>
        <w:t xml:space="preserve"> Ma, </w:t>
      </w:r>
      <w:proofErr w:type="spellStart"/>
      <w:r>
        <w:rPr>
          <w:kern w:val="0"/>
          <w:sz w:val="24"/>
          <w:szCs w:val="24"/>
          <w:lang w:eastAsia="zh-Hans" w:bidi="ar"/>
        </w:rPr>
        <w:t>Hongmin</w:t>
      </w:r>
      <w:proofErr w:type="spellEnd"/>
      <w:r>
        <w:rPr>
          <w:kern w:val="0"/>
          <w:sz w:val="24"/>
          <w:szCs w:val="24"/>
          <w:lang w:eastAsia="zh-Hans" w:bidi="ar"/>
        </w:rPr>
        <w:t xml:space="preserve"> Chen, Min Hao, Wenjun Cheng, </w:t>
      </w:r>
      <w:proofErr w:type="spellStart"/>
      <w:r>
        <w:rPr>
          <w:kern w:val="0"/>
          <w:sz w:val="24"/>
          <w:szCs w:val="24"/>
          <w:lang w:eastAsia="zh-Hans" w:bidi="ar"/>
        </w:rPr>
        <w:t>Wenxue</w:t>
      </w:r>
      <w:proofErr w:type="spellEnd"/>
      <w:r>
        <w:rPr>
          <w:kern w:val="0"/>
          <w:sz w:val="24"/>
          <w:szCs w:val="24"/>
          <w:lang w:eastAsia="zh-Hans" w:bidi="ar"/>
        </w:rPr>
        <w:t xml:space="preserve"> Zhang, Chao Deng, </w:t>
      </w:r>
      <w:proofErr w:type="spellStart"/>
      <w:r>
        <w:rPr>
          <w:kern w:val="0"/>
          <w:sz w:val="24"/>
          <w:szCs w:val="24"/>
          <w:lang w:eastAsia="zh-Hans" w:bidi="ar"/>
        </w:rPr>
        <w:t>Chunhong</w:t>
      </w:r>
      <w:proofErr w:type="spellEnd"/>
      <w:r>
        <w:rPr>
          <w:kern w:val="0"/>
          <w:sz w:val="24"/>
          <w:szCs w:val="24"/>
          <w:lang w:eastAsia="zh-Hans" w:bidi="ar"/>
        </w:rPr>
        <w:t xml:space="preserve"> Hu, Yi Huang, Jian Zhang, </w:t>
      </w:r>
      <w:proofErr w:type="spellStart"/>
      <w:r>
        <w:rPr>
          <w:kern w:val="0"/>
          <w:sz w:val="24"/>
          <w:szCs w:val="24"/>
          <w:lang w:eastAsia="zh-Hans" w:bidi="ar"/>
        </w:rPr>
        <w:t>Kairong</w:t>
      </w:r>
      <w:proofErr w:type="spellEnd"/>
      <w:r>
        <w:rPr>
          <w:kern w:val="0"/>
          <w:sz w:val="24"/>
          <w:szCs w:val="24"/>
          <w:lang w:eastAsia="zh-Hans" w:bidi="ar"/>
        </w:rPr>
        <w:t xml:space="preserve"> Huang, </w:t>
      </w:r>
      <w:proofErr w:type="spellStart"/>
      <w:r>
        <w:rPr>
          <w:kern w:val="0"/>
          <w:sz w:val="24"/>
          <w:szCs w:val="24"/>
          <w:lang w:eastAsia="zh-Hans" w:bidi="ar"/>
        </w:rPr>
        <w:t>Zhijie</w:t>
      </w:r>
      <w:proofErr w:type="spellEnd"/>
      <w:r>
        <w:rPr>
          <w:kern w:val="0"/>
          <w:sz w:val="24"/>
          <w:szCs w:val="24"/>
          <w:lang w:eastAsia="zh-Hans" w:bidi="ar"/>
        </w:rPr>
        <w:t xml:space="preserve"> Liu, </w:t>
      </w:r>
      <w:proofErr w:type="spellStart"/>
      <w:r>
        <w:rPr>
          <w:kern w:val="0"/>
          <w:sz w:val="24"/>
          <w:szCs w:val="24"/>
          <w:lang w:eastAsia="zh-Hans" w:bidi="ar"/>
        </w:rPr>
        <w:t>Zhaofeng</w:t>
      </w:r>
      <w:proofErr w:type="spellEnd"/>
      <w:r>
        <w:rPr>
          <w:kern w:val="0"/>
          <w:sz w:val="24"/>
          <w:szCs w:val="24"/>
          <w:lang w:eastAsia="zh-Hans" w:bidi="ar"/>
        </w:rPr>
        <w:t xml:space="preserve"> Zhu, Fan </w:t>
      </w:r>
      <w:proofErr w:type="spellStart"/>
      <w:r>
        <w:rPr>
          <w:kern w:val="0"/>
          <w:sz w:val="24"/>
          <w:szCs w:val="24"/>
          <w:lang w:eastAsia="zh-Hans" w:bidi="ar"/>
        </w:rPr>
        <w:t>Xie</w:t>
      </w:r>
      <w:proofErr w:type="spellEnd"/>
      <w:r>
        <w:rPr>
          <w:kern w:val="0"/>
          <w:sz w:val="24"/>
          <w:szCs w:val="24"/>
          <w:lang w:eastAsia="zh-Hans" w:bidi="ar"/>
        </w:rPr>
        <w:t xml:space="preserve">, </w:t>
      </w:r>
      <w:proofErr w:type="spellStart"/>
      <w:r>
        <w:rPr>
          <w:kern w:val="0"/>
          <w:sz w:val="24"/>
          <w:szCs w:val="24"/>
          <w:lang w:eastAsia="zh-Hans" w:bidi="ar"/>
        </w:rPr>
        <w:t>Yunyan</w:t>
      </w:r>
      <w:proofErr w:type="spellEnd"/>
      <w:r>
        <w:rPr>
          <w:kern w:val="0"/>
          <w:sz w:val="24"/>
          <w:szCs w:val="24"/>
          <w:lang w:eastAsia="zh-Hans" w:bidi="ar"/>
        </w:rPr>
        <w:t xml:space="preserve"> Zhang, </w:t>
      </w:r>
      <w:proofErr w:type="spellStart"/>
      <w:r>
        <w:rPr>
          <w:kern w:val="0"/>
          <w:sz w:val="24"/>
          <w:szCs w:val="24"/>
          <w:lang w:eastAsia="zh-Hans" w:bidi="ar"/>
        </w:rPr>
        <w:t>Lingying</w:t>
      </w:r>
      <w:proofErr w:type="spellEnd"/>
      <w:r>
        <w:rPr>
          <w:kern w:val="0"/>
          <w:sz w:val="24"/>
          <w:szCs w:val="24"/>
          <w:lang w:eastAsia="zh-Hans" w:bidi="ar"/>
        </w:rPr>
        <w:t xml:space="preserve"> Wu</w:t>
      </w:r>
    </w:p>
    <w:p w14:paraId="1F004C1E" w14:textId="77777777" w:rsidR="00140B5A" w:rsidRDefault="00140B5A">
      <w:pPr>
        <w:rPr>
          <w:kern w:val="0"/>
          <w:sz w:val="24"/>
          <w:szCs w:val="24"/>
          <w:lang w:eastAsia="zh-Hans" w:bidi="ar"/>
        </w:rPr>
      </w:pPr>
    </w:p>
    <w:p w14:paraId="1F004C1F" w14:textId="77777777" w:rsidR="00140B5A" w:rsidRDefault="00140B5A">
      <w:pPr>
        <w:rPr>
          <w:kern w:val="0"/>
          <w:sz w:val="24"/>
          <w:szCs w:val="24"/>
          <w:lang w:eastAsia="zh-Hans" w:bidi="ar"/>
        </w:rPr>
      </w:pPr>
    </w:p>
    <w:p w14:paraId="1F004C20" w14:textId="77777777" w:rsidR="00140B5A" w:rsidRDefault="00140B5A">
      <w:pPr>
        <w:rPr>
          <w:kern w:val="0"/>
          <w:sz w:val="24"/>
          <w:szCs w:val="24"/>
          <w:lang w:eastAsia="zh-Hans" w:bidi="ar"/>
        </w:rPr>
      </w:pPr>
    </w:p>
    <w:p w14:paraId="1F004C21" w14:textId="762B1F52" w:rsidR="00140B5A" w:rsidRDefault="002771A1">
      <w:pPr>
        <w:rPr>
          <w:b/>
          <w:bCs/>
          <w:kern w:val="0"/>
          <w:sz w:val="24"/>
          <w:szCs w:val="24"/>
          <w:lang w:bidi="ar"/>
        </w:rPr>
      </w:pPr>
      <w:r>
        <w:rPr>
          <w:b/>
          <w:bCs/>
          <w:kern w:val="0"/>
          <w:sz w:val="24"/>
          <w:szCs w:val="24"/>
          <w:lang w:bidi="ar"/>
        </w:rPr>
        <w:t>Contents</w:t>
      </w:r>
      <w:r w:rsidR="00DB2629">
        <w:rPr>
          <w:b/>
          <w:bCs/>
          <w:kern w:val="0"/>
          <w:sz w:val="24"/>
          <w:szCs w:val="24"/>
          <w:lang w:bidi="ar"/>
        </w:rPr>
        <w:t>:</w:t>
      </w:r>
    </w:p>
    <w:p w14:paraId="073957ED" w14:textId="1FF6ACCF" w:rsidR="00DB2629" w:rsidRPr="0082407B" w:rsidRDefault="002771A1">
      <w:pPr>
        <w:pStyle w:val="TOC1"/>
        <w:rPr>
          <w:rFonts w:asciiTheme="minorHAnsi" w:eastAsiaTheme="minorEastAsia" w:hAnsiTheme="minorHAnsi" w:cstheme="minorBidi"/>
          <w:b w:val="0"/>
          <w:bCs w:val="0"/>
          <w:caps w:val="0"/>
          <w:noProof/>
          <w:sz w:val="21"/>
          <w:szCs w:val="21"/>
        </w:rPr>
      </w:pPr>
      <w:r w:rsidRPr="0082407B">
        <w:rPr>
          <w:kern w:val="0"/>
          <w:sz w:val="21"/>
          <w:szCs w:val="21"/>
          <w:lang w:eastAsia="zh-Hans" w:bidi="ar"/>
        </w:rPr>
        <w:fldChar w:fldCharType="begin"/>
      </w:r>
      <w:r w:rsidRPr="0082407B">
        <w:rPr>
          <w:kern w:val="0"/>
          <w:sz w:val="21"/>
          <w:szCs w:val="21"/>
          <w:lang w:eastAsia="zh-Hans" w:bidi="ar"/>
        </w:rPr>
        <w:instrText xml:space="preserve"> TOC \o "1-3" \h \z \u </w:instrText>
      </w:r>
      <w:r w:rsidRPr="0082407B">
        <w:rPr>
          <w:kern w:val="0"/>
          <w:sz w:val="21"/>
          <w:szCs w:val="21"/>
          <w:lang w:eastAsia="zh-Hans" w:bidi="ar"/>
        </w:rPr>
        <w:fldChar w:fldCharType="separate"/>
      </w:r>
      <w:hyperlink w:anchor="_Toc129963872" w:history="1">
        <w:r w:rsidR="00900C36" w:rsidRPr="0082407B">
          <w:rPr>
            <w:rStyle w:val="aff7"/>
            <w:caps w:val="0"/>
            <w:noProof/>
            <w:sz w:val="21"/>
            <w:szCs w:val="21"/>
          </w:rPr>
          <w:t>List Of Investigators</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_Toc129963872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2</w:t>
        </w:r>
        <w:r w:rsidR="00DB2629" w:rsidRPr="0082407B">
          <w:rPr>
            <w:noProof/>
            <w:webHidden/>
            <w:sz w:val="21"/>
            <w:szCs w:val="21"/>
          </w:rPr>
          <w:fldChar w:fldCharType="end"/>
        </w:r>
      </w:hyperlink>
    </w:p>
    <w:p w14:paraId="3DEEDABE" w14:textId="0B82AB54"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3" w:history="1">
        <w:r w:rsidR="00900C36" w:rsidRPr="0082407B">
          <w:rPr>
            <w:rStyle w:val="aff7"/>
            <w:caps w:val="0"/>
            <w:noProof/>
            <w:sz w:val="21"/>
            <w:szCs w:val="21"/>
          </w:rPr>
          <w:t>Table S1. Time To Response (Assessed By Independent Reviewer)</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_Toc129963873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4</w:t>
        </w:r>
        <w:r w:rsidR="00DB2629" w:rsidRPr="0082407B">
          <w:rPr>
            <w:noProof/>
            <w:webHidden/>
            <w:sz w:val="21"/>
            <w:szCs w:val="21"/>
          </w:rPr>
          <w:fldChar w:fldCharType="end"/>
        </w:r>
      </w:hyperlink>
    </w:p>
    <w:p w14:paraId="0F4A807C" w14:textId="2B9C75CB"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4" w:history="1">
        <w:r w:rsidR="00900C36" w:rsidRPr="0082407B">
          <w:rPr>
            <w:rStyle w:val="aff7"/>
            <w:caps w:val="0"/>
            <w:noProof/>
            <w:sz w:val="21"/>
            <w:szCs w:val="21"/>
          </w:rPr>
          <w:t>Table S2. Summary Of Serious Treatment-Related Adverse Events</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_Toc129963874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5</w:t>
        </w:r>
        <w:r w:rsidR="00DB2629" w:rsidRPr="0082407B">
          <w:rPr>
            <w:noProof/>
            <w:webHidden/>
            <w:sz w:val="21"/>
            <w:szCs w:val="21"/>
          </w:rPr>
          <w:fldChar w:fldCharType="end"/>
        </w:r>
      </w:hyperlink>
    </w:p>
    <w:p w14:paraId="382FBB90" w14:textId="46B6BA57"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5" w:history="1">
        <w:r w:rsidR="00900C36" w:rsidRPr="0082407B">
          <w:rPr>
            <w:rStyle w:val="aff7"/>
            <w:caps w:val="0"/>
            <w:noProof/>
            <w:sz w:val="21"/>
            <w:szCs w:val="21"/>
          </w:rPr>
          <w:t>Table S3. Treatment-Related Adverse Events Leading To Study Treatment Discontinuation</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_Toc129963875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6</w:t>
        </w:r>
        <w:r w:rsidR="00DB2629" w:rsidRPr="0082407B">
          <w:rPr>
            <w:noProof/>
            <w:webHidden/>
            <w:sz w:val="21"/>
            <w:szCs w:val="21"/>
          </w:rPr>
          <w:fldChar w:fldCharType="end"/>
        </w:r>
      </w:hyperlink>
    </w:p>
    <w:p w14:paraId="1A3B44BA" w14:textId="6065FE0C"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6" w:history="1">
        <w:r w:rsidR="00900C36" w:rsidRPr="0082407B">
          <w:rPr>
            <w:rStyle w:val="aff7"/>
            <w:caps w:val="0"/>
            <w:noProof/>
            <w:sz w:val="21"/>
            <w:szCs w:val="21"/>
          </w:rPr>
          <w:t>Table S4. Treatment-Related Adverse Events Leading To Study Treatment Interruption</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_Toc129963876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7</w:t>
        </w:r>
        <w:r w:rsidR="00DB2629" w:rsidRPr="0082407B">
          <w:rPr>
            <w:noProof/>
            <w:webHidden/>
            <w:sz w:val="21"/>
            <w:szCs w:val="21"/>
          </w:rPr>
          <w:fldChar w:fldCharType="end"/>
        </w:r>
      </w:hyperlink>
    </w:p>
    <w:p w14:paraId="6EC85CFF" w14:textId="5AA5050B"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7" w:history="1">
        <w:r w:rsidR="00900C36" w:rsidRPr="0082407B">
          <w:rPr>
            <w:rStyle w:val="aff7"/>
            <w:caps w:val="0"/>
            <w:noProof/>
            <w:sz w:val="21"/>
            <w:szCs w:val="21"/>
          </w:rPr>
          <w:t>Table S5. Treatment-Related Deaths</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_Toc129963877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8</w:t>
        </w:r>
        <w:r w:rsidR="00DB2629" w:rsidRPr="0082407B">
          <w:rPr>
            <w:noProof/>
            <w:webHidden/>
            <w:sz w:val="21"/>
            <w:szCs w:val="21"/>
          </w:rPr>
          <w:fldChar w:fldCharType="end"/>
        </w:r>
      </w:hyperlink>
    </w:p>
    <w:p w14:paraId="17A4A324" w14:textId="30464234" w:rsidR="00DB2629" w:rsidRPr="0082407B" w:rsidRDefault="00000000">
      <w:pPr>
        <w:pStyle w:val="TOC1"/>
        <w:rPr>
          <w:rFonts w:asciiTheme="minorHAnsi" w:eastAsiaTheme="minorEastAsia" w:hAnsiTheme="minorHAnsi" w:cstheme="minorBidi"/>
          <w:b w:val="0"/>
          <w:bCs w:val="0"/>
          <w:caps w:val="0"/>
          <w:noProof/>
          <w:sz w:val="21"/>
          <w:szCs w:val="21"/>
        </w:rPr>
      </w:pPr>
      <w:hyperlink w:anchor="_Toc129963878" w:history="1">
        <w:r w:rsidR="00900C36" w:rsidRPr="0082407B">
          <w:rPr>
            <w:rStyle w:val="aff7"/>
            <w:caps w:val="0"/>
            <w:noProof/>
            <w:sz w:val="21"/>
            <w:szCs w:val="21"/>
          </w:rPr>
          <w:t xml:space="preserve">Table S6. Criteria For Inclusion And </w:t>
        </w:r>
        <w:r w:rsidR="00900C36" w:rsidRPr="0082407B">
          <w:rPr>
            <w:rStyle w:val="aff7"/>
            <w:rFonts w:ascii="TimesNewRomanPS-BoldMT" w:eastAsia="TimesNewRomanPS-BoldMT" w:hAnsi="TimesNewRomanPS-BoldMT" w:cs="TimesNewRomanPS-BoldMT"/>
            <w:caps w:val="0"/>
            <w:noProof/>
            <w:kern w:val="0"/>
            <w:sz w:val="21"/>
            <w:szCs w:val="21"/>
            <w:lang w:bidi="ar"/>
          </w:rPr>
          <w:t>Exclusion</w:t>
        </w:r>
        <w:r w:rsidR="00900C36" w:rsidRPr="0082407B">
          <w:rPr>
            <w:caps w:val="0"/>
            <w:noProof/>
            <w:webHidden/>
            <w:sz w:val="21"/>
            <w:szCs w:val="21"/>
          </w:rPr>
          <w:tab/>
        </w:r>
        <w:r w:rsidR="00DB2629" w:rsidRPr="0082407B">
          <w:rPr>
            <w:noProof/>
            <w:webHidden/>
            <w:sz w:val="21"/>
            <w:szCs w:val="21"/>
          </w:rPr>
          <w:fldChar w:fldCharType="begin"/>
        </w:r>
        <w:r w:rsidR="00DB2629" w:rsidRPr="0082407B">
          <w:rPr>
            <w:noProof/>
            <w:webHidden/>
            <w:sz w:val="21"/>
            <w:szCs w:val="21"/>
          </w:rPr>
          <w:instrText xml:space="preserve"> PAGEREF _Toc129963878 \h </w:instrText>
        </w:r>
        <w:r w:rsidR="00DB2629" w:rsidRPr="0082407B">
          <w:rPr>
            <w:noProof/>
            <w:webHidden/>
            <w:sz w:val="21"/>
            <w:szCs w:val="21"/>
          </w:rPr>
        </w:r>
        <w:r w:rsidR="00DB2629" w:rsidRPr="0082407B">
          <w:rPr>
            <w:noProof/>
            <w:webHidden/>
            <w:sz w:val="21"/>
            <w:szCs w:val="21"/>
          </w:rPr>
          <w:fldChar w:fldCharType="separate"/>
        </w:r>
        <w:r w:rsidR="00900C36" w:rsidRPr="0082407B">
          <w:rPr>
            <w:caps w:val="0"/>
            <w:noProof/>
            <w:webHidden/>
            <w:sz w:val="21"/>
            <w:szCs w:val="21"/>
          </w:rPr>
          <w:t>9</w:t>
        </w:r>
        <w:r w:rsidR="00DB2629" w:rsidRPr="0082407B">
          <w:rPr>
            <w:noProof/>
            <w:webHidden/>
            <w:sz w:val="21"/>
            <w:szCs w:val="21"/>
          </w:rPr>
          <w:fldChar w:fldCharType="end"/>
        </w:r>
      </w:hyperlink>
    </w:p>
    <w:p w14:paraId="1F004C29" w14:textId="22136356" w:rsidR="00140B5A" w:rsidRPr="0082407B" w:rsidRDefault="002771A1">
      <w:pPr>
        <w:rPr>
          <w:b/>
          <w:bCs/>
          <w:kern w:val="0"/>
          <w:lang w:eastAsia="zh-Hans" w:bidi="ar"/>
        </w:rPr>
      </w:pPr>
      <w:r w:rsidRPr="0082407B">
        <w:rPr>
          <w:b/>
          <w:bCs/>
          <w:kern w:val="0"/>
          <w:lang w:eastAsia="zh-Hans" w:bidi="ar"/>
        </w:rPr>
        <w:fldChar w:fldCharType="end"/>
      </w:r>
    </w:p>
    <w:p w14:paraId="1F004C2A" w14:textId="77777777" w:rsidR="00140B5A" w:rsidRDefault="002771A1">
      <w:pPr>
        <w:rPr>
          <w:b/>
          <w:bCs/>
          <w:kern w:val="0"/>
          <w:lang w:eastAsia="zh-Hans" w:bidi="ar"/>
        </w:rPr>
      </w:pPr>
      <w:r>
        <w:rPr>
          <w:b/>
          <w:bCs/>
          <w:kern w:val="0"/>
          <w:lang w:eastAsia="zh-Hans" w:bidi="ar"/>
        </w:rPr>
        <w:br w:type="page"/>
      </w:r>
    </w:p>
    <w:p w14:paraId="1F004C2B" w14:textId="77777777" w:rsidR="00140B5A" w:rsidRDefault="002771A1">
      <w:pPr>
        <w:pStyle w:val="1"/>
        <w:numPr>
          <w:ilvl w:val="0"/>
          <w:numId w:val="0"/>
        </w:numPr>
        <w:ind w:left="432" w:hanging="432"/>
        <w:rPr>
          <w:kern w:val="0"/>
          <w:lang w:eastAsia="zh-Hans" w:bidi="ar"/>
        </w:rPr>
      </w:pPr>
      <w:bookmarkStart w:id="0" w:name="_Toc129963872"/>
      <w:r>
        <w:lastRenderedPageBreak/>
        <w:t>List of Investigators</w:t>
      </w:r>
      <w:bookmarkEnd w:id="0"/>
    </w:p>
    <w:tbl>
      <w:tblPr>
        <w:tblStyle w:val="affa"/>
        <w:tblW w:w="0" w:type="auto"/>
        <w:tblLook w:val="04A0" w:firstRow="1" w:lastRow="0" w:firstColumn="1" w:lastColumn="0" w:noHBand="0" w:noVBand="1"/>
      </w:tblPr>
      <w:tblGrid>
        <w:gridCol w:w="1155"/>
        <w:gridCol w:w="1775"/>
        <w:gridCol w:w="5477"/>
        <w:gridCol w:w="1329"/>
      </w:tblGrid>
      <w:tr w:rsidR="00140B5A" w14:paraId="1F004C30" w14:textId="77777777">
        <w:trPr>
          <w:trHeight w:val="422"/>
        </w:trPr>
        <w:tc>
          <w:tcPr>
            <w:tcW w:w="1166" w:type="dxa"/>
          </w:tcPr>
          <w:p w14:paraId="1F004C2C" w14:textId="77777777" w:rsidR="00140B5A" w:rsidRDefault="002771A1">
            <w:r>
              <w:t>Country</w:t>
            </w:r>
          </w:p>
        </w:tc>
        <w:tc>
          <w:tcPr>
            <w:tcW w:w="1775" w:type="dxa"/>
            <w:noWrap/>
          </w:tcPr>
          <w:p w14:paraId="1F004C2D" w14:textId="77777777" w:rsidR="00140B5A" w:rsidRDefault="002771A1">
            <w:pPr>
              <w:rPr>
                <w:kern w:val="0"/>
                <w:lang w:eastAsia="zh-Hans" w:bidi="ar"/>
              </w:rPr>
            </w:pPr>
            <w:r>
              <w:t>Principal Investigator</w:t>
            </w:r>
          </w:p>
        </w:tc>
        <w:tc>
          <w:tcPr>
            <w:tcW w:w="5649" w:type="dxa"/>
          </w:tcPr>
          <w:p w14:paraId="1F004C2E" w14:textId="77777777" w:rsidR="00140B5A" w:rsidRDefault="002771A1">
            <w:pPr>
              <w:rPr>
                <w:kern w:val="0"/>
                <w:lang w:eastAsia="zh-Hans" w:bidi="ar"/>
              </w:rPr>
            </w:pPr>
            <w:r>
              <w:t>Site Name</w:t>
            </w:r>
          </w:p>
        </w:tc>
        <w:tc>
          <w:tcPr>
            <w:tcW w:w="1347" w:type="dxa"/>
          </w:tcPr>
          <w:p w14:paraId="1F004C2F" w14:textId="77777777" w:rsidR="00140B5A" w:rsidRDefault="002771A1">
            <w:pPr>
              <w:jc w:val="left"/>
            </w:pPr>
            <w:r>
              <w:t>No. Patients Enrolled</w:t>
            </w:r>
          </w:p>
        </w:tc>
      </w:tr>
      <w:tr w:rsidR="00140B5A" w14:paraId="1F004C35" w14:textId="77777777">
        <w:trPr>
          <w:trHeight w:val="1080"/>
        </w:trPr>
        <w:tc>
          <w:tcPr>
            <w:tcW w:w="1166" w:type="dxa"/>
          </w:tcPr>
          <w:p w14:paraId="1F004C31" w14:textId="77777777" w:rsidR="00140B5A" w:rsidRDefault="002771A1">
            <w:pPr>
              <w:rPr>
                <w:kern w:val="0"/>
                <w:lang w:eastAsia="zh-Hans" w:bidi="ar"/>
              </w:rPr>
            </w:pPr>
            <w:r>
              <w:t>C</w:t>
            </w:r>
            <w:r>
              <w:rPr>
                <w:rFonts w:hint="eastAsia"/>
              </w:rPr>
              <w:t>hina</w:t>
            </w:r>
          </w:p>
        </w:tc>
        <w:tc>
          <w:tcPr>
            <w:tcW w:w="1775" w:type="dxa"/>
            <w:noWrap/>
          </w:tcPr>
          <w:p w14:paraId="1F004C32" w14:textId="77777777" w:rsidR="00140B5A" w:rsidRDefault="002771A1">
            <w:pPr>
              <w:rPr>
                <w:kern w:val="0"/>
                <w:lang w:eastAsia="zh-Hans" w:bidi="ar"/>
              </w:rPr>
            </w:pPr>
            <w:proofErr w:type="spellStart"/>
            <w:r>
              <w:rPr>
                <w:rFonts w:hint="eastAsia"/>
                <w:kern w:val="0"/>
                <w:lang w:eastAsia="zh-Hans" w:bidi="ar"/>
              </w:rPr>
              <w:t>Jusheng</w:t>
            </w:r>
            <w:proofErr w:type="spellEnd"/>
            <w:r>
              <w:rPr>
                <w:rFonts w:hint="eastAsia"/>
                <w:kern w:val="0"/>
                <w:lang w:eastAsia="zh-Hans" w:bidi="ar"/>
              </w:rPr>
              <w:t xml:space="preserve"> An</w:t>
            </w:r>
          </w:p>
        </w:tc>
        <w:tc>
          <w:tcPr>
            <w:tcW w:w="5649" w:type="dxa"/>
          </w:tcPr>
          <w:p w14:paraId="1F004C33" w14:textId="77777777" w:rsidR="00140B5A" w:rsidRDefault="002771A1">
            <w:pPr>
              <w:rPr>
                <w:kern w:val="0"/>
                <w:lang w:eastAsia="zh-Hans" w:bidi="ar"/>
              </w:rPr>
            </w:pPr>
            <w:r>
              <w:rPr>
                <w:rFonts w:hint="eastAsia"/>
                <w:kern w:val="0"/>
                <w:lang w:eastAsia="zh-Hans" w:bidi="ar"/>
              </w:rPr>
              <w:t>Department of Gynecologic Oncology, National Cancer Center/ National Clinical Research Center for Cancer/ Cancer Hospital, Chinese Academy of Medical Sciences and Peking Union Medical College</w:t>
            </w:r>
          </w:p>
        </w:tc>
        <w:tc>
          <w:tcPr>
            <w:tcW w:w="1347" w:type="dxa"/>
          </w:tcPr>
          <w:p w14:paraId="1F004C34" w14:textId="77777777" w:rsidR="00140B5A" w:rsidRDefault="002771A1">
            <w:pPr>
              <w:jc w:val="center"/>
              <w:rPr>
                <w:kern w:val="0"/>
                <w:lang w:bidi="ar"/>
              </w:rPr>
            </w:pPr>
            <w:r>
              <w:rPr>
                <w:rFonts w:hint="eastAsia"/>
                <w:kern w:val="0"/>
                <w:lang w:bidi="ar"/>
              </w:rPr>
              <w:t>7</w:t>
            </w:r>
          </w:p>
        </w:tc>
      </w:tr>
      <w:tr w:rsidR="00140B5A" w14:paraId="1F004C3A" w14:textId="77777777">
        <w:trPr>
          <w:trHeight w:val="540"/>
        </w:trPr>
        <w:tc>
          <w:tcPr>
            <w:tcW w:w="1166" w:type="dxa"/>
          </w:tcPr>
          <w:p w14:paraId="1F004C36" w14:textId="77777777" w:rsidR="00140B5A" w:rsidRDefault="002771A1">
            <w:pPr>
              <w:rPr>
                <w:kern w:val="0"/>
                <w:lang w:eastAsia="zh-Hans" w:bidi="ar"/>
              </w:rPr>
            </w:pPr>
            <w:r>
              <w:t>C</w:t>
            </w:r>
            <w:r>
              <w:rPr>
                <w:rFonts w:hint="eastAsia"/>
              </w:rPr>
              <w:t>hina</w:t>
            </w:r>
          </w:p>
        </w:tc>
        <w:tc>
          <w:tcPr>
            <w:tcW w:w="1775" w:type="dxa"/>
            <w:noWrap/>
          </w:tcPr>
          <w:p w14:paraId="1F004C37" w14:textId="77777777" w:rsidR="00140B5A" w:rsidRDefault="002771A1">
            <w:pPr>
              <w:rPr>
                <w:kern w:val="0"/>
                <w:lang w:eastAsia="zh-Hans" w:bidi="ar"/>
              </w:rPr>
            </w:pPr>
            <w:r>
              <w:rPr>
                <w:rFonts w:hint="eastAsia"/>
                <w:kern w:val="0"/>
                <w:lang w:eastAsia="zh-Hans" w:bidi="ar"/>
              </w:rPr>
              <w:t>Mei Feng</w:t>
            </w:r>
          </w:p>
        </w:tc>
        <w:tc>
          <w:tcPr>
            <w:tcW w:w="5649" w:type="dxa"/>
          </w:tcPr>
          <w:p w14:paraId="1F004C38" w14:textId="77777777" w:rsidR="00140B5A" w:rsidRDefault="002771A1">
            <w:pPr>
              <w:rPr>
                <w:kern w:val="0"/>
                <w:lang w:eastAsia="zh-Hans" w:bidi="ar"/>
              </w:rPr>
            </w:pPr>
            <w:r>
              <w:rPr>
                <w:rFonts w:hint="eastAsia"/>
                <w:kern w:val="0"/>
                <w:lang w:eastAsia="zh-Hans" w:bidi="ar"/>
              </w:rPr>
              <w:t>Clinical Oncology School of Fujian Medical University</w:t>
            </w:r>
            <w:r>
              <w:rPr>
                <w:rFonts w:hint="eastAsia"/>
                <w:kern w:val="0"/>
                <w:lang w:eastAsia="zh-Hans" w:bidi="ar"/>
              </w:rPr>
              <w:t>，</w:t>
            </w:r>
            <w:r>
              <w:rPr>
                <w:rFonts w:hint="eastAsia"/>
                <w:kern w:val="0"/>
                <w:lang w:eastAsia="zh-Hans" w:bidi="ar"/>
              </w:rPr>
              <w:t xml:space="preserve">Fujian Cancer Hospital. </w:t>
            </w:r>
          </w:p>
        </w:tc>
        <w:tc>
          <w:tcPr>
            <w:tcW w:w="1347" w:type="dxa"/>
          </w:tcPr>
          <w:p w14:paraId="1F004C39" w14:textId="77777777" w:rsidR="00140B5A" w:rsidRDefault="002771A1">
            <w:pPr>
              <w:jc w:val="center"/>
              <w:rPr>
                <w:kern w:val="0"/>
                <w:lang w:eastAsia="zh-Hans" w:bidi="ar"/>
              </w:rPr>
            </w:pPr>
            <w:r>
              <w:t>17</w:t>
            </w:r>
          </w:p>
        </w:tc>
      </w:tr>
      <w:tr w:rsidR="00140B5A" w14:paraId="1F004C3F" w14:textId="77777777">
        <w:trPr>
          <w:trHeight w:val="540"/>
        </w:trPr>
        <w:tc>
          <w:tcPr>
            <w:tcW w:w="1166" w:type="dxa"/>
          </w:tcPr>
          <w:p w14:paraId="1F004C3B" w14:textId="77777777" w:rsidR="00140B5A" w:rsidRDefault="002771A1">
            <w:pPr>
              <w:rPr>
                <w:kern w:val="0"/>
                <w:lang w:eastAsia="zh-Hans" w:bidi="ar"/>
              </w:rPr>
            </w:pPr>
            <w:r>
              <w:t>C</w:t>
            </w:r>
            <w:r>
              <w:rPr>
                <w:rFonts w:hint="eastAsia"/>
              </w:rPr>
              <w:t>hina</w:t>
            </w:r>
          </w:p>
        </w:tc>
        <w:tc>
          <w:tcPr>
            <w:tcW w:w="1775" w:type="dxa"/>
            <w:noWrap/>
          </w:tcPr>
          <w:p w14:paraId="1F004C3C" w14:textId="77777777" w:rsidR="00140B5A" w:rsidRDefault="002771A1">
            <w:pPr>
              <w:rPr>
                <w:kern w:val="0"/>
                <w:lang w:eastAsia="zh-Hans" w:bidi="ar"/>
              </w:rPr>
            </w:pPr>
            <w:r>
              <w:rPr>
                <w:rFonts w:hint="eastAsia"/>
                <w:kern w:val="0"/>
                <w:lang w:eastAsia="zh-Hans" w:bidi="ar"/>
              </w:rPr>
              <w:t>Keqiang Zhang</w:t>
            </w:r>
          </w:p>
        </w:tc>
        <w:tc>
          <w:tcPr>
            <w:tcW w:w="5649" w:type="dxa"/>
          </w:tcPr>
          <w:p w14:paraId="1F004C3D" w14:textId="77777777" w:rsidR="00140B5A" w:rsidRDefault="002771A1">
            <w:pPr>
              <w:rPr>
                <w:kern w:val="0"/>
                <w:lang w:eastAsia="zh-Hans" w:bidi="ar"/>
              </w:rPr>
            </w:pPr>
            <w:r>
              <w:rPr>
                <w:rFonts w:hint="eastAsia"/>
                <w:kern w:val="0"/>
                <w:lang w:eastAsia="zh-Hans" w:bidi="ar"/>
              </w:rPr>
              <w:t xml:space="preserve">The Affiliated Cancer of </w:t>
            </w:r>
            <w:proofErr w:type="spellStart"/>
            <w:r>
              <w:rPr>
                <w:rFonts w:hint="eastAsia"/>
                <w:kern w:val="0"/>
                <w:lang w:eastAsia="zh-Hans" w:bidi="ar"/>
              </w:rPr>
              <w:t>Xiangya</w:t>
            </w:r>
            <w:proofErr w:type="spellEnd"/>
            <w:r>
              <w:rPr>
                <w:rFonts w:hint="eastAsia"/>
                <w:kern w:val="0"/>
                <w:lang w:eastAsia="zh-Hans" w:bidi="ar"/>
              </w:rPr>
              <w:t xml:space="preserve"> School of </w:t>
            </w:r>
            <w:proofErr w:type="spellStart"/>
            <w:proofErr w:type="gramStart"/>
            <w:r>
              <w:rPr>
                <w:rFonts w:hint="eastAsia"/>
                <w:kern w:val="0"/>
                <w:lang w:eastAsia="zh-Hans" w:bidi="ar"/>
              </w:rPr>
              <w:t>Medicine,Central</w:t>
            </w:r>
            <w:proofErr w:type="spellEnd"/>
            <w:proofErr w:type="gramEnd"/>
            <w:r>
              <w:rPr>
                <w:rFonts w:hint="eastAsia"/>
                <w:kern w:val="0"/>
                <w:lang w:eastAsia="zh-Hans" w:bidi="ar"/>
              </w:rPr>
              <w:t xml:space="preserve"> South University</w:t>
            </w:r>
          </w:p>
        </w:tc>
        <w:tc>
          <w:tcPr>
            <w:tcW w:w="1347" w:type="dxa"/>
          </w:tcPr>
          <w:p w14:paraId="1F004C3E" w14:textId="77777777" w:rsidR="00140B5A" w:rsidRDefault="002771A1">
            <w:pPr>
              <w:jc w:val="center"/>
              <w:rPr>
                <w:kern w:val="0"/>
                <w:lang w:eastAsia="zh-Hans" w:bidi="ar"/>
              </w:rPr>
            </w:pPr>
            <w:r>
              <w:t>13</w:t>
            </w:r>
          </w:p>
        </w:tc>
      </w:tr>
      <w:tr w:rsidR="00140B5A" w14:paraId="1F004C44" w14:textId="77777777">
        <w:trPr>
          <w:trHeight w:val="540"/>
        </w:trPr>
        <w:tc>
          <w:tcPr>
            <w:tcW w:w="1166" w:type="dxa"/>
          </w:tcPr>
          <w:p w14:paraId="1F004C40" w14:textId="77777777" w:rsidR="00140B5A" w:rsidRDefault="002771A1">
            <w:pPr>
              <w:rPr>
                <w:kern w:val="0"/>
                <w:lang w:eastAsia="zh-Hans" w:bidi="ar"/>
              </w:rPr>
            </w:pPr>
            <w:r>
              <w:t>C</w:t>
            </w:r>
            <w:r>
              <w:rPr>
                <w:rFonts w:hint="eastAsia"/>
              </w:rPr>
              <w:t>hina</w:t>
            </w:r>
          </w:p>
        </w:tc>
        <w:tc>
          <w:tcPr>
            <w:tcW w:w="1775" w:type="dxa"/>
            <w:noWrap/>
          </w:tcPr>
          <w:p w14:paraId="1F004C41" w14:textId="77777777" w:rsidR="00140B5A" w:rsidRDefault="002771A1">
            <w:pPr>
              <w:rPr>
                <w:kern w:val="0"/>
                <w:lang w:eastAsia="zh-Hans" w:bidi="ar"/>
              </w:rPr>
            </w:pPr>
            <w:proofErr w:type="spellStart"/>
            <w:r>
              <w:rPr>
                <w:rFonts w:hint="eastAsia"/>
                <w:kern w:val="0"/>
                <w:lang w:eastAsia="zh-Hans" w:bidi="ar"/>
              </w:rPr>
              <w:t>Jianqing</w:t>
            </w:r>
            <w:proofErr w:type="spellEnd"/>
            <w:r>
              <w:rPr>
                <w:rFonts w:hint="eastAsia"/>
                <w:kern w:val="0"/>
                <w:lang w:eastAsia="zh-Hans" w:bidi="ar"/>
              </w:rPr>
              <w:t xml:space="preserve"> Zhu</w:t>
            </w:r>
          </w:p>
        </w:tc>
        <w:tc>
          <w:tcPr>
            <w:tcW w:w="5649" w:type="dxa"/>
          </w:tcPr>
          <w:p w14:paraId="1F004C42" w14:textId="77777777" w:rsidR="00140B5A" w:rsidRDefault="002771A1">
            <w:pPr>
              <w:rPr>
                <w:kern w:val="0"/>
                <w:lang w:eastAsia="zh-Hans" w:bidi="ar"/>
              </w:rPr>
            </w:pPr>
            <w:r>
              <w:rPr>
                <w:rFonts w:hint="eastAsia"/>
                <w:kern w:val="0"/>
                <w:lang w:eastAsia="zh-Hans" w:bidi="ar"/>
              </w:rPr>
              <w:t>Cancer Hospital of the University of Chinese Academy of Sciences</w:t>
            </w:r>
          </w:p>
        </w:tc>
        <w:tc>
          <w:tcPr>
            <w:tcW w:w="1347" w:type="dxa"/>
          </w:tcPr>
          <w:p w14:paraId="1F004C43" w14:textId="77777777" w:rsidR="00140B5A" w:rsidRDefault="002771A1">
            <w:pPr>
              <w:jc w:val="center"/>
              <w:rPr>
                <w:kern w:val="0"/>
                <w:lang w:eastAsia="zh-Hans" w:bidi="ar"/>
              </w:rPr>
            </w:pPr>
            <w:r>
              <w:t>12</w:t>
            </w:r>
          </w:p>
        </w:tc>
      </w:tr>
      <w:tr w:rsidR="00140B5A" w14:paraId="1F004C49" w14:textId="77777777">
        <w:trPr>
          <w:trHeight w:val="270"/>
        </w:trPr>
        <w:tc>
          <w:tcPr>
            <w:tcW w:w="1166" w:type="dxa"/>
          </w:tcPr>
          <w:p w14:paraId="1F004C45" w14:textId="77777777" w:rsidR="00140B5A" w:rsidRDefault="002771A1">
            <w:pPr>
              <w:rPr>
                <w:kern w:val="0"/>
                <w:lang w:eastAsia="zh-Hans" w:bidi="ar"/>
              </w:rPr>
            </w:pPr>
            <w:r>
              <w:t>C</w:t>
            </w:r>
            <w:r>
              <w:rPr>
                <w:rFonts w:hint="eastAsia"/>
              </w:rPr>
              <w:t>hina</w:t>
            </w:r>
          </w:p>
        </w:tc>
        <w:tc>
          <w:tcPr>
            <w:tcW w:w="1775" w:type="dxa"/>
            <w:noWrap/>
          </w:tcPr>
          <w:p w14:paraId="1F004C46" w14:textId="77777777" w:rsidR="00140B5A" w:rsidRDefault="002771A1">
            <w:pPr>
              <w:rPr>
                <w:kern w:val="0"/>
                <w:lang w:eastAsia="zh-Hans" w:bidi="ar"/>
              </w:rPr>
            </w:pPr>
            <w:proofErr w:type="spellStart"/>
            <w:r>
              <w:rPr>
                <w:rFonts w:hint="eastAsia"/>
                <w:kern w:val="0"/>
                <w:lang w:eastAsia="zh-Hans" w:bidi="ar"/>
              </w:rPr>
              <w:t>Aiqin</w:t>
            </w:r>
            <w:proofErr w:type="spellEnd"/>
            <w:r>
              <w:rPr>
                <w:rFonts w:hint="eastAsia"/>
                <w:kern w:val="0"/>
                <w:lang w:eastAsia="zh-Hans" w:bidi="ar"/>
              </w:rPr>
              <w:t xml:space="preserve"> He</w:t>
            </w:r>
          </w:p>
        </w:tc>
        <w:tc>
          <w:tcPr>
            <w:tcW w:w="5649" w:type="dxa"/>
          </w:tcPr>
          <w:p w14:paraId="1F004C47" w14:textId="77777777" w:rsidR="00140B5A" w:rsidRDefault="002771A1">
            <w:pPr>
              <w:rPr>
                <w:kern w:val="0"/>
                <w:lang w:eastAsia="zh-Hans" w:bidi="ar"/>
              </w:rPr>
            </w:pPr>
            <w:r>
              <w:rPr>
                <w:rFonts w:hint="eastAsia"/>
                <w:kern w:val="0"/>
                <w:lang w:eastAsia="zh-Hans" w:bidi="ar"/>
              </w:rPr>
              <w:t xml:space="preserve">Affiliated </w:t>
            </w:r>
            <w:proofErr w:type="gramStart"/>
            <w:r>
              <w:rPr>
                <w:rFonts w:hint="eastAsia"/>
                <w:kern w:val="0"/>
                <w:lang w:eastAsia="zh-Hans" w:bidi="ar"/>
              </w:rPr>
              <w:t>Tumor  Hospital</w:t>
            </w:r>
            <w:proofErr w:type="gramEnd"/>
            <w:r>
              <w:rPr>
                <w:rFonts w:hint="eastAsia"/>
                <w:kern w:val="0"/>
                <w:lang w:eastAsia="zh-Hans" w:bidi="ar"/>
              </w:rPr>
              <w:t xml:space="preserve"> of Nantong University</w:t>
            </w:r>
          </w:p>
        </w:tc>
        <w:tc>
          <w:tcPr>
            <w:tcW w:w="1347" w:type="dxa"/>
          </w:tcPr>
          <w:p w14:paraId="1F004C48" w14:textId="77777777" w:rsidR="00140B5A" w:rsidRDefault="002771A1">
            <w:pPr>
              <w:jc w:val="center"/>
              <w:rPr>
                <w:kern w:val="0"/>
                <w:lang w:eastAsia="zh-Hans" w:bidi="ar"/>
              </w:rPr>
            </w:pPr>
            <w:r>
              <w:t>10</w:t>
            </w:r>
          </w:p>
        </w:tc>
      </w:tr>
      <w:tr w:rsidR="00140B5A" w14:paraId="1F004C4E" w14:textId="77777777">
        <w:trPr>
          <w:trHeight w:val="270"/>
        </w:trPr>
        <w:tc>
          <w:tcPr>
            <w:tcW w:w="1166" w:type="dxa"/>
          </w:tcPr>
          <w:p w14:paraId="1F004C4A" w14:textId="77777777" w:rsidR="00140B5A" w:rsidRDefault="002771A1">
            <w:pPr>
              <w:rPr>
                <w:kern w:val="0"/>
                <w:lang w:eastAsia="zh-Hans" w:bidi="ar"/>
              </w:rPr>
            </w:pPr>
            <w:r>
              <w:t>C</w:t>
            </w:r>
            <w:r>
              <w:rPr>
                <w:rFonts w:hint="eastAsia"/>
              </w:rPr>
              <w:t>hina</w:t>
            </w:r>
          </w:p>
        </w:tc>
        <w:tc>
          <w:tcPr>
            <w:tcW w:w="1775" w:type="dxa"/>
            <w:noWrap/>
          </w:tcPr>
          <w:p w14:paraId="1F004C4B" w14:textId="77777777" w:rsidR="00140B5A" w:rsidRDefault="002771A1">
            <w:pPr>
              <w:rPr>
                <w:kern w:val="0"/>
                <w:lang w:eastAsia="zh-Hans" w:bidi="ar"/>
              </w:rPr>
            </w:pPr>
            <w:proofErr w:type="spellStart"/>
            <w:r>
              <w:rPr>
                <w:rFonts w:hint="eastAsia"/>
                <w:kern w:val="0"/>
                <w:lang w:eastAsia="zh-Hans" w:bidi="ar"/>
              </w:rPr>
              <w:t>Xiumin</w:t>
            </w:r>
            <w:proofErr w:type="spellEnd"/>
            <w:r>
              <w:rPr>
                <w:rFonts w:hint="eastAsia"/>
                <w:kern w:val="0"/>
                <w:lang w:eastAsia="zh-Hans" w:bidi="ar"/>
              </w:rPr>
              <w:t xml:space="preserve"> Li</w:t>
            </w:r>
          </w:p>
        </w:tc>
        <w:tc>
          <w:tcPr>
            <w:tcW w:w="5649" w:type="dxa"/>
          </w:tcPr>
          <w:p w14:paraId="1F004C4C" w14:textId="77777777" w:rsidR="00140B5A" w:rsidRDefault="002771A1">
            <w:pPr>
              <w:rPr>
                <w:kern w:val="0"/>
                <w:lang w:eastAsia="zh-Hans" w:bidi="ar"/>
              </w:rPr>
            </w:pPr>
            <w:r>
              <w:rPr>
                <w:rFonts w:hint="eastAsia"/>
                <w:kern w:val="0"/>
                <w:lang w:eastAsia="zh-Hans" w:bidi="ar"/>
              </w:rPr>
              <w:t>Linyi Cancer Hospital</w:t>
            </w:r>
          </w:p>
        </w:tc>
        <w:tc>
          <w:tcPr>
            <w:tcW w:w="1347" w:type="dxa"/>
          </w:tcPr>
          <w:p w14:paraId="1F004C4D" w14:textId="77777777" w:rsidR="00140B5A" w:rsidRDefault="002771A1">
            <w:pPr>
              <w:jc w:val="center"/>
              <w:rPr>
                <w:kern w:val="0"/>
                <w:lang w:eastAsia="zh-Hans" w:bidi="ar"/>
              </w:rPr>
            </w:pPr>
            <w:r>
              <w:t>9</w:t>
            </w:r>
          </w:p>
        </w:tc>
      </w:tr>
      <w:tr w:rsidR="00140B5A" w14:paraId="1F004C53" w14:textId="77777777">
        <w:trPr>
          <w:trHeight w:val="270"/>
        </w:trPr>
        <w:tc>
          <w:tcPr>
            <w:tcW w:w="1166" w:type="dxa"/>
          </w:tcPr>
          <w:p w14:paraId="1F004C4F" w14:textId="77777777" w:rsidR="00140B5A" w:rsidRDefault="002771A1">
            <w:pPr>
              <w:rPr>
                <w:kern w:val="0"/>
                <w:lang w:eastAsia="zh-Hans" w:bidi="ar"/>
              </w:rPr>
            </w:pPr>
            <w:r>
              <w:t>C</w:t>
            </w:r>
            <w:r>
              <w:rPr>
                <w:rFonts w:hint="eastAsia"/>
              </w:rPr>
              <w:t>hina</w:t>
            </w:r>
          </w:p>
        </w:tc>
        <w:tc>
          <w:tcPr>
            <w:tcW w:w="1775" w:type="dxa"/>
            <w:noWrap/>
          </w:tcPr>
          <w:p w14:paraId="1F004C50" w14:textId="77777777" w:rsidR="00140B5A" w:rsidRDefault="002771A1">
            <w:pPr>
              <w:rPr>
                <w:kern w:val="0"/>
                <w:lang w:eastAsia="zh-Hans" w:bidi="ar"/>
              </w:rPr>
            </w:pPr>
            <w:proofErr w:type="spellStart"/>
            <w:r>
              <w:rPr>
                <w:rFonts w:hint="eastAsia"/>
                <w:kern w:val="0"/>
                <w:lang w:eastAsia="zh-Hans" w:bidi="ar"/>
              </w:rPr>
              <w:t>Jin</w:t>
            </w:r>
            <w:proofErr w:type="spellEnd"/>
            <w:r>
              <w:rPr>
                <w:rFonts w:hint="eastAsia"/>
                <w:kern w:val="0"/>
                <w:lang w:eastAsia="zh-Hans" w:bidi="ar"/>
              </w:rPr>
              <w:t xml:space="preserve"> Peng</w:t>
            </w:r>
          </w:p>
        </w:tc>
        <w:tc>
          <w:tcPr>
            <w:tcW w:w="5649" w:type="dxa"/>
          </w:tcPr>
          <w:p w14:paraId="1F004C51" w14:textId="77777777" w:rsidR="00140B5A" w:rsidRDefault="002771A1">
            <w:pPr>
              <w:rPr>
                <w:kern w:val="0"/>
                <w:lang w:eastAsia="zh-Hans" w:bidi="ar"/>
              </w:rPr>
            </w:pPr>
            <w:proofErr w:type="spellStart"/>
            <w:r>
              <w:rPr>
                <w:rFonts w:hint="eastAsia"/>
                <w:kern w:val="0"/>
                <w:lang w:eastAsia="zh-Hans" w:bidi="ar"/>
              </w:rPr>
              <w:t>Qilu</w:t>
            </w:r>
            <w:proofErr w:type="spellEnd"/>
            <w:r>
              <w:rPr>
                <w:rFonts w:hint="eastAsia"/>
                <w:kern w:val="0"/>
                <w:lang w:eastAsia="zh-Hans" w:bidi="ar"/>
              </w:rPr>
              <w:t xml:space="preserve"> Hospital of Shandong University</w:t>
            </w:r>
          </w:p>
        </w:tc>
        <w:tc>
          <w:tcPr>
            <w:tcW w:w="1347" w:type="dxa"/>
          </w:tcPr>
          <w:p w14:paraId="1F004C52" w14:textId="77777777" w:rsidR="00140B5A" w:rsidRDefault="002771A1">
            <w:pPr>
              <w:jc w:val="center"/>
              <w:rPr>
                <w:kern w:val="0"/>
                <w:lang w:eastAsia="zh-Hans" w:bidi="ar"/>
              </w:rPr>
            </w:pPr>
            <w:r>
              <w:t>7</w:t>
            </w:r>
          </w:p>
        </w:tc>
      </w:tr>
      <w:tr w:rsidR="00140B5A" w14:paraId="1F004C58" w14:textId="77777777">
        <w:trPr>
          <w:trHeight w:val="270"/>
        </w:trPr>
        <w:tc>
          <w:tcPr>
            <w:tcW w:w="1166" w:type="dxa"/>
          </w:tcPr>
          <w:p w14:paraId="1F004C54" w14:textId="77777777" w:rsidR="00140B5A" w:rsidRDefault="002771A1">
            <w:pPr>
              <w:rPr>
                <w:kern w:val="0"/>
                <w:lang w:eastAsia="zh-Hans" w:bidi="ar"/>
              </w:rPr>
            </w:pPr>
            <w:r>
              <w:t>C</w:t>
            </w:r>
            <w:r>
              <w:rPr>
                <w:rFonts w:hint="eastAsia"/>
              </w:rPr>
              <w:t>hina</w:t>
            </w:r>
          </w:p>
        </w:tc>
        <w:tc>
          <w:tcPr>
            <w:tcW w:w="1775" w:type="dxa"/>
            <w:noWrap/>
          </w:tcPr>
          <w:p w14:paraId="1F004C55" w14:textId="77777777" w:rsidR="00140B5A" w:rsidRDefault="002771A1">
            <w:pPr>
              <w:rPr>
                <w:kern w:val="0"/>
                <w:lang w:eastAsia="zh-Hans" w:bidi="ar"/>
              </w:rPr>
            </w:pPr>
            <w:proofErr w:type="spellStart"/>
            <w:r>
              <w:rPr>
                <w:rFonts w:hint="eastAsia"/>
                <w:kern w:val="0"/>
                <w:lang w:eastAsia="zh-Hans" w:bidi="ar"/>
              </w:rPr>
              <w:t>Xinwen</w:t>
            </w:r>
            <w:proofErr w:type="spellEnd"/>
            <w:r>
              <w:rPr>
                <w:rFonts w:hint="eastAsia"/>
                <w:kern w:val="0"/>
                <w:lang w:eastAsia="zh-Hans" w:bidi="ar"/>
              </w:rPr>
              <w:t xml:space="preserve"> Wang</w:t>
            </w:r>
          </w:p>
        </w:tc>
        <w:tc>
          <w:tcPr>
            <w:tcW w:w="5649" w:type="dxa"/>
          </w:tcPr>
          <w:p w14:paraId="1F004C56" w14:textId="77777777" w:rsidR="00140B5A" w:rsidRDefault="002771A1">
            <w:pPr>
              <w:rPr>
                <w:kern w:val="0"/>
                <w:lang w:eastAsia="zh-Hans" w:bidi="ar"/>
              </w:rPr>
            </w:pPr>
            <w:r>
              <w:rPr>
                <w:rFonts w:hint="eastAsia"/>
                <w:kern w:val="0"/>
                <w:lang w:eastAsia="zh-Hans" w:bidi="ar"/>
              </w:rPr>
              <w:t>Shanxi Traditional Chinese Medical Hospital</w:t>
            </w:r>
          </w:p>
        </w:tc>
        <w:tc>
          <w:tcPr>
            <w:tcW w:w="1347" w:type="dxa"/>
          </w:tcPr>
          <w:p w14:paraId="1F004C57" w14:textId="77777777" w:rsidR="00140B5A" w:rsidRDefault="002771A1">
            <w:pPr>
              <w:jc w:val="center"/>
              <w:rPr>
                <w:kern w:val="0"/>
                <w:lang w:eastAsia="zh-Hans" w:bidi="ar"/>
              </w:rPr>
            </w:pPr>
            <w:r>
              <w:t>7</w:t>
            </w:r>
          </w:p>
        </w:tc>
      </w:tr>
      <w:tr w:rsidR="00140B5A" w14:paraId="1F004C5D" w14:textId="77777777">
        <w:trPr>
          <w:trHeight w:val="540"/>
        </w:trPr>
        <w:tc>
          <w:tcPr>
            <w:tcW w:w="1166" w:type="dxa"/>
          </w:tcPr>
          <w:p w14:paraId="1F004C59" w14:textId="77777777" w:rsidR="00140B5A" w:rsidRDefault="002771A1">
            <w:pPr>
              <w:rPr>
                <w:kern w:val="0"/>
                <w:lang w:eastAsia="zh-Hans" w:bidi="ar"/>
              </w:rPr>
            </w:pPr>
            <w:r>
              <w:t>C</w:t>
            </w:r>
            <w:r>
              <w:rPr>
                <w:rFonts w:hint="eastAsia"/>
              </w:rPr>
              <w:t>hina</w:t>
            </w:r>
          </w:p>
        </w:tc>
        <w:tc>
          <w:tcPr>
            <w:tcW w:w="1775" w:type="dxa"/>
            <w:noWrap/>
          </w:tcPr>
          <w:p w14:paraId="1F004C5A" w14:textId="77777777" w:rsidR="00140B5A" w:rsidRDefault="002771A1">
            <w:pPr>
              <w:rPr>
                <w:kern w:val="0"/>
                <w:lang w:eastAsia="zh-Hans" w:bidi="ar"/>
              </w:rPr>
            </w:pPr>
            <w:proofErr w:type="spellStart"/>
            <w:r>
              <w:rPr>
                <w:rFonts w:hint="eastAsia"/>
                <w:kern w:val="0"/>
                <w:lang w:eastAsia="zh-Hans" w:bidi="ar"/>
              </w:rPr>
              <w:t>Hongping</w:t>
            </w:r>
            <w:proofErr w:type="spellEnd"/>
            <w:r>
              <w:rPr>
                <w:rFonts w:hint="eastAsia"/>
                <w:kern w:val="0"/>
                <w:lang w:eastAsia="zh-Hans" w:bidi="ar"/>
              </w:rPr>
              <w:t xml:space="preserve"> Zhang</w:t>
            </w:r>
          </w:p>
        </w:tc>
        <w:tc>
          <w:tcPr>
            <w:tcW w:w="5649" w:type="dxa"/>
          </w:tcPr>
          <w:p w14:paraId="1F004C5B" w14:textId="77777777" w:rsidR="00140B5A" w:rsidRDefault="002771A1">
            <w:pPr>
              <w:rPr>
                <w:kern w:val="0"/>
                <w:lang w:eastAsia="zh-Hans" w:bidi="ar"/>
              </w:rPr>
            </w:pPr>
            <w:r>
              <w:rPr>
                <w:rFonts w:hint="eastAsia"/>
                <w:kern w:val="0"/>
                <w:lang w:eastAsia="zh-Hans" w:bidi="ar"/>
              </w:rPr>
              <w:t>The Third Affiliated Hospital of Kunming Medical University (Yunnan Cancer Hospital)</w:t>
            </w:r>
          </w:p>
        </w:tc>
        <w:tc>
          <w:tcPr>
            <w:tcW w:w="1347" w:type="dxa"/>
          </w:tcPr>
          <w:p w14:paraId="1F004C5C" w14:textId="77777777" w:rsidR="00140B5A" w:rsidRDefault="002771A1">
            <w:pPr>
              <w:jc w:val="center"/>
              <w:rPr>
                <w:kern w:val="0"/>
                <w:lang w:eastAsia="zh-Hans" w:bidi="ar"/>
              </w:rPr>
            </w:pPr>
            <w:r>
              <w:t>6</w:t>
            </w:r>
          </w:p>
        </w:tc>
      </w:tr>
      <w:tr w:rsidR="00140B5A" w14:paraId="1F004C62" w14:textId="77777777">
        <w:trPr>
          <w:trHeight w:val="810"/>
        </w:trPr>
        <w:tc>
          <w:tcPr>
            <w:tcW w:w="1166" w:type="dxa"/>
          </w:tcPr>
          <w:p w14:paraId="1F004C5E" w14:textId="77777777" w:rsidR="00140B5A" w:rsidRDefault="002771A1">
            <w:pPr>
              <w:rPr>
                <w:kern w:val="0"/>
                <w:lang w:eastAsia="zh-Hans" w:bidi="ar"/>
              </w:rPr>
            </w:pPr>
            <w:r>
              <w:t>C</w:t>
            </w:r>
            <w:r>
              <w:rPr>
                <w:rFonts w:hint="eastAsia"/>
              </w:rPr>
              <w:t>hina</w:t>
            </w:r>
          </w:p>
        </w:tc>
        <w:tc>
          <w:tcPr>
            <w:tcW w:w="1775" w:type="dxa"/>
            <w:noWrap/>
          </w:tcPr>
          <w:p w14:paraId="1F004C5F" w14:textId="77777777" w:rsidR="00140B5A" w:rsidRDefault="002771A1">
            <w:pPr>
              <w:rPr>
                <w:kern w:val="0"/>
                <w:lang w:eastAsia="zh-Hans" w:bidi="ar"/>
              </w:rPr>
            </w:pPr>
            <w:proofErr w:type="spellStart"/>
            <w:r>
              <w:rPr>
                <w:rFonts w:hint="eastAsia"/>
                <w:kern w:val="0"/>
                <w:lang w:eastAsia="zh-Hans" w:bidi="ar"/>
              </w:rPr>
              <w:t>Weimin</w:t>
            </w:r>
            <w:proofErr w:type="spellEnd"/>
            <w:r>
              <w:rPr>
                <w:rFonts w:hint="eastAsia"/>
                <w:kern w:val="0"/>
                <w:lang w:eastAsia="zh-Hans" w:bidi="ar"/>
              </w:rPr>
              <w:t xml:space="preserve"> Kong</w:t>
            </w:r>
          </w:p>
        </w:tc>
        <w:tc>
          <w:tcPr>
            <w:tcW w:w="5649" w:type="dxa"/>
          </w:tcPr>
          <w:p w14:paraId="1F004C60" w14:textId="77777777" w:rsidR="00140B5A" w:rsidRDefault="002771A1">
            <w:pPr>
              <w:rPr>
                <w:kern w:val="0"/>
                <w:lang w:eastAsia="zh-Hans" w:bidi="ar"/>
              </w:rPr>
            </w:pPr>
            <w:r>
              <w:rPr>
                <w:rFonts w:hint="eastAsia"/>
                <w:kern w:val="0"/>
                <w:lang w:eastAsia="zh-Hans" w:bidi="ar"/>
              </w:rPr>
              <w:t>Beijing Obstetrics and Gynecology Hospital, Beijing Maternal and Child Health Care Hospital, Capital Medical University</w:t>
            </w:r>
          </w:p>
        </w:tc>
        <w:tc>
          <w:tcPr>
            <w:tcW w:w="1347" w:type="dxa"/>
          </w:tcPr>
          <w:p w14:paraId="1F004C61" w14:textId="77777777" w:rsidR="00140B5A" w:rsidRDefault="002771A1">
            <w:pPr>
              <w:jc w:val="center"/>
              <w:rPr>
                <w:kern w:val="0"/>
                <w:lang w:eastAsia="zh-Hans" w:bidi="ar"/>
              </w:rPr>
            </w:pPr>
            <w:r>
              <w:t>5</w:t>
            </w:r>
          </w:p>
        </w:tc>
      </w:tr>
      <w:tr w:rsidR="00140B5A" w14:paraId="1F004C67" w14:textId="77777777">
        <w:trPr>
          <w:trHeight w:val="570"/>
        </w:trPr>
        <w:tc>
          <w:tcPr>
            <w:tcW w:w="1166" w:type="dxa"/>
          </w:tcPr>
          <w:p w14:paraId="1F004C63" w14:textId="77777777" w:rsidR="00140B5A" w:rsidRDefault="002771A1">
            <w:pPr>
              <w:rPr>
                <w:kern w:val="0"/>
                <w:lang w:eastAsia="zh-Hans" w:bidi="ar"/>
              </w:rPr>
            </w:pPr>
            <w:r>
              <w:t>C</w:t>
            </w:r>
            <w:r>
              <w:rPr>
                <w:rFonts w:hint="eastAsia"/>
              </w:rPr>
              <w:t>hina</w:t>
            </w:r>
          </w:p>
        </w:tc>
        <w:tc>
          <w:tcPr>
            <w:tcW w:w="1775" w:type="dxa"/>
            <w:noWrap/>
          </w:tcPr>
          <w:p w14:paraId="1F004C64" w14:textId="77777777" w:rsidR="00140B5A" w:rsidRDefault="002771A1">
            <w:pPr>
              <w:rPr>
                <w:kern w:val="0"/>
                <w:lang w:eastAsia="zh-Hans" w:bidi="ar"/>
              </w:rPr>
            </w:pPr>
            <w:r>
              <w:rPr>
                <w:rFonts w:hint="eastAsia"/>
                <w:kern w:val="0"/>
                <w:lang w:eastAsia="zh-Hans" w:bidi="ar"/>
              </w:rPr>
              <w:t>Guiling Li</w:t>
            </w:r>
          </w:p>
        </w:tc>
        <w:tc>
          <w:tcPr>
            <w:tcW w:w="5649" w:type="dxa"/>
          </w:tcPr>
          <w:p w14:paraId="1F004C65" w14:textId="77777777" w:rsidR="00140B5A" w:rsidRDefault="002771A1">
            <w:pPr>
              <w:rPr>
                <w:kern w:val="0"/>
                <w:lang w:eastAsia="zh-Hans" w:bidi="ar"/>
              </w:rPr>
            </w:pPr>
            <w:r>
              <w:rPr>
                <w:rFonts w:hint="eastAsia"/>
                <w:kern w:val="0"/>
                <w:lang w:eastAsia="zh-Hans" w:bidi="ar"/>
              </w:rPr>
              <w:t xml:space="preserve">Union Hospital Tongji Medical College Huazhong University of Science and Technology </w:t>
            </w:r>
          </w:p>
        </w:tc>
        <w:tc>
          <w:tcPr>
            <w:tcW w:w="1347" w:type="dxa"/>
          </w:tcPr>
          <w:p w14:paraId="1F004C66" w14:textId="77777777" w:rsidR="00140B5A" w:rsidRDefault="002771A1">
            <w:pPr>
              <w:jc w:val="center"/>
              <w:rPr>
                <w:kern w:val="0"/>
                <w:lang w:eastAsia="zh-Hans" w:bidi="ar"/>
              </w:rPr>
            </w:pPr>
            <w:r>
              <w:t>5</w:t>
            </w:r>
          </w:p>
        </w:tc>
      </w:tr>
      <w:tr w:rsidR="00140B5A" w14:paraId="1F004C6C" w14:textId="77777777">
        <w:trPr>
          <w:trHeight w:val="270"/>
        </w:trPr>
        <w:tc>
          <w:tcPr>
            <w:tcW w:w="1166" w:type="dxa"/>
          </w:tcPr>
          <w:p w14:paraId="1F004C68" w14:textId="77777777" w:rsidR="00140B5A" w:rsidRDefault="002771A1">
            <w:pPr>
              <w:rPr>
                <w:kern w:val="0"/>
                <w:lang w:eastAsia="zh-Hans" w:bidi="ar"/>
              </w:rPr>
            </w:pPr>
            <w:r>
              <w:t>C</w:t>
            </w:r>
            <w:r>
              <w:rPr>
                <w:rFonts w:hint="eastAsia"/>
              </w:rPr>
              <w:t>hina</w:t>
            </w:r>
          </w:p>
        </w:tc>
        <w:tc>
          <w:tcPr>
            <w:tcW w:w="1775" w:type="dxa"/>
            <w:noWrap/>
          </w:tcPr>
          <w:p w14:paraId="1F004C69" w14:textId="77777777" w:rsidR="00140B5A" w:rsidRDefault="002771A1">
            <w:pPr>
              <w:rPr>
                <w:kern w:val="0"/>
                <w:lang w:eastAsia="zh-Hans" w:bidi="ar"/>
              </w:rPr>
            </w:pPr>
            <w:proofErr w:type="spellStart"/>
            <w:r>
              <w:rPr>
                <w:rFonts w:hint="eastAsia"/>
                <w:kern w:val="0"/>
                <w:lang w:eastAsia="zh-Hans" w:bidi="ar"/>
              </w:rPr>
              <w:t>Jianlin</w:t>
            </w:r>
            <w:proofErr w:type="spellEnd"/>
            <w:r>
              <w:rPr>
                <w:rFonts w:hint="eastAsia"/>
                <w:kern w:val="0"/>
                <w:lang w:eastAsia="zh-Hans" w:bidi="ar"/>
              </w:rPr>
              <w:t xml:space="preserve"> Yuan</w:t>
            </w:r>
          </w:p>
        </w:tc>
        <w:tc>
          <w:tcPr>
            <w:tcW w:w="5649" w:type="dxa"/>
          </w:tcPr>
          <w:p w14:paraId="1F004C6A" w14:textId="77777777" w:rsidR="00140B5A" w:rsidRDefault="002771A1">
            <w:pPr>
              <w:rPr>
                <w:kern w:val="0"/>
                <w:lang w:eastAsia="zh-Hans" w:bidi="ar"/>
              </w:rPr>
            </w:pPr>
            <w:r>
              <w:rPr>
                <w:rFonts w:hint="eastAsia"/>
                <w:kern w:val="0"/>
                <w:lang w:eastAsia="zh-Hans" w:bidi="ar"/>
              </w:rPr>
              <w:t>Affiliated Cancer Hospital of Xinjiang Medical University</w:t>
            </w:r>
          </w:p>
        </w:tc>
        <w:tc>
          <w:tcPr>
            <w:tcW w:w="1347" w:type="dxa"/>
          </w:tcPr>
          <w:p w14:paraId="1F004C6B" w14:textId="77777777" w:rsidR="00140B5A" w:rsidRDefault="002771A1">
            <w:pPr>
              <w:jc w:val="center"/>
              <w:rPr>
                <w:kern w:val="0"/>
                <w:lang w:eastAsia="zh-Hans" w:bidi="ar"/>
              </w:rPr>
            </w:pPr>
            <w:r>
              <w:t>5</w:t>
            </w:r>
          </w:p>
        </w:tc>
      </w:tr>
      <w:tr w:rsidR="00140B5A" w14:paraId="1F004C71" w14:textId="77777777">
        <w:trPr>
          <w:trHeight w:val="270"/>
        </w:trPr>
        <w:tc>
          <w:tcPr>
            <w:tcW w:w="1166" w:type="dxa"/>
          </w:tcPr>
          <w:p w14:paraId="1F004C6D" w14:textId="77777777" w:rsidR="00140B5A" w:rsidRDefault="002771A1">
            <w:pPr>
              <w:rPr>
                <w:kern w:val="0"/>
                <w:lang w:eastAsia="zh-Hans" w:bidi="ar"/>
              </w:rPr>
            </w:pPr>
            <w:r>
              <w:t>C</w:t>
            </w:r>
            <w:r>
              <w:rPr>
                <w:rFonts w:hint="eastAsia"/>
              </w:rPr>
              <w:t>hina</w:t>
            </w:r>
          </w:p>
        </w:tc>
        <w:tc>
          <w:tcPr>
            <w:tcW w:w="1775" w:type="dxa"/>
            <w:noWrap/>
          </w:tcPr>
          <w:p w14:paraId="1F004C6E" w14:textId="77777777" w:rsidR="00140B5A" w:rsidRDefault="002771A1">
            <w:pPr>
              <w:rPr>
                <w:kern w:val="0"/>
                <w:lang w:eastAsia="zh-Hans" w:bidi="ar"/>
              </w:rPr>
            </w:pPr>
            <w:r>
              <w:rPr>
                <w:rFonts w:hint="eastAsia"/>
                <w:kern w:val="0"/>
                <w:lang w:eastAsia="zh-Hans" w:bidi="ar"/>
              </w:rPr>
              <w:t>Hu Liu</w:t>
            </w:r>
          </w:p>
        </w:tc>
        <w:tc>
          <w:tcPr>
            <w:tcW w:w="5649" w:type="dxa"/>
          </w:tcPr>
          <w:p w14:paraId="1F004C6F" w14:textId="77777777" w:rsidR="00140B5A" w:rsidRDefault="002771A1">
            <w:pPr>
              <w:rPr>
                <w:kern w:val="0"/>
                <w:lang w:eastAsia="zh-Hans" w:bidi="ar"/>
              </w:rPr>
            </w:pPr>
            <w:r>
              <w:rPr>
                <w:rFonts w:hint="eastAsia"/>
                <w:kern w:val="0"/>
                <w:lang w:eastAsia="zh-Hans" w:bidi="ar"/>
              </w:rPr>
              <w:t>Anhui Provincial Cancer Hospital</w:t>
            </w:r>
          </w:p>
        </w:tc>
        <w:tc>
          <w:tcPr>
            <w:tcW w:w="1347" w:type="dxa"/>
          </w:tcPr>
          <w:p w14:paraId="1F004C70" w14:textId="77777777" w:rsidR="00140B5A" w:rsidRDefault="002771A1">
            <w:pPr>
              <w:jc w:val="center"/>
              <w:rPr>
                <w:kern w:val="0"/>
                <w:lang w:eastAsia="zh-Hans" w:bidi="ar"/>
              </w:rPr>
            </w:pPr>
            <w:r>
              <w:t>5</w:t>
            </w:r>
          </w:p>
        </w:tc>
      </w:tr>
      <w:tr w:rsidR="00140B5A" w14:paraId="1F004C76" w14:textId="77777777">
        <w:trPr>
          <w:trHeight w:val="540"/>
        </w:trPr>
        <w:tc>
          <w:tcPr>
            <w:tcW w:w="1166" w:type="dxa"/>
          </w:tcPr>
          <w:p w14:paraId="1F004C72" w14:textId="77777777" w:rsidR="00140B5A" w:rsidRDefault="002771A1">
            <w:pPr>
              <w:rPr>
                <w:kern w:val="0"/>
                <w:lang w:eastAsia="zh-Hans" w:bidi="ar"/>
              </w:rPr>
            </w:pPr>
            <w:r>
              <w:t>C</w:t>
            </w:r>
            <w:r>
              <w:rPr>
                <w:rFonts w:hint="eastAsia"/>
              </w:rPr>
              <w:t>hina</w:t>
            </w:r>
          </w:p>
        </w:tc>
        <w:tc>
          <w:tcPr>
            <w:tcW w:w="1775" w:type="dxa"/>
            <w:noWrap/>
          </w:tcPr>
          <w:p w14:paraId="1F004C73" w14:textId="77777777" w:rsidR="00140B5A" w:rsidRDefault="002771A1">
            <w:pPr>
              <w:rPr>
                <w:kern w:val="0"/>
                <w:lang w:eastAsia="zh-Hans" w:bidi="ar"/>
              </w:rPr>
            </w:pPr>
            <w:proofErr w:type="spellStart"/>
            <w:r>
              <w:rPr>
                <w:rFonts w:hint="eastAsia"/>
                <w:kern w:val="0"/>
                <w:lang w:eastAsia="zh-Hans" w:bidi="ar"/>
              </w:rPr>
              <w:t>Shiying</w:t>
            </w:r>
            <w:proofErr w:type="spellEnd"/>
            <w:r>
              <w:rPr>
                <w:rFonts w:hint="eastAsia"/>
                <w:kern w:val="0"/>
                <w:lang w:eastAsia="zh-Hans" w:bidi="ar"/>
              </w:rPr>
              <w:t xml:space="preserve"> Yu</w:t>
            </w:r>
          </w:p>
        </w:tc>
        <w:tc>
          <w:tcPr>
            <w:tcW w:w="5649" w:type="dxa"/>
          </w:tcPr>
          <w:p w14:paraId="1F004C74" w14:textId="77777777" w:rsidR="00140B5A" w:rsidRDefault="002771A1">
            <w:pPr>
              <w:rPr>
                <w:kern w:val="0"/>
                <w:lang w:eastAsia="zh-Hans" w:bidi="ar"/>
              </w:rPr>
            </w:pPr>
            <w:r>
              <w:rPr>
                <w:rFonts w:hint="eastAsia"/>
                <w:kern w:val="0"/>
                <w:lang w:eastAsia="zh-Hans" w:bidi="ar"/>
              </w:rPr>
              <w:t xml:space="preserve">Tongji Hospital Tongji Medical College of Huazhong University of Science and </w:t>
            </w:r>
            <w:proofErr w:type="spellStart"/>
            <w:r>
              <w:rPr>
                <w:rFonts w:hint="eastAsia"/>
                <w:kern w:val="0"/>
                <w:lang w:eastAsia="zh-Hans" w:bidi="ar"/>
              </w:rPr>
              <w:t>Technolog</w:t>
            </w:r>
            <w:proofErr w:type="spellEnd"/>
          </w:p>
        </w:tc>
        <w:tc>
          <w:tcPr>
            <w:tcW w:w="1347" w:type="dxa"/>
          </w:tcPr>
          <w:p w14:paraId="1F004C75" w14:textId="77777777" w:rsidR="00140B5A" w:rsidRDefault="002771A1">
            <w:pPr>
              <w:jc w:val="center"/>
              <w:rPr>
                <w:kern w:val="0"/>
                <w:lang w:eastAsia="zh-Hans" w:bidi="ar"/>
              </w:rPr>
            </w:pPr>
            <w:r>
              <w:t>5</w:t>
            </w:r>
          </w:p>
        </w:tc>
      </w:tr>
      <w:tr w:rsidR="00140B5A" w14:paraId="1F004C7B" w14:textId="77777777">
        <w:trPr>
          <w:trHeight w:val="270"/>
        </w:trPr>
        <w:tc>
          <w:tcPr>
            <w:tcW w:w="1166" w:type="dxa"/>
          </w:tcPr>
          <w:p w14:paraId="1F004C77" w14:textId="77777777" w:rsidR="00140B5A" w:rsidRDefault="002771A1">
            <w:pPr>
              <w:rPr>
                <w:kern w:val="0"/>
                <w:lang w:eastAsia="zh-Hans" w:bidi="ar"/>
              </w:rPr>
            </w:pPr>
            <w:r>
              <w:t>C</w:t>
            </w:r>
            <w:r>
              <w:rPr>
                <w:rFonts w:hint="eastAsia"/>
              </w:rPr>
              <w:t>hina</w:t>
            </w:r>
          </w:p>
        </w:tc>
        <w:tc>
          <w:tcPr>
            <w:tcW w:w="1775" w:type="dxa"/>
            <w:noWrap/>
          </w:tcPr>
          <w:p w14:paraId="1F004C78" w14:textId="77777777" w:rsidR="00140B5A" w:rsidRDefault="002771A1">
            <w:pPr>
              <w:rPr>
                <w:kern w:val="0"/>
                <w:lang w:eastAsia="zh-Hans" w:bidi="ar"/>
              </w:rPr>
            </w:pPr>
            <w:proofErr w:type="spellStart"/>
            <w:r>
              <w:rPr>
                <w:rFonts w:hint="eastAsia"/>
                <w:kern w:val="0"/>
                <w:lang w:eastAsia="zh-Hans" w:bidi="ar"/>
              </w:rPr>
              <w:t>Liangfang</w:t>
            </w:r>
            <w:proofErr w:type="spellEnd"/>
            <w:r>
              <w:rPr>
                <w:rFonts w:hint="eastAsia"/>
                <w:kern w:val="0"/>
                <w:lang w:eastAsia="zh-Hans" w:bidi="ar"/>
              </w:rPr>
              <w:t xml:space="preserve"> Shen</w:t>
            </w:r>
          </w:p>
        </w:tc>
        <w:tc>
          <w:tcPr>
            <w:tcW w:w="5649" w:type="dxa"/>
          </w:tcPr>
          <w:p w14:paraId="1F004C79" w14:textId="77777777" w:rsidR="00140B5A" w:rsidRDefault="002771A1">
            <w:pPr>
              <w:rPr>
                <w:kern w:val="0"/>
                <w:lang w:eastAsia="zh-Hans" w:bidi="ar"/>
              </w:rPr>
            </w:pPr>
            <w:proofErr w:type="spellStart"/>
            <w:r>
              <w:rPr>
                <w:rFonts w:hint="eastAsia"/>
                <w:kern w:val="0"/>
                <w:lang w:eastAsia="zh-Hans" w:bidi="ar"/>
              </w:rPr>
              <w:t>Xiangya</w:t>
            </w:r>
            <w:proofErr w:type="spellEnd"/>
            <w:r>
              <w:rPr>
                <w:rFonts w:hint="eastAsia"/>
                <w:kern w:val="0"/>
                <w:lang w:eastAsia="zh-Hans" w:bidi="ar"/>
              </w:rPr>
              <w:t xml:space="preserve"> Hospital of Central South University</w:t>
            </w:r>
          </w:p>
        </w:tc>
        <w:tc>
          <w:tcPr>
            <w:tcW w:w="1347" w:type="dxa"/>
          </w:tcPr>
          <w:p w14:paraId="1F004C7A" w14:textId="77777777" w:rsidR="00140B5A" w:rsidRDefault="002771A1">
            <w:pPr>
              <w:jc w:val="center"/>
              <w:rPr>
                <w:kern w:val="0"/>
                <w:lang w:eastAsia="zh-Hans" w:bidi="ar"/>
              </w:rPr>
            </w:pPr>
            <w:r>
              <w:t>4</w:t>
            </w:r>
          </w:p>
        </w:tc>
      </w:tr>
      <w:tr w:rsidR="00140B5A" w14:paraId="1F004C80" w14:textId="77777777">
        <w:trPr>
          <w:trHeight w:val="540"/>
        </w:trPr>
        <w:tc>
          <w:tcPr>
            <w:tcW w:w="1166" w:type="dxa"/>
          </w:tcPr>
          <w:p w14:paraId="1F004C7C" w14:textId="77777777" w:rsidR="00140B5A" w:rsidRDefault="002771A1">
            <w:pPr>
              <w:rPr>
                <w:kern w:val="0"/>
                <w:lang w:eastAsia="zh-Hans" w:bidi="ar"/>
              </w:rPr>
            </w:pPr>
            <w:r>
              <w:t>C</w:t>
            </w:r>
            <w:r>
              <w:rPr>
                <w:rFonts w:hint="eastAsia"/>
              </w:rPr>
              <w:t>hina</w:t>
            </w:r>
          </w:p>
        </w:tc>
        <w:tc>
          <w:tcPr>
            <w:tcW w:w="1775" w:type="dxa"/>
            <w:noWrap/>
          </w:tcPr>
          <w:p w14:paraId="1F004C7D" w14:textId="77777777" w:rsidR="00140B5A" w:rsidRDefault="002771A1">
            <w:pPr>
              <w:rPr>
                <w:kern w:val="0"/>
                <w:lang w:eastAsia="zh-Hans" w:bidi="ar"/>
              </w:rPr>
            </w:pPr>
            <w:proofErr w:type="spellStart"/>
            <w:r>
              <w:rPr>
                <w:rFonts w:hint="eastAsia"/>
                <w:kern w:val="0"/>
                <w:lang w:eastAsia="zh-Hans" w:bidi="ar"/>
              </w:rPr>
              <w:t>Cailing</w:t>
            </w:r>
            <w:proofErr w:type="spellEnd"/>
            <w:r>
              <w:rPr>
                <w:rFonts w:hint="eastAsia"/>
                <w:kern w:val="0"/>
                <w:lang w:eastAsia="zh-Hans" w:bidi="ar"/>
              </w:rPr>
              <w:t xml:space="preserve"> Ma</w:t>
            </w:r>
          </w:p>
        </w:tc>
        <w:tc>
          <w:tcPr>
            <w:tcW w:w="5649" w:type="dxa"/>
          </w:tcPr>
          <w:p w14:paraId="1F004C7E" w14:textId="77777777" w:rsidR="00140B5A" w:rsidRDefault="002771A1">
            <w:pPr>
              <w:rPr>
                <w:kern w:val="0"/>
                <w:lang w:eastAsia="zh-Hans" w:bidi="ar"/>
              </w:rPr>
            </w:pPr>
            <w:r>
              <w:rPr>
                <w:rFonts w:hint="eastAsia"/>
                <w:kern w:val="0"/>
                <w:lang w:eastAsia="zh-Hans" w:bidi="ar"/>
              </w:rPr>
              <w:t>The First Affiliated Hospital of Xinjiang Medical University</w:t>
            </w:r>
          </w:p>
        </w:tc>
        <w:tc>
          <w:tcPr>
            <w:tcW w:w="1347" w:type="dxa"/>
          </w:tcPr>
          <w:p w14:paraId="1F004C7F" w14:textId="77777777" w:rsidR="00140B5A" w:rsidRDefault="002771A1">
            <w:pPr>
              <w:jc w:val="center"/>
              <w:rPr>
                <w:kern w:val="0"/>
                <w:lang w:eastAsia="zh-Hans" w:bidi="ar"/>
              </w:rPr>
            </w:pPr>
            <w:r>
              <w:t>4</w:t>
            </w:r>
          </w:p>
        </w:tc>
      </w:tr>
      <w:tr w:rsidR="00140B5A" w14:paraId="1F004C85" w14:textId="77777777">
        <w:trPr>
          <w:trHeight w:val="540"/>
        </w:trPr>
        <w:tc>
          <w:tcPr>
            <w:tcW w:w="1166" w:type="dxa"/>
          </w:tcPr>
          <w:p w14:paraId="1F004C81" w14:textId="77777777" w:rsidR="00140B5A" w:rsidRDefault="002771A1">
            <w:pPr>
              <w:rPr>
                <w:kern w:val="0"/>
                <w:lang w:eastAsia="zh-Hans" w:bidi="ar"/>
              </w:rPr>
            </w:pPr>
            <w:r>
              <w:t>C</w:t>
            </w:r>
            <w:r>
              <w:rPr>
                <w:rFonts w:hint="eastAsia"/>
              </w:rPr>
              <w:t>hina</w:t>
            </w:r>
          </w:p>
        </w:tc>
        <w:tc>
          <w:tcPr>
            <w:tcW w:w="1775" w:type="dxa"/>
            <w:noWrap/>
          </w:tcPr>
          <w:p w14:paraId="1F004C82" w14:textId="77777777" w:rsidR="00140B5A" w:rsidRDefault="002771A1">
            <w:pPr>
              <w:rPr>
                <w:kern w:val="0"/>
                <w:lang w:eastAsia="zh-Hans" w:bidi="ar"/>
              </w:rPr>
            </w:pPr>
            <w:proofErr w:type="spellStart"/>
            <w:r>
              <w:rPr>
                <w:rFonts w:hint="eastAsia"/>
                <w:kern w:val="0"/>
                <w:lang w:eastAsia="zh-Hans" w:bidi="ar"/>
              </w:rPr>
              <w:t>Hongmin</w:t>
            </w:r>
            <w:proofErr w:type="spellEnd"/>
            <w:r>
              <w:rPr>
                <w:rFonts w:hint="eastAsia"/>
                <w:kern w:val="0"/>
                <w:lang w:eastAsia="zh-Hans" w:bidi="ar"/>
              </w:rPr>
              <w:t xml:space="preserve"> Chen</w:t>
            </w:r>
          </w:p>
        </w:tc>
        <w:tc>
          <w:tcPr>
            <w:tcW w:w="5649" w:type="dxa"/>
          </w:tcPr>
          <w:p w14:paraId="1F004C83" w14:textId="77777777" w:rsidR="00140B5A" w:rsidRDefault="002771A1">
            <w:pPr>
              <w:rPr>
                <w:kern w:val="0"/>
                <w:lang w:eastAsia="zh-Hans" w:bidi="ar"/>
              </w:rPr>
            </w:pPr>
            <w:r>
              <w:rPr>
                <w:rFonts w:hint="eastAsia"/>
                <w:kern w:val="0"/>
                <w:lang w:eastAsia="zh-Hans" w:bidi="ar"/>
              </w:rPr>
              <w:t>The Affiliated Cancer Hospital of Zhengzhou University &amp; Henan Cancer Hospital</w:t>
            </w:r>
          </w:p>
        </w:tc>
        <w:tc>
          <w:tcPr>
            <w:tcW w:w="1347" w:type="dxa"/>
          </w:tcPr>
          <w:p w14:paraId="1F004C84" w14:textId="77777777" w:rsidR="00140B5A" w:rsidRDefault="002771A1">
            <w:pPr>
              <w:jc w:val="center"/>
              <w:rPr>
                <w:kern w:val="0"/>
                <w:lang w:eastAsia="zh-Hans" w:bidi="ar"/>
              </w:rPr>
            </w:pPr>
            <w:r>
              <w:t>4</w:t>
            </w:r>
          </w:p>
        </w:tc>
      </w:tr>
      <w:tr w:rsidR="00140B5A" w14:paraId="1F004C8A" w14:textId="77777777">
        <w:trPr>
          <w:trHeight w:val="270"/>
        </w:trPr>
        <w:tc>
          <w:tcPr>
            <w:tcW w:w="1166" w:type="dxa"/>
          </w:tcPr>
          <w:p w14:paraId="1F004C86" w14:textId="77777777" w:rsidR="00140B5A" w:rsidRDefault="002771A1">
            <w:pPr>
              <w:rPr>
                <w:kern w:val="0"/>
                <w:lang w:eastAsia="zh-Hans" w:bidi="ar"/>
              </w:rPr>
            </w:pPr>
            <w:r>
              <w:t>C</w:t>
            </w:r>
            <w:r>
              <w:rPr>
                <w:rFonts w:hint="eastAsia"/>
              </w:rPr>
              <w:t>hina</w:t>
            </w:r>
          </w:p>
        </w:tc>
        <w:tc>
          <w:tcPr>
            <w:tcW w:w="1775" w:type="dxa"/>
            <w:noWrap/>
          </w:tcPr>
          <w:p w14:paraId="1F004C87" w14:textId="77777777" w:rsidR="00140B5A" w:rsidRDefault="002771A1">
            <w:pPr>
              <w:rPr>
                <w:kern w:val="0"/>
                <w:lang w:eastAsia="zh-Hans" w:bidi="ar"/>
              </w:rPr>
            </w:pPr>
            <w:r>
              <w:rPr>
                <w:rFonts w:hint="eastAsia"/>
                <w:kern w:val="0"/>
                <w:lang w:eastAsia="zh-Hans" w:bidi="ar"/>
              </w:rPr>
              <w:t>Min Hao</w:t>
            </w:r>
          </w:p>
        </w:tc>
        <w:tc>
          <w:tcPr>
            <w:tcW w:w="5649" w:type="dxa"/>
          </w:tcPr>
          <w:p w14:paraId="1F004C88" w14:textId="77777777" w:rsidR="00140B5A" w:rsidRDefault="002771A1">
            <w:pPr>
              <w:rPr>
                <w:kern w:val="0"/>
                <w:lang w:eastAsia="zh-Hans" w:bidi="ar"/>
              </w:rPr>
            </w:pPr>
            <w:r>
              <w:rPr>
                <w:rFonts w:hint="eastAsia"/>
                <w:kern w:val="0"/>
                <w:lang w:eastAsia="zh-Hans" w:bidi="ar"/>
              </w:rPr>
              <w:t>Second Hospital of Shanxi Medical University</w:t>
            </w:r>
          </w:p>
        </w:tc>
        <w:tc>
          <w:tcPr>
            <w:tcW w:w="1347" w:type="dxa"/>
          </w:tcPr>
          <w:p w14:paraId="1F004C89" w14:textId="77777777" w:rsidR="00140B5A" w:rsidRDefault="002771A1">
            <w:pPr>
              <w:jc w:val="center"/>
              <w:rPr>
                <w:kern w:val="0"/>
                <w:lang w:eastAsia="zh-Hans" w:bidi="ar"/>
              </w:rPr>
            </w:pPr>
            <w:r>
              <w:t>3</w:t>
            </w:r>
          </w:p>
        </w:tc>
      </w:tr>
      <w:tr w:rsidR="00140B5A" w14:paraId="1F004C8F" w14:textId="77777777">
        <w:trPr>
          <w:trHeight w:val="270"/>
        </w:trPr>
        <w:tc>
          <w:tcPr>
            <w:tcW w:w="1166" w:type="dxa"/>
          </w:tcPr>
          <w:p w14:paraId="1F004C8B" w14:textId="77777777" w:rsidR="00140B5A" w:rsidRDefault="002771A1">
            <w:pPr>
              <w:rPr>
                <w:kern w:val="0"/>
                <w:lang w:eastAsia="zh-Hans" w:bidi="ar"/>
              </w:rPr>
            </w:pPr>
            <w:r>
              <w:t>C</w:t>
            </w:r>
            <w:r>
              <w:rPr>
                <w:rFonts w:hint="eastAsia"/>
              </w:rPr>
              <w:t>hina</w:t>
            </w:r>
          </w:p>
        </w:tc>
        <w:tc>
          <w:tcPr>
            <w:tcW w:w="1775" w:type="dxa"/>
            <w:noWrap/>
          </w:tcPr>
          <w:p w14:paraId="1F004C8C" w14:textId="77777777" w:rsidR="00140B5A" w:rsidRDefault="002771A1">
            <w:pPr>
              <w:rPr>
                <w:kern w:val="0"/>
                <w:lang w:eastAsia="zh-Hans" w:bidi="ar"/>
              </w:rPr>
            </w:pPr>
            <w:r>
              <w:rPr>
                <w:rFonts w:hint="eastAsia"/>
                <w:kern w:val="0"/>
                <w:lang w:eastAsia="zh-Hans" w:bidi="ar"/>
              </w:rPr>
              <w:t>Wenjun Cheng</w:t>
            </w:r>
          </w:p>
        </w:tc>
        <w:tc>
          <w:tcPr>
            <w:tcW w:w="5649" w:type="dxa"/>
          </w:tcPr>
          <w:p w14:paraId="1F004C8D" w14:textId="77777777" w:rsidR="00140B5A" w:rsidRDefault="002771A1">
            <w:pPr>
              <w:rPr>
                <w:kern w:val="0"/>
                <w:lang w:eastAsia="zh-Hans" w:bidi="ar"/>
              </w:rPr>
            </w:pPr>
            <w:r>
              <w:rPr>
                <w:rFonts w:hint="eastAsia"/>
                <w:kern w:val="0"/>
                <w:lang w:eastAsia="zh-Hans" w:bidi="ar"/>
              </w:rPr>
              <w:t>Jiangsu Province Hospital</w:t>
            </w:r>
          </w:p>
        </w:tc>
        <w:tc>
          <w:tcPr>
            <w:tcW w:w="1347" w:type="dxa"/>
          </w:tcPr>
          <w:p w14:paraId="1F004C8E" w14:textId="77777777" w:rsidR="00140B5A" w:rsidRDefault="002771A1">
            <w:pPr>
              <w:jc w:val="center"/>
              <w:rPr>
                <w:kern w:val="0"/>
                <w:lang w:eastAsia="zh-Hans" w:bidi="ar"/>
              </w:rPr>
            </w:pPr>
            <w:r>
              <w:t>3</w:t>
            </w:r>
          </w:p>
        </w:tc>
      </w:tr>
      <w:tr w:rsidR="00140B5A" w14:paraId="1F004C94" w14:textId="77777777">
        <w:trPr>
          <w:trHeight w:val="270"/>
        </w:trPr>
        <w:tc>
          <w:tcPr>
            <w:tcW w:w="1166" w:type="dxa"/>
          </w:tcPr>
          <w:p w14:paraId="1F004C90" w14:textId="77777777" w:rsidR="00140B5A" w:rsidRDefault="002771A1">
            <w:pPr>
              <w:rPr>
                <w:kern w:val="0"/>
                <w:lang w:eastAsia="zh-Hans" w:bidi="ar"/>
              </w:rPr>
            </w:pPr>
            <w:r>
              <w:t>C</w:t>
            </w:r>
            <w:r>
              <w:rPr>
                <w:rFonts w:hint="eastAsia"/>
              </w:rPr>
              <w:t>hina</w:t>
            </w:r>
          </w:p>
        </w:tc>
        <w:tc>
          <w:tcPr>
            <w:tcW w:w="1775" w:type="dxa"/>
            <w:noWrap/>
          </w:tcPr>
          <w:p w14:paraId="1F004C91" w14:textId="77777777" w:rsidR="00140B5A" w:rsidRDefault="002771A1">
            <w:pPr>
              <w:rPr>
                <w:kern w:val="0"/>
                <w:lang w:eastAsia="zh-Hans" w:bidi="ar"/>
              </w:rPr>
            </w:pPr>
            <w:proofErr w:type="spellStart"/>
            <w:r>
              <w:rPr>
                <w:rFonts w:hint="eastAsia"/>
                <w:kern w:val="0"/>
                <w:lang w:eastAsia="zh-Hans" w:bidi="ar"/>
              </w:rPr>
              <w:t>Wenxue</w:t>
            </w:r>
            <w:proofErr w:type="spellEnd"/>
            <w:r>
              <w:rPr>
                <w:rFonts w:hint="eastAsia"/>
                <w:kern w:val="0"/>
                <w:lang w:eastAsia="zh-Hans" w:bidi="ar"/>
              </w:rPr>
              <w:t xml:space="preserve"> Zhang</w:t>
            </w:r>
          </w:p>
        </w:tc>
        <w:tc>
          <w:tcPr>
            <w:tcW w:w="5649" w:type="dxa"/>
          </w:tcPr>
          <w:p w14:paraId="1F004C92" w14:textId="77777777" w:rsidR="00140B5A" w:rsidRDefault="002771A1">
            <w:pPr>
              <w:rPr>
                <w:kern w:val="0"/>
                <w:lang w:eastAsia="zh-Hans" w:bidi="ar"/>
              </w:rPr>
            </w:pPr>
            <w:r>
              <w:rPr>
                <w:rFonts w:hint="eastAsia"/>
                <w:kern w:val="0"/>
                <w:lang w:eastAsia="zh-Hans" w:bidi="ar"/>
              </w:rPr>
              <w:t>Tianjin Medical University General Hospital</w:t>
            </w:r>
          </w:p>
        </w:tc>
        <w:tc>
          <w:tcPr>
            <w:tcW w:w="1347" w:type="dxa"/>
          </w:tcPr>
          <w:p w14:paraId="1F004C93" w14:textId="77777777" w:rsidR="00140B5A" w:rsidRDefault="002771A1">
            <w:pPr>
              <w:jc w:val="center"/>
              <w:rPr>
                <w:kern w:val="0"/>
                <w:lang w:eastAsia="zh-Hans" w:bidi="ar"/>
              </w:rPr>
            </w:pPr>
            <w:r>
              <w:t>3</w:t>
            </w:r>
          </w:p>
        </w:tc>
      </w:tr>
      <w:tr w:rsidR="00140B5A" w14:paraId="1F004C99" w14:textId="77777777">
        <w:trPr>
          <w:trHeight w:val="270"/>
        </w:trPr>
        <w:tc>
          <w:tcPr>
            <w:tcW w:w="1166" w:type="dxa"/>
          </w:tcPr>
          <w:p w14:paraId="1F004C95" w14:textId="77777777" w:rsidR="00140B5A" w:rsidRDefault="002771A1">
            <w:pPr>
              <w:rPr>
                <w:kern w:val="0"/>
                <w:lang w:eastAsia="zh-Hans" w:bidi="ar"/>
              </w:rPr>
            </w:pPr>
            <w:r>
              <w:t>C</w:t>
            </w:r>
            <w:r>
              <w:rPr>
                <w:rFonts w:hint="eastAsia"/>
              </w:rPr>
              <w:t>hina</w:t>
            </w:r>
          </w:p>
        </w:tc>
        <w:tc>
          <w:tcPr>
            <w:tcW w:w="1775" w:type="dxa"/>
            <w:noWrap/>
          </w:tcPr>
          <w:p w14:paraId="1F004C96" w14:textId="77777777" w:rsidR="00140B5A" w:rsidRDefault="002771A1">
            <w:pPr>
              <w:rPr>
                <w:kern w:val="0"/>
                <w:lang w:eastAsia="zh-Hans" w:bidi="ar"/>
              </w:rPr>
            </w:pPr>
            <w:r>
              <w:rPr>
                <w:rFonts w:hint="eastAsia"/>
                <w:kern w:val="0"/>
                <w:lang w:eastAsia="zh-Hans" w:bidi="ar"/>
              </w:rPr>
              <w:t>Chao Deng</w:t>
            </w:r>
          </w:p>
        </w:tc>
        <w:tc>
          <w:tcPr>
            <w:tcW w:w="5649" w:type="dxa"/>
          </w:tcPr>
          <w:p w14:paraId="1F004C97" w14:textId="77777777" w:rsidR="00140B5A" w:rsidRDefault="002771A1">
            <w:pPr>
              <w:rPr>
                <w:kern w:val="0"/>
                <w:lang w:eastAsia="zh-Hans" w:bidi="ar"/>
              </w:rPr>
            </w:pPr>
            <w:r>
              <w:rPr>
                <w:rFonts w:hint="eastAsia"/>
                <w:kern w:val="0"/>
                <w:lang w:eastAsia="zh-Hans" w:bidi="ar"/>
              </w:rPr>
              <w:t>Chongqing University Three Gorges Hospital</w:t>
            </w:r>
          </w:p>
        </w:tc>
        <w:tc>
          <w:tcPr>
            <w:tcW w:w="1347" w:type="dxa"/>
          </w:tcPr>
          <w:p w14:paraId="1F004C98" w14:textId="77777777" w:rsidR="00140B5A" w:rsidRDefault="002771A1">
            <w:pPr>
              <w:jc w:val="center"/>
              <w:rPr>
                <w:kern w:val="0"/>
                <w:lang w:eastAsia="zh-Hans" w:bidi="ar"/>
              </w:rPr>
            </w:pPr>
            <w:r>
              <w:t>3</w:t>
            </w:r>
          </w:p>
        </w:tc>
      </w:tr>
      <w:tr w:rsidR="00140B5A" w14:paraId="1F004C9E" w14:textId="77777777">
        <w:trPr>
          <w:trHeight w:val="270"/>
        </w:trPr>
        <w:tc>
          <w:tcPr>
            <w:tcW w:w="1166" w:type="dxa"/>
          </w:tcPr>
          <w:p w14:paraId="1F004C9A" w14:textId="77777777" w:rsidR="00140B5A" w:rsidRDefault="002771A1">
            <w:pPr>
              <w:rPr>
                <w:kern w:val="0"/>
                <w:lang w:eastAsia="zh-Hans" w:bidi="ar"/>
              </w:rPr>
            </w:pPr>
            <w:r>
              <w:t>C</w:t>
            </w:r>
            <w:r>
              <w:rPr>
                <w:rFonts w:hint="eastAsia"/>
              </w:rPr>
              <w:t>hina</w:t>
            </w:r>
          </w:p>
        </w:tc>
        <w:tc>
          <w:tcPr>
            <w:tcW w:w="1775" w:type="dxa"/>
            <w:noWrap/>
          </w:tcPr>
          <w:p w14:paraId="1F004C9B" w14:textId="77777777" w:rsidR="00140B5A" w:rsidRDefault="002771A1">
            <w:pPr>
              <w:rPr>
                <w:kern w:val="0"/>
                <w:lang w:eastAsia="zh-Hans" w:bidi="ar"/>
              </w:rPr>
            </w:pPr>
            <w:proofErr w:type="spellStart"/>
            <w:r>
              <w:rPr>
                <w:rFonts w:hint="eastAsia"/>
                <w:kern w:val="0"/>
                <w:lang w:eastAsia="zh-Hans" w:bidi="ar"/>
              </w:rPr>
              <w:t>Chunhong</w:t>
            </w:r>
            <w:proofErr w:type="spellEnd"/>
            <w:r>
              <w:rPr>
                <w:rFonts w:hint="eastAsia"/>
                <w:kern w:val="0"/>
                <w:lang w:eastAsia="zh-Hans" w:bidi="ar"/>
              </w:rPr>
              <w:t xml:space="preserve"> Hu</w:t>
            </w:r>
          </w:p>
        </w:tc>
        <w:tc>
          <w:tcPr>
            <w:tcW w:w="5649" w:type="dxa"/>
          </w:tcPr>
          <w:p w14:paraId="1F004C9C" w14:textId="77777777" w:rsidR="00140B5A" w:rsidRDefault="002771A1">
            <w:pPr>
              <w:rPr>
                <w:kern w:val="0"/>
                <w:lang w:eastAsia="zh-Hans" w:bidi="ar"/>
              </w:rPr>
            </w:pPr>
            <w:r>
              <w:rPr>
                <w:rFonts w:hint="eastAsia"/>
                <w:kern w:val="0"/>
                <w:lang w:eastAsia="zh-Hans" w:bidi="ar"/>
              </w:rPr>
              <w:t xml:space="preserve">The Second </w:t>
            </w:r>
            <w:proofErr w:type="spellStart"/>
            <w:r>
              <w:rPr>
                <w:rFonts w:hint="eastAsia"/>
                <w:kern w:val="0"/>
                <w:lang w:eastAsia="zh-Hans" w:bidi="ar"/>
              </w:rPr>
              <w:t>Xiangya</w:t>
            </w:r>
            <w:proofErr w:type="spellEnd"/>
            <w:r>
              <w:rPr>
                <w:rFonts w:hint="eastAsia"/>
                <w:kern w:val="0"/>
                <w:lang w:eastAsia="zh-Hans" w:bidi="ar"/>
              </w:rPr>
              <w:t xml:space="preserve"> Hospital of Central South University</w:t>
            </w:r>
          </w:p>
        </w:tc>
        <w:tc>
          <w:tcPr>
            <w:tcW w:w="1347" w:type="dxa"/>
          </w:tcPr>
          <w:p w14:paraId="1F004C9D" w14:textId="77777777" w:rsidR="00140B5A" w:rsidRDefault="002771A1">
            <w:pPr>
              <w:jc w:val="center"/>
              <w:rPr>
                <w:kern w:val="0"/>
                <w:lang w:eastAsia="zh-Hans" w:bidi="ar"/>
              </w:rPr>
            </w:pPr>
            <w:r>
              <w:t>2</w:t>
            </w:r>
          </w:p>
        </w:tc>
      </w:tr>
      <w:tr w:rsidR="00140B5A" w14:paraId="1F004CA3" w14:textId="77777777">
        <w:trPr>
          <w:trHeight w:val="270"/>
        </w:trPr>
        <w:tc>
          <w:tcPr>
            <w:tcW w:w="1166" w:type="dxa"/>
          </w:tcPr>
          <w:p w14:paraId="1F004C9F" w14:textId="77777777" w:rsidR="00140B5A" w:rsidRDefault="002771A1">
            <w:pPr>
              <w:rPr>
                <w:kern w:val="0"/>
                <w:lang w:eastAsia="zh-Hans" w:bidi="ar"/>
              </w:rPr>
            </w:pPr>
            <w:r>
              <w:t>C</w:t>
            </w:r>
            <w:r>
              <w:rPr>
                <w:rFonts w:hint="eastAsia"/>
              </w:rPr>
              <w:t>hina</w:t>
            </w:r>
          </w:p>
        </w:tc>
        <w:tc>
          <w:tcPr>
            <w:tcW w:w="1775" w:type="dxa"/>
            <w:noWrap/>
          </w:tcPr>
          <w:p w14:paraId="1F004CA0" w14:textId="77777777" w:rsidR="00140B5A" w:rsidRDefault="002771A1">
            <w:pPr>
              <w:rPr>
                <w:kern w:val="0"/>
                <w:lang w:eastAsia="zh-Hans" w:bidi="ar"/>
              </w:rPr>
            </w:pPr>
            <w:r>
              <w:rPr>
                <w:rFonts w:hint="eastAsia"/>
                <w:kern w:val="0"/>
                <w:lang w:eastAsia="zh-Hans" w:bidi="ar"/>
              </w:rPr>
              <w:t>Yi Huang</w:t>
            </w:r>
          </w:p>
        </w:tc>
        <w:tc>
          <w:tcPr>
            <w:tcW w:w="5649" w:type="dxa"/>
          </w:tcPr>
          <w:p w14:paraId="1F004CA1" w14:textId="77777777" w:rsidR="00140B5A" w:rsidRDefault="002771A1">
            <w:pPr>
              <w:rPr>
                <w:kern w:val="0"/>
                <w:lang w:eastAsia="zh-Hans" w:bidi="ar"/>
              </w:rPr>
            </w:pPr>
            <w:r>
              <w:rPr>
                <w:rFonts w:hint="eastAsia"/>
                <w:kern w:val="0"/>
                <w:lang w:eastAsia="zh-Hans" w:bidi="ar"/>
              </w:rPr>
              <w:t>Hubei Cancer Hospital</w:t>
            </w:r>
          </w:p>
        </w:tc>
        <w:tc>
          <w:tcPr>
            <w:tcW w:w="1347" w:type="dxa"/>
          </w:tcPr>
          <w:p w14:paraId="1F004CA2" w14:textId="77777777" w:rsidR="00140B5A" w:rsidRDefault="002771A1">
            <w:pPr>
              <w:jc w:val="center"/>
              <w:rPr>
                <w:kern w:val="0"/>
                <w:lang w:eastAsia="zh-Hans" w:bidi="ar"/>
              </w:rPr>
            </w:pPr>
            <w:r>
              <w:t>2</w:t>
            </w:r>
          </w:p>
        </w:tc>
      </w:tr>
      <w:tr w:rsidR="00140B5A" w14:paraId="1F004CA8" w14:textId="77777777">
        <w:trPr>
          <w:trHeight w:val="270"/>
        </w:trPr>
        <w:tc>
          <w:tcPr>
            <w:tcW w:w="1166" w:type="dxa"/>
          </w:tcPr>
          <w:p w14:paraId="1F004CA4" w14:textId="77777777" w:rsidR="00140B5A" w:rsidRDefault="002771A1">
            <w:pPr>
              <w:rPr>
                <w:kern w:val="0"/>
                <w:lang w:eastAsia="zh-Hans" w:bidi="ar"/>
              </w:rPr>
            </w:pPr>
            <w:r>
              <w:t>C</w:t>
            </w:r>
            <w:r>
              <w:rPr>
                <w:rFonts w:hint="eastAsia"/>
              </w:rPr>
              <w:t>hina</w:t>
            </w:r>
          </w:p>
        </w:tc>
        <w:tc>
          <w:tcPr>
            <w:tcW w:w="1775" w:type="dxa"/>
            <w:noWrap/>
          </w:tcPr>
          <w:p w14:paraId="1F004CA5" w14:textId="77777777" w:rsidR="00140B5A" w:rsidRDefault="002771A1">
            <w:pPr>
              <w:rPr>
                <w:kern w:val="0"/>
                <w:lang w:eastAsia="zh-Hans" w:bidi="ar"/>
              </w:rPr>
            </w:pPr>
            <w:r>
              <w:rPr>
                <w:rFonts w:hint="eastAsia"/>
                <w:kern w:val="0"/>
                <w:lang w:eastAsia="zh-Hans" w:bidi="ar"/>
              </w:rPr>
              <w:t>Jian Zhang</w:t>
            </w:r>
          </w:p>
        </w:tc>
        <w:tc>
          <w:tcPr>
            <w:tcW w:w="5649" w:type="dxa"/>
          </w:tcPr>
          <w:p w14:paraId="1F004CA6" w14:textId="77777777" w:rsidR="00140B5A" w:rsidRDefault="002771A1">
            <w:pPr>
              <w:rPr>
                <w:kern w:val="0"/>
                <w:lang w:eastAsia="zh-Hans" w:bidi="ar"/>
              </w:rPr>
            </w:pPr>
            <w:proofErr w:type="spellStart"/>
            <w:r>
              <w:rPr>
                <w:rFonts w:hint="eastAsia"/>
                <w:kern w:val="0"/>
                <w:lang w:eastAsia="zh-Hans" w:bidi="ar"/>
              </w:rPr>
              <w:t>ZhuJiang</w:t>
            </w:r>
            <w:proofErr w:type="spellEnd"/>
            <w:r>
              <w:rPr>
                <w:rFonts w:hint="eastAsia"/>
                <w:kern w:val="0"/>
                <w:lang w:eastAsia="zh-Hans" w:bidi="ar"/>
              </w:rPr>
              <w:t xml:space="preserve"> Hospital of Southern Medical University</w:t>
            </w:r>
          </w:p>
        </w:tc>
        <w:tc>
          <w:tcPr>
            <w:tcW w:w="1347" w:type="dxa"/>
          </w:tcPr>
          <w:p w14:paraId="1F004CA7" w14:textId="77777777" w:rsidR="00140B5A" w:rsidRDefault="002771A1">
            <w:pPr>
              <w:jc w:val="center"/>
              <w:rPr>
                <w:kern w:val="0"/>
                <w:lang w:eastAsia="zh-Hans" w:bidi="ar"/>
              </w:rPr>
            </w:pPr>
            <w:r>
              <w:t>2</w:t>
            </w:r>
          </w:p>
        </w:tc>
      </w:tr>
      <w:tr w:rsidR="00140B5A" w14:paraId="1F004CAD" w14:textId="77777777">
        <w:trPr>
          <w:trHeight w:val="270"/>
        </w:trPr>
        <w:tc>
          <w:tcPr>
            <w:tcW w:w="1166" w:type="dxa"/>
          </w:tcPr>
          <w:p w14:paraId="1F004CA9" w14:textId="77777777" w:rsidR="00140B5A" w:rsidRDefault="002771A1">
            <w:pPr>
              <w:rPr>
                <w:kern w:val="0"/>
                <w:lang w:eastAsia="zh-Hans" w:bidi="ar"/>
              </w:rPr>
            </w:pPr>
            <w:r>
              <w:t>C</w:t>
            </w:r>
            <w:r>
              <w:rPr>
                <w:rFonts w:hint="eastAsia"/>
              </w:rPr>
              <w:t>hina</w:t>
            </w:r>
          </w:p>
        </w:tc>
        <w:tc>
          <w:tcPr>
            <w:tcW w:w="1775" w:type="dxa"/>
            <w:noWrap/>
          </w:tcPr>
          <w:p w14:paraId="1F004CAA" w14:textId="77777777" w:rsidR="00140B5A" w:rsidRDefault="002771A1">
            <w:pPr>
              <w:rPr>
                <w:kern w:val="0"/>
                <w:lang w:eastAsia="zh-Hans" w:bidi="ar"/>
              </w:rPr>
            </w:pPr>
            <w:proofErr w:type="spellStart"/>
            <w:r>
              <w:rPr>
                <w:rFonts w:hint="eastAsia"/>
                <w:kern w:val="0"/>
                <w:lang w:eastAsia="zh-Hans" w:bidi="ar"/>
              </w:rPr>
              <w:t>Kairong</w:t>
            </w:r>
            <w:proofErr w:type="spellEnd"/>
            <w:r>
              <w:rPr>
                <w:rFonts w:hint="eastAsia"/>
                <w:kern w:val="0"/>
                <w:lang w:eastAsia="zh-Hans" w:bidi="ar"/>
              </w:rPr>
              <w:t xml:space="preserve"> Huang</w:t>
            </w:r>
          </w:p>
        </w:tc>
        <w:tc>
          <w:tcPr>
            <w:tcW w:w="5649" w:type="dxa"/>
          </w:tcPr>
          <w:p w14:paraId="1F004CAB" w14:textId="77777777" w:rsidR="00140B5A" w:rsidRDefault="002771A1">
            <w:pPr>
              <w:rPr>
                <w:kern w:val="0"/>
                <w:lang w:eastAsia="zh-Hans" w:bidi="ar"/>
              </w:rPr>
            </w:pPr>
            <w:proofErr w:type="spellStart"/>
            <w:r>
              <w:rPr>
                <w:rFonts w:hint="eastAsia"/>
                <w:kern w:val="0"/>
                <w:lang w:eastAsia="zh-Hans" w:bidi="ar"/>
              </w:rPr>
              <w:t>ShangRao</w:t>
            </w:r>
            <w:proofErr w:type="spellEnd"/>
            <w:r>
              <w:rPr>
                <w:rFonts w:hint="eastAsia"/>
                <w:kern w:val="0"/>
                <w:lang w:eastAsia="zh-Hans" w:bidi="ar"/>
              </w:rPr>
              <w:t xml:space="preserve"> People's </w:t>
            </w:r>
            <w:proofErr w:type="spellStart"/>
            <w:r>
              <w:rPr>
                <w:rFonts w:hint="eastAsia"/>
                <w:kern w:val="0"/>
                <w:lang w:eastAsia="zh-Hans" w:bidi="ar"/>
              </w:rPr>
              <w:t>Hosptial</w:t>
            </w:r>
            <w:proofErr w:type="spellEnd"/>
          </w:p>
        </w:tc>
        <w:tc>
          <w:tcPr>
            <w:tcW w:w="1347" w:type="dxa"/>
          </w:tcPr>
          <w:p w14:paraId="1F004CAC" w14:textId="77777777" w:rsidR="00140B5A" w:rsidRDefault="002771A1">
            <w:pPr>
              <w:jc w:val="center"/>
              <w:rPr>
                <w:kern w:val="0"/>
                <w:lang w:eastAsia="zh-Hans" w:bidi="ar"/>
              </w:rPr>
            </w:pPr>
            <w:r>
              <w:t>2</w:t>
            </w:r>
          </w:p>
        </w:tc>
      </w:tr>
      <w:tr w:rsidR="00140B5A" w14:paraId="1F004CB2" w14:textId="77777777">
        <w:trPr>
          <w:trHeight w:val="270"/>
        </w:trPr>
        <w:tc>
          <w:tcPr>
            <w:tcW w:w="1166" w:type="dxa"/>
          </w:tcPr>
          <w:p w14:paraId="1F004CAE" w14:textId="77777777" w:rsidR="00140B5A" w:rsidRDefault="002771A1">
            <w:pPr>
              <w:rPr>
                <w:kern w:val="0"/>
                <w:lang w:eastAsia="zh-Hans" w:bidi="ar"/>
              </w:rPr>
            </w:pPr>
            <w:r>
              <w:t>C</w:t>
            </w:r>
            <w:r>
              <w:rPr>
                <w:rFonts w:hint="eastAsia"/>
              </w:rPr>
              <w:t>hina</w:t>
            </w:r>
          </w:p>
        </w:tc>
        <w:tc>
          <w:tcPr>
            <w:tcW w:w="1775" w:type="dxa"/>
            <w:noWrap/>
          </w:tcPr>
          <w:p w14:paraId="1F004CAF" w14:textId="77777777" w:rsidR="00140B5A" w:rsidRDefault="002771A1">
            <w:pPr>
              <w:rPr>
                <w:kern w:val="0"/>
                <w:lang w:eastAsia="zh-Hans" w:bidi="ar"/>
              </w:rPr>
            </w:pPr>
            <w:proofErr w:type="spellStart"/>
            <w:r>
              <w:rPr>
                <w:rFonts w:hint="eastAsia"/>
                <w:kern w:val="0"/>
                <w:lang w:eastAsia="zh-Hans" w:bidi="ar"/>
              </w:rPr>
              <w:t>Zhijie</w:t>
            </w:r>
            <w:proofErr w:type="spellEnd"/>
            <w:r>
              <w:rPr>
                <w:rFonts w:hint="eastAsia"/>
                <w:kern w:val="0"/>
                <w:lang w:eastAsia="zh-Hans" w:bidi="ar"/>
              </w:rPr>
              <w:t xml:space="preserve"> Liu</w:t>
            </w:r>
          </w:p>
        </w:tc>
        <w:tc>
          <w:tcPr>
            <w:tcW w:w="5649" w:type="dxa"/>
          </w:tcPr>
          <w:p w14:paraId="1F004CB0" w14:textId="77777777" w:rsidR="00140B5A" w:rsidRDefault="002771A1">
            <w:pPr>
              <w:rPr>
                <w:kern w:val="0"/>
                <w:lang w:eastAsia="zh-Hans" w:bidi="ar"/>
              </w:rPr>
            </w:pPr>
            <w:r>
              <w:rPr>
                <w:rFonts w:hint="eastAsia"/>
                <w:kern w:val="0"/>
                <w:lang w:eastAsia="zh-Hans" w:bidi="ar"/>
              </w:rPr>
              <w:t xml:space="preserve">Gansu Provincial Maternity and </w:t>
            </w:r>
            <w:proofErr w:type="spellStart"/>
            <w:r>
              <w:rPr>
                <w:rFonts w:hint="eastAsia"/>
                <w:kern w:val="0"/>
                <w:lang w:eastAsia="zh-Hans" w:bidi="ar"/>
              </w:rPr>
              <w:t>Chlid</w:t>
            </w:r>
            <w:proofErr w:type="spellEnd"/>
            <w:r>
              <w:rPr>
                <w:rFonts w:hint="eastAsia"/>
                <w:kern w:val="0"/>
                <w:lang w:eastAsia="zh-Hans" w:bidi="ar"/>
              </w:rPr>
              <w:t xml:space="preserve"> Health Hospital</w:t>
            </w:r>
          </w:p>
        </w:tc>
        <w:tc>
          <w:tcPr>
            <w:tcW w:w="1347" w:type="dxa"/>
          </w:tcPr>
          <w:p w14:paraId="1F004CB1" w14:textId="77777777" w:rsidR="00140B5A" w:rsidRDefault="002771A1">
            <w:pPr>
              <w:jc w:val="center"/>
              <w:rPr>
                <w:kern w:val="0"/>
                <w:lang w:eastAsia="zh-Hans" w:bidi="ar"/>
              </w:rPr>
            </w:pPr>
            <w:r>
              <w:t>1</w:t>
            </w:r>
          </w:p>
        </w:tc>
      </w:tr>
      <w:tr w:rsidR="00140B5A" w14:paraId="1F004CB7" w14:textId="77777777">
        <w:trPr>
          <w:trHeight w:val="270"/>
        </w:trPr>
        <w:tc>
          <w:tcPr>
            <w:tcW w:w="1166" w:type="dxa"/>
          </w:tcPr>
          <w:p w14:paraId="1F004CB3" w14:textId="77777777" w:rsidR="00140B5A" w:rsidRDefault="002771A1">
            <w:pPr>
              <w:rPr>
                <w:kern w:val="0"/>
                <w:lang w:eastAsia="zh-Hans" w:bidi="ar"/>
              </w:rPr>
            </w:pPr>
            <w:r>
              <w:t>C</w:t>
            </w:r>
            <w:r>
              <w:rPr>
                <w:rFonts w:hint="eastAsia"/>
              </w:rPr>
              <w:t>hina</w:t>
            </w:r>
          </w:p>
        </w:tc>
        <w:tc>
          <w:tcPr>
            <w:tcW w:w="1775" w:type="dxa"/>
            <w:noWrap/>
          </w:tcPr>
          <w:p w14:paraId="1F004CB4" w14:textId="77777777" w:rsidR="00140B5A" w:rsidRDefault="002771A1">
            <w:pPr>
              <w:rPr>
                <w:kern w:val="0"/>
                <w:lang w:eastAsia="zh-Hans" w:bidi="ar"/>
              </w:rPr>
            </w:pPr>
            <w:proofErr w:type="spellStart"/>
            <w:r>
              <w:rPr>
                <w:rFonts w:hint="eastAsia"/>
                <w:kern w:val="0"/>
                <w:lang w:eastAsia="zh-Hans" w:bidi="ar"/>
              </w:rPr>
              <w:t>Zhaofeng</w:t>
            </w:r>
            <w:proofErr w:type="spellEnd"/>
            <w:r>
              <w:rPr>
                <w:rFonts w:hint="eastAsia"/>
                <w:kern w:val="0"/>
                <w:lang w:eastAsia="zh-Hans" w:bidi="ar"/>
              </w:rPr>
              <w:t xml:space="preserve"> Zhu</w:t>
            </w:r>
          </w:p>
        </w:tc>
        <w:tc>
          <w:tcPr>
            <w:tcW w:w="5649" w:type="dxa"/>
          </w:tcPr>
          <w:p w14:paraId="1F004CB5" w14:textId="77777777" w:rsidR="00140B5A" w:rsidRDefault="002771A1">
            <w:pPr>
              <w:rPr>
                <w:kern w:val="0"/>
                <w:lang w:eastAsia="zh-Hans" w:bidi="ar"/>
              </w:rPr>
            </w:pPr>
            <w:proofErr w:type="spellStart"/>
            <w:r>
              <w:rPr>
                <w:rFonts w:hint="eastAsia"/>
                <w:kern w:val="0"/>
                <w:lang w:eastAsia="zh-Hans" w:bidi="ar"/>
              </w:rPr>
              <w:t>Taian</w:t>
            </w:r>
            <w:proofErr w:type="spellEnd"/>
            <w:r>
              <w:rPr>
                <w:rFonts w:hint="eastAsia"/>
                <w:kern w:val="0"/>
                <w:lang w:eastAsia="zh-Hans" w:bidi="ar"/>
              </w:rPr>
              <w:t xml:space="preserve"> City Central Hospital</w:t>
            </w:r>
          </w:p>
        </w:tc>
        <w:tc>
          <w:tcPr>
            <w:tcW w:w="1347" w:type="dxa"/>
          </w:tcPr>
          <w:p w14:paraId="1F004CB6" w14:textId="77777777" w:rsidR="00140B5A" w:rsidRDefault="002771A1">
            <w:pPr>
              <w:jc w:val="center"/>
              <w:rPr>
                <w:kern w:val="0"/>
                <w:lang w:eastAsia="zh-Hans" w:bidi="ar"/>
              </w:rPr>
            </w:pPr>
            <w:r>
              <w:t>1</w:t>
            </w:r>
          </w:p>
        </w:tc>
      </w:tr>
      <w:tr w:rsidR="00140B5A" w14:paraId="1F004CBC" w14:textId="77777777">
        <w:trPr>
          <w:trHeight w:val="270"/>
        </w:trPr>
        <w:tc>
          <w:tcPr>
            <w:tcW w:w="1166" w:type="dxa"/>
          </w:tcPr>
          <w:p w14:paraId="1F004CB8" w14:textId="77777777" w:rsidR="00140B5A" w:rsidRDefault="002771A1">
            <w:pPr>
              <w:rPr>
                <w:kern w:val="0"/>
                <w:lang w:eastAsia="zh-Hans" w:bidi="ar"/>
              </w:rPr>
            </w:pPr>
            <w:r>
              <w:t>C</w:t>
            </w:r>
            <w:r>
              <w:rPr>
                <w:rFonts w:hint="eastAsia"/>
              </w:rPr>
              <w:t>hina</w:t>
            </w:r>
          </w:p>
        </w:tc>
        <w:tc>
          <w:tcPr>
            <w:tcW w:w="1775" w:type="dxa"/>
            <w:noWrap/>
          </w:tcPr>
          <w:p w14:paraId="1F004CB9" w14:textId="77777777" w:rsidR="00140B5A" w:rsidRDefault="002771A1">
            <w:pPr>
              <w:rPr>
                <w:kern w:val="0"/>
                <w:lang w:eastAsia="zh-Hans" w:bidi="ar"/>
              </w:rPr>
            </w:pPr>
            <w:r>
              <w:rPr>
                <w:rFonts w:hint="eastAsia"/>
                <w:kern w:val="0"/>
                <w:lang w:eastAsia="zh-Hans" w:bidi="ar"/>
              </w:rPr>
              <w:t xml:space="preserve">Fan </w:t>
            </w:r>
            <w:proofErr w:type="spellStart"/>
            <w:r>
              <w:rPr>
                <w:rFonts w:hint="eastAsia"/>
                <w:kern w:val="0"/>
                <w:lang w:eastAsia="zh-Hans" w:bidi="ar"/>
              </w:rPr>
              <w:t>Xie</w:t>
            </w:r>
            <w:proofErr w:type="spellEnd"/>
          </w:p>
        </w:tc>
        <w:tc>
          <w:tcPr>
            <w:tcW w:w="5649" w:type="dxa"/>
          </w:tcPr>
          <w:p w14:paraId="1F004CBA" w14:textId="77777777" w:rsidR="00140B5A" w:rsidRDefault="002771A1">
            <w:pPr>
              <w:rPr>
                <w:kern w:val="0"/>
                <w:lang w:eastAsia="zh-Hans" w:bidi="ar"/>
              </w:rPr>
            </w:pPr>
            <w:proofErr w:type="spellStart"/>
            <w:r>
              <w:rPr>
                <w:rFonts w:hint="eastAsia"/>
                <w:kern w:val="0"/>
                <w:lang w:eastAsia="zh-Hans" w:bidi="ar"/>
              </w:rPr>
              <w:t>Genor</w:t>
            </w:r>
            <w:proofErr w:type="spellEnd"/>
            <w:r>
              <w:rPr>
                <w:rFonts w:hint="eastAsia"/>
                <w:kern w:val="0"/>
                <w:lang w:eastAsia="zh-Hans" w:bidi="ar"/>
              </w:rPr>
              <w:t xml:space="preserve"> Biopharma Co., Ltd.</w:t>
            </w:r>
          </w:p>
        </w:tc>
        <w:tc>
          <w:tcPr>
            <w:tcW w:w="1347" w:type="dxa"/>
          </w:tcPr>
          <w:p w14:paraId="1F004CBB" w14:textId="77777777" w:rsidR="00140B5A" w:rsidRDefault="00140B5A">
            <w:pPr>
              <w:jc w:val="center"/>
              <w:rPr>
                <w:kern w:val="0"/>
                <w:lang w:eastAsia="zh-Hans" w:bidi="ar"/>
              </w:rPr>
            </w:pPr>
          </w:p>
        </w:tc>
      </w:tr>
      <w:tr w:rsidR="00140B5A" w14:paraId="1F004CC1" w14:textId="77777777">
        <w:trPr>
          <w:trHeight w:val="270"/>
        </w:trPr>
        <w:tc>
          <w:tcPr>
            <w:tcW w:w="1166" w:type="dxa"/>
          </w:tcPr>
          <w:p w14:paraId="1F004CBD" w14:textId="77777777" w:rsidR="00140B5A" w:rsidRDefault="002771A1">
            <w:pPr>
              <w:rPr>
                <w:kern w:val="0"/>
                <w:lang w:eastAsia="zh-Hans" w:bidi="ar"/>
              </w:rPr>
            </w:pPr>
            <w:r>
              <w:lastRenderedPageBreak/>
              <w:t>C</w:t>
            </w:r>
            <w:r>
              <w:rPr>
                <w:rFonts w:hint="eastAsia"/>
              </w:rPr>
              <w:t>hina</w:t>
            </w:r>
          </w:p>
        </w:tc>
        <w:tc>
          <w:tcPr>
            <w:tcW w:w="1775" w:type="dxa"/>
            <w:noWrap/>
          </w:tcPr>
          <w:p w14:paraId="1F004CBE" w14:textId="77777777" w:rsidR="00140B5A" w:rsidRDefault="002771A1">
            <w:pPr>
              <w:rPr>
                <w:kern w:val="0"/>
                <w:lang w:eastAsia="zh-Hans" w:bidi="ar"/>
              </w:rPr>
            </w:pPr>
            <w:proofErr w:type="spellStart"/>
            <w:r>
              <w:rPr>
                <w:rFonts w:hint="eastAsia"/>
                <w:kern w:val="0"/>
                <w:lang w:eastAsia="zh-Hans" w:bidi="ar"/>
              </w:rPr>
              <w:t>Yunyan</w:t>
            </w:r>
            <w:proofErr w:type="spellEnd"/>
            <w:r>
              <w:rPr>
                <w:rFonts w:hint="eastAsia"/>
                <w:kern w:val="0"/>
                <w:lang w:eastAsia="zh-Hans" w:bidi="ar"/>
              </w:rPr>
              <w:t xml:space="preserve"> Zhang</w:t>
            </w:r>
          </w:p>
        </w:tc>
        <w:tc>
          <w:tcPr>
            <w:tcW w:w="5649" w:type="dxa"/>
          </w:tcPr>
          <w:p w14:paraId="1F004CBF" w14:textId="77777777" w:rsidR="00140B5A" w:rsidRDefault="002771A1">
            <w:pPr>
              <w:rPr>
                <w:kern w:val="0"/>
                <w:lang w:eastAsia="zh-Hans" w:bidi="ar"/>
              </w:rPr>
            </w:pPr>
            <w:r>
              <w:rPr>
                <w:rFonts w:hint="eastAsia"/>
                <w:kern w:val="0"/>
                <w:lang w:eastAsia="zh-Hans" w:bidi="ar"/>
              </w:rPr>
              <w:t xml:space="preserve">Harbin Medical University Cancer </w:t>
            </w:r>
            <w:proofErr w:type="spellStart"/>
            <w:r>
              <w:rPr>
                <w:rFonts w:hint="eastAsia"/>
                <w:kern w:val="0"/>
                <w:lang w:eastAsia="zh-Hans" w:bidi="ar"/>
              </w:rPr>
              <w:t>Hostipal</w:t>
            </w:r>
            <w:proofErr w:type="spellEnd"/>
          </w:p>
        </w:tc>
        <w:tc>
          <w:tcPr>
            <w:tcW w:w="1347" w:type="dxa"/>
          </w:tcPr>
          <w:p w14:paraId="1F004CC0" w14:textId="77777777" w:rsidR="00140B5A" w:rsidRDefault="002771A1">
            <w:pPr>
              <w:jc w:val="center"/>
              <w:rPr>
                <w:kern w:val="0"/>
                <w:lang w:eastAsia="zh-Hans" w:bidi="ar"/>
              </w:rPr>
            </w:pPr>
            <w:r>
              <w:t>22</w:t>
            </w:r>
          </w:p>
        </w:tc>
      </w:tr>
      <w:tr w:rsidR="00140B5A" w14:paraId="1F004CC6" w14:textId="77777777">
        <w:trPr>
          <w:trHeight w:val="1099"/>
        </w:trPr>
        <w:tc>
          <w:tcPr>
            <w:tcW w:w="1166" w:type="dxa"/>
          </w:tcPr>
          <w:p w14:paraId="1F004CC2" w14:textId="77777777" w:rsidR="00140B5A" w:rsidRDefault="002771A1">
            <w:pPr>
              <w:rPr>
                <w:kern w:val="0"/>
                <w:lang w:eastAsia="zh-Hans" w:bidi="ar"/>
              </w:rPr>
            </w:pPr>
            <w:r>
              <w:t>C</w:t>
            </w:r>
            <w:r>
              <w:rPr>
                <w:rFonts w:hint="eastAsia"/>
              </w:rPr>
              <w:t>hina</w:t>
            </w:r>
          </w:p>
        </w:tc>
        <w:tc>
          <w:tcPr>
            <w:tcW w:w="1775" w:type="dxa"/>
            <w:noWrap/>
          </w:tcPr>
          <w:p w14:paraId="1F004CC3" w14:textId="77777777" w:rsidR="00140B5A" w:rsidRDefault="002771A1">
            <w:pPr>
              <w:rPr>
                <w:kern w:val="0"/>
                <w:lang w:eastAsia="zh-Hans" w:bidi="ar"/>
              </w:rPr>
            </w:pPr>
            <w:proofErr w:type="spellStart"/>
            <w:r>
              <w:rPr>
                <w:rFonts w:hint="eastAsia"/>
                <w:kern w:val="0"/>
                <w:lang w:eastAsia="zh-Hans" w:bidi="ar"/>
              </w:rPr>
              <w:t>Lingying</w:t>
            </w:r>
            <w:proofErr w:type="spellEnd"/>
            <w:r>
              <w:rPr>
                <w:rFonts w:hint="eastAsia"/>
                <w:kern w:val="0"/>
                <w:lang w:eastAsia="zh-Hans" w:bidi="ar"/>
              </w:rPr>
              <w:t xml:space="preserve"> Wu</w:t>
            </w:r>
          </w:p>
        </w:tc>
        <w:tc>
          <w:tcPr>
            <w:tcW w:w="5649" w:type="dxa"/>
          </w:tcPr>
          <w:p w14:paraId="1F004CC4" w14:textId="77777777" w:rsidR="00140B5A" w:rsidRDefault="002771A1">
            <w:pPr>
              <w:rPr>
                <w:kern w:val="0"/>
                <w:lang w:eastAsia="zh-Hans" w:bidi="ar"/>
              </w:rPr>
            </w:pPr>
            <w:r>
              <w:rPr>
                <w:rFonts w:hint="eastAsia"/>
                <w:kern w:val="0"/>
                <w:lang w:eastAsia="zh-Hans" w:bidi="ar"/>
              </w:rPr>
              <w:t>Department of Gynecologic Oncology, National Cancer Center/ National Clinical Research Center for Cancer/ Cancer Hospital, Chinese Academy of Medical Sciences and Peking Union Medical College</w:t>
            </w:r>
          </w:p>
        </w:tc>
        <w:tc>
          <w:tcPr>
            <w:tcW w:w="1347" w:type="dxa"/>
          </w:tcPr>
          <w:p w14:paraId="1F004CC5" w14:textId="77777777" w:rsidR="00140B5A" w:rsidRDefault="002771A1">
            <w:pPr>
              <w:jc w:val="center"/>
              <w:rPr>
                <w:kern w:val="0"/>
                <w:lang w:eastAsia="zh-Hans" w:bidi="ar"/>
              </w:rPr>
            </w:pPr>
            <w:r>
              <w:t>7</w:t>
            </w:r>
          </w:p>
        </w:tc>
      </w:tr>
    </w:tbl>
    <w:p w14:paraId="1F004CC7" w14:textId="77777777" w:rsidR="00140B5A" w:rsidRDefault="00140B5A">
      <w:pPr>
        <w:rPr>
          <w:kern w:val="0"/>
          <w:lang w:eastAsia="zh-Hans" w:bidi="ar"/>
        </w:rPr>
      </w:pPr>
    </w:p>
    <w:p w14:paraId="1F004CC8" w14:textId="77777777" w:rsidR="00140B5A" w:rsidRDefault="002771A1">
      <w:r>
        <w:br w:type="page"/>
      </w:r>
    </w:p>
    <w:p w14:paraId="1F004CC9" w14:textId="77777777" w:rsidR="00140B5A" w:rsidRDefault="002771A1">
      <w:pPr>
        <w:pStyle w:val="1"/>
        <w:numPr>
          <w:ilvl w:val="0"/>
          <w:numId w:val="0"/>
        </w:numPr>
        <w:ind w:left="432" w:hanging="432"/>
      </w:pPr>
      <w:bookmarkStart w:id="1" w:name="_Toc129963873"/>
      <w:r>
        <w:lastRenderedPageBreak/>
        <w:t>Table S1. Time to response (assessed by independent reviewer)</w:t>
      </w:r>
      <w:bookmarkEnd w:id="1"/>
    </w:p>
    <w:tbl>
      <w:tblPr>
        <w:tblW w:w="5000" w:type="pct"/>
        <w:tblInd w:w="13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937"/>
        <w:gridCol w:w="4809"/>
      </w:tblGrid>
      <w:tr w:rsidR="00140B5A" w14:paraId="1F004CCC" w14:textId="77777777">
        <w:trPr>
          <w:cantSplit/>
        </w:trPr>
        <w:tc>
          <w:tcPr>
            <w:tcW w:w="2533" w:type="pct"/>
            <w:tcBorders>
              <w:top w:val="single" w:sz="4" w:space="0" w:color="auto"/>
              <w:left w:val="nil"/>
              <w:bottom w:val="single" w:sz="4" w:space="0" w:color="auto"/>
              <w:right w:val="nil"/>
            </w:tcBorders>
            <w:tcMar>
              <w:top w:w="0" w:type="dxa"/>
              <w:left w:w="20" w:type="dxa"/>
              <w:bottom w:w="0" w:type="dxa"/>
              <w:right w:w="20" w:type="dxa"/>
            </w:tcMar>
            <w:vAlign w:val="bottom"/>
          </w:tcPr>
          <w:p w14:paraId="1F004CCA" w14:textId="77777777" w:rsidR="00140B5A" w:rsidRDefault="00140B5A">
            <w:pPr>
              <w:adjustRightInd w:val="0"/>
              <w:spacing w:before="60" w:after="60"/>
              <w:rPr>
                <w:b/>
                <w:bCs/>
              </w:rPr>
            </w:pPr>
          </w:p>
        </w:tc>
        <w:tc>
          <w:tcPr>
            <w:tcW w:w="2467" w:type="pct"/>
            <w:tcBorders>
              <w:top w:val="single" w:sz="4" w:space="0" w:color="auto"/>
              <w:left w:val="nil"/>
              <w:bottom w:val="single" w:sz="4" w:space="0" w:color="auto"/>
              <w:right w:val="nil"/>
            </w:tcBorders>
            <w:tcMar>
              <w:top w:w="0" w:type="dxa"/>
              <w:left w:w="20" w:type="dxa"/>
              <w:bottom w:w="0" w:type="dxa"/>
              <w:right w:w="20" w:type="dxa"/>
            </w:tcMar>
            <w:vAlign w:val="bottom"/>
          </w:tcPr>
          <w:p w14:paraId="1F004CCB" w14:textId="77777777" w:rsidR="00140B5A" w:rsidRDefault="002771A1">
            <w:pPr>
              <w:adjustRightInd w:val="0"/>
              <w:spacing w:before="60" w:after="60"/>
              <w:jc w:val="center"/>
              <w:rPr>
                <w:b/>
                <w:bCs/>
              </w:rPr>
            </w:pPr>
            <w:r>
              <w:rPr>
                <w:b/>
                <w:bCs/>
              </w:rPr>
              <w:t xml:space="preserve"> N = 100</w:t>
            </w:r>
          </w:p>
        </w:tc>
      </w:tr>
      <w:tr w:rsidR="00140B5A" w14:paraId="1F004CCF" w14:textId="77777777">
        <w:trPr>
          <w:cantSplit/>
        </w:trPr>
        <w:tc>
          <w:tcPr>
            <w:tcW w:w="2533" w:type="pct"/>
            <w:tcBorders>
              <w:top w:val="single" w:sz="4" w:space="0" w:color="auto"/>
              <w:left w:val="nil"/>
              <w:bottom w:val="nil"/>
              <w:right w:val="nil"/>
            </w:tcBorders>
            <w:tcMar>
              <w:top w:w="0" w:type="dxa"/>
              <w:left w:w="20" w:type="dxa"/>
              <w:bottom w:w="0" w:type="dxa"/>
              <w:right w:w="20" w:type="dxa"/>
            </w:tcMar>
          </w:tcPr>
          <w:p w14:paraId="1F004CCD" w14:textId="77777777" w:rsidR="00140B5A" w:rsidRDefault="002771A1">
            <w:pPr>
              <w:adjustRightInd w:val="0"/>
              <w:spacing w:before="60" w:after="60"/>
              <w:rPr>
                <w:color w:val="000000"/>
              </w:rPr>
            </w:pPr>
            <w:r>
              <w:rPr>
                <w:color w:val="000000"/>
              </w:rPr>
              <w:t>Time to response</w:t>
            </w:r>
            <w:r>
              <w:rPr>
                <w:color w:val="000000"/>
              </w:rPr>
              <w:t>（</w:t>
            </w:r>
            <w:r>
              <w:rPr>
                <w:rFonts w:hint="eastAsia"/>
                <w:color w:val="000000"/>
              </w:rPr>
              <w:t>m</w:t>
            </w:r>
            <w:r>
              <w:rPr>
                <w:color w:val="000000"/>
              </w:rPr>
              <w:t>onths</w:t>
            </w:r>
            <w:r>
              <w:rPr>
                <w:color w:val="000000"/>
              </w:rPr>
              <w:t>）</w:t>
            </w:r>
            <w:r>
              <w:rPr>
                <w:rFonts w:hint="eastAsia"/>
                <w:color w:val="000000"/>
              </w:rPr>
              <w:t>*</w:t>
            </w:r>
          </w:p>
        </w:tc>
        <w:tc>
          <w:tcPr>
            <w:tcW w:w="2467" w:type="pct"/>
            <w:tcBorders>
              <w:top w:val="single" w:sz="4" w:space="0" w:color="auto"/>
              <w:left w:val="nil"/>
              <w:bottom w:val="nil"/>
              <w:right w:val="nil"/>
            </w:tcBorders>
            <w:tcMar>
              <w:top w:w="0" w:type="dxa"/>
              <w:left w:w="20" w:type="dxa"/>
              <w:bottom w:w="0" w:type="dxa"/>
              <w:right w:w="20" w:type="dxa"/>
            </w:tcMar>
          </w:tcPr>
          <w:p w14:paraId="1F004CCE" w14:textId="77777777" w:rsidR="00140B5A" w:rsidRDefault="00140B5A">
            <w:pPr>
              <w:adjustRightInd w:val="0"/>
              <w:spacing w:before="60" w:after="60"/>
              <w:jc w:val="center"/>
              <w:rPr>
                <w:color w:val="000000"/>
              </w:rPr>
            </w:pPr>
          </w:p>
        </w:tc>
      </w:tr>
      <w:tr w:rsidR="00140B5A" w14:paraId="1F004CD2" w14:textId="77777777">
        <w:trPr>
          <w:cantSplit/>
        </w:trPr>
        <w:tc>
          <w:tcPr>
            <w:tcW w:w="2533" w:type="pct"/>
            <w:tcBorders>
              <w:top w:val="nil"/>
              <w:left w:val="nil"/>
              <w:bottom w:val="nil"/>
              <w:right w:val="nil"/>
            </w:tcBorders>
            <w:tcMar>
              <w:top w:w="0" w:type="dxa"/>
              <w:left w:w="20" w:type="dxa"/>
              <w:bottom w:w="0" w:type="dxa"/>
              <w:right w:w="20" w:type="dxa"/>
            </w:tcMar>
          </w:tcPr>
          <w:p w14:paraId="1F004CD0" w14:textId="77777777" w:rsidR="00140B5A" w:rsidRDefault="002771A1">
            <w:pPr>
              <w:adjustRightInd w:val="0"/>
              <w:spacing w:before="60" w:after="60"/>
              <w:rPr>
                <w:color w:val="000000"/>
              </w:rPr>
            </w:pPr>
            <w:r>
              <w:rPr>
                <w:color w:val="000000"/>
              </w:rPr>
              <w:t xml:space="preserve">  </w:t>
            </w:r>
            <w:r>
              <w:rPr>
                <w:rFonts w:hint="eastAsia"/>
                <w:color w:val="000000"/>
              </w:rPr>
              <w:t>n</w:t>
            </w:r>
          </w:p>
        </w:tc>
        <w:tc>
          <w:tcPr>
            <w:tcW w:w="2467" w:type="pct"/>
            <w:tcBorders>
              <w:top w:val="nil"/>
              <w:left w:val="nil"/>
              <w:bottom w:val="nil"/>
              <w:right w:val="nil"/>
            </w:tcBorders>
            <w:tcMar>
              <w:top w:w="0" w:type="dxa"/>
              <w:left w:w="20" w:type="dxa"/>
              <w:bottom w:w="0" w:type="dxa"/>
              <w:right w:w="20" w:type="dxa"/>
            </w:tcMar>
          </w:tcPr>
          <w:p w14:paraId="1F004CD1" w14:textId="77777777" w:rsidR="00140B5A" w:rsidRDefault="002771A1">
            <w:pPr>
              <w:adjustRightInd w:val="0"/>
              <w:spacing w:before="60" w:after="60"/>
              <w:jc w:val="center"/>
              <w:rPr>
                <w:color w:val="000000"/>
              </w:rPr>
            </w:pPr>
            <w:r>
              <w:rPr>
                <w:color w:val="000000"/>
              </w:rPr>
              <w:t>18</w:t>
            </w:r>
          </w:p>
        </w:tc>
      </w:tr>
      <w:tr w:rsidR="00140B5A" w14:paraId="1F004CD5" w14:textId="77777777">
        <w:trPr>
          <w:cantSplit/>
        </w:trPr>
        <w:tc>
          <w:tcPr>
            <w:tcW w:w="2533" w:type="pct"/>
            <w:tcBorders>
              <w:top w:val="nil"/>
              <w:left w:val="nil"/>
              <w:bottom w:val="nil"/>
              <w:right w:val="nil"/>
            </w:tcBorders>
            <w:tcMar>
              <w:top w:w="0" w:type="dxa"/>
              <w:left w:w="20" w:type="dxa"/>
              <w:bottom w:w="0" w:type="dxa"/>
              <w:right w:w="20" w:type="dxa"/>
            </w:tcMar>
          </w:tcPr>
          <w:p w14:paraId="1F004CD3" w14:textId="77777777" w:rsidR="00140B5A" w:rsidRDefault="002771A1">
            <w:pPr>
              <w:adjustRightInd w:val="0"/>
              <w:spacing w:before="60" w:after="60"/>
              <w:rPr>
                <w:color w:val="000000"/>
              </w:rPr>
            </w:pPr>
            <w:r>
              <w:rPr>
                <w:color w:val="000000"/>
              </w:rPr>
              <w:t xml:space="preserve">  </w:t>
            </w:r>
            <w:r>
              <w:rPr>
                <w:rFonts w:hint="eastAsia"/>
                <w:color w:val="000000"/>
              </w:rPr>
              <w:t>M</w:t>
            </w:r>
            <w:r>
              <w:rPr>
                <w:color w:val="000000"/>
              </w:rPr>
              <w:t>ean</w:t>
            </w:r>
            <w:r>
              <w:rPr>
                <w:color w:val="000000"/>
              </w:rPr>
              <w:t>（</w:t>
            </w:r>
            <w:r>
              <w:rPr>
                <w:rFonts w:hint="eastAsia"/>
                <w:color w:val="000000"/>
              </w:rPr>
              <w:t>S</w:t>
            </w:r>
            <w:r>
              <w:rPr>
                <w:color w:val="000000"/>
              </w:rPr>
              <w:t>D</w:t>
            </w:r>
            <w:r>
              <w:rPr>
                <w:color w:val="000000"/>
              </w:rPr>
              <w:t>）</w:t>
            </w:r>
          </w:p>
        </w:tc>
        <w:tc>
          <w:tcPr>
            <w:tcW w:w="2467" w:type="pct"/>
            <w:tcBorders>
              <w:top w:val="nil"/>
              <w:left w:val="nil"/>
              <w:bottom w:val="nil"/>
              <w:right w:val="nil"/>
            </w:tcBorders>
            <w:tcMar>
              <w:top w:w="0" w:type="dxa"/>
              <w:left w:w="20" w:type="dxa"/>
              <w:bottom w:w="0" w:type="dxa"/>
              <w:right w:w="20" w:type="dxa"/>
            </w:tcMar>
          </w:tcPr>
          <w:p w14:paraId="1F004CD4" w14:textId="77777777" w:rsidR="00140B5A" w:rsidRDefault="002771A1">
            <w:pPr>
              <w:adjustRightInd w:val="0"/>
              <w:spacing w:before="60" w:after="60"/>
              <w:jc w:val="center"/>
              <w:rPr>
                <w:color w:val="000000"/>
              </w:rPr>
            </w:pPr>
            <w:r>
              <w:rPr>
                <w:color w:val="000000"/>
              </w:rPr>
              <w:t>2.114 (0.9316)</w:t>
            </w:r>
          </w:p>
        </w:tc>
      </w:tr>
      <w:tr w:rsidR="00140B5A" w14:paraId="1F004CD8" w14:textId="77777777">
        <w:trPr>
          <w:cantSplit/>
        </w:trPr>
        <w:tc>
          <w:tcPr>
            <w:tcW w:w="2533" w:type="pct"/>
            <w:tcBorders>
              <w:top w:val="nil"/>
              <w:left w:val="nil"/>
              <w:bottom w:val="nil"/>
              <w:right w:val="nil"/>
            </w:tcBorders>
            <w:tcMar>
              <w:top w:w="0" w:type="dxa"/>
              <w:left w:w="20" w:type="dxa"/>
              <w:bottom w:w="0" w:type="dxa"/>
              <w:right w:w="20" w:type="dxa"/>
            </w:tcMar>
          </w:tcPr>
          <w:p w14:paraId="1F004CD6" w14:textId="77777777" w:rsidR="00140B5A" w:rsidRDefault="002771A1">
            <w:pPr>
              <w:adjustRightInd w:val="0"/>
              <w:spacing w:before="60" w:after="60"/>
              <w:rPr>
                <w:color w:val="000000"/>
              </w:rPr>
            </w:pPr>
            <w:r>
              <w:rPr>
                <w:color w:val="000000"/>
              </w:rPr>
              <w:t xml:space="preserve">  </w:t>
            </w:r>
            <w:r>
              <w:rPr>
                <w:rFonts w:hint="eastAsia"/>
                <w:color w:val="000000"/>
              </w:rPr>
              <w:t>M</w:t>
            </w:r>
            <w:r>
              <w:rPr>
                <w:color w:val="000000"/>
              </w:rPr>
              <w:t>edian</w:t>
            </w:r>
          </w:p>
        </w:tc>
        <w:tc>
          <w:tcPr>
            <w:tcW w:w="2467" w:type="pct"/>
            <w:tcBorders>
              <w:top w:val="nil"/>
              <w:left w:val="nil"/>
              <w:bottom w:val="nil"/>
              <w:right w:val="nil"/>
            </w:tcBorders>
            <w:tcMar>
              <w:top w:w="0" w:type="dxa"/>
              <w:left w:w="20" w:type="dxa"/>
              <w:bottom w:w="0" w:type="dxa"/>
              <w:right w:w="20" w:type="dxa"/>
            </w:tcMar>
          </w:tcPr>
          <w:p w14:paraId="1F004CD7" w14:textId="77777777" w:rsidR="00140B5A" w:rsidRDefault="002771A1">
            <w:pPr>
              <w:adjustRightInd w:val="0"/>
              <w:spacing w:before="60" w:after="60"/>
              <w:jc w:val="center"/>
              <w:rPr>
                <w:color w:val="000000"/>
              </w:rPr>
            </w:pPr>
            <w:r>
              <w:rPr>
                <w:color w:val="000000"/>
              </w:rPr>
              <w:t>1.823</w:t>
            </w:r>
          </w:p>
        </w:tc>
      </w:tr>
      <w:tr w:rsidR="00140B5A" w14:paraId="1F004CDB" w14:textId="77777777">
        <w:trPr>
          <w:cantSplit/>
        </w:trPr>
        <w:tc>
          <w:tcPr>
            <w:tcW w:w="2533" w:type="pct"/>
            <w:tcBorders>
              <w:top w:val="nil"/>
              <w:left w:val="nil"/>
              <w:bottom w:val="single" w:sz="4" w:space="0" w:color="auto"/>
              <w:right w:val="nil"/>
            </w:tcBorders>
            <w:tcMar>
              <w:top w:w="0" w:type="dxa"/>
              <w:left w:w="20" w:type="dxa"/>
              <w:bottom w:w="0" w:type="dxa"/>
              <w:right w:w="20" w:type="dxa"/>
            </w:tcMar>
          </w:tcPr>
          <w:p w14:paraId="1F004CD9" w14:textId="77777777" w:rsidR="00140B5A" w:rsidRDefault="002771A1">
            <w:pPr>
              <w:adjustRightInd w:val="0"/>
              <w:spacing w:before="60" w:after="60"/>
              <w:rPr>
                <w:color w:val="000000"/>
              </w:rPr>
            </w:pPr>
            <w:r>
              <w:rPr>
                <w:color w:val="000000"/>
              </w:rPr>
              <w:t xml:space="preserve">  </w:t>
            </w:r>
            <w:r>
              <w:rPr>
                <w:rFonts w:hint="eastAsia"/>
                <w:color w:val="000000"/>
              </w:rPr>
              <w:t>m</w:t>
            </w:r>
            <w:r>
              <w:rPr>
                <w:color w:val="000000"/>
              </w:rPr>
              <w:t>in</w:t>
            </w:r>
            <w:r>
              <w:rPr>
                <w:color w:val="000000"/>
              </w:rPr>
              <w:t>，</w:t>
            </w:r>
            <w:r>
              <w:rPr>
                <w:rFonts w:hint="eastAsia"/>
                <w:color w:val="000000"/>
              </w:rPr>
              <w:t>m</w:t>
            </w:r>
            <w:r>
              <w:rPr>
                <w:color w:val="000000"/>
              </w:rPr>
              <w:t>ax</w:t>
            </w:r>
          </w:p>
        </w:tc>
        <w:tc>
          <w:tcPr>
            <w:tcW w:w="2467" w:type="pct"/>
            <w:tcBorders>
              <w:top w:val="nil"/>
              <w:left w:val="nil"/>
              <w:bottom w:val="single" w:sz="4" w:space="0" w:color="auto"/>
              <w:right w:val="nil"/>
            </w:tcBorders>
            <w:tcMar>
              <w:top w:w="0" w:type="dxa"/>
              <w:left w:w="20" w:type="dxa"/>
              <w:bottom w:w="0" w:type="dxa"/>
              <w:right w:w="20" w:type="dxa"/>
            </w:tcMar>
          </w:tcPr>
          <w:p w14:paraId="1F004CDA" w14:textId="77777777" w:rsidR="00140B5A" w:rsidRDefault="002771A1">
            <w:pPr>
              <w:adjustRightInd w:val="0"/>
              <w:spacing w:before="60" w:after="60"/>
              <w:jc w:val="center"/>
              <w:rPr>
                <w:color w:val="000000"/>
              </w:rPr>
            </w:pPr>
            <w:r>
              <w:rPr>
                <w:color w:val="000000"/>
              </w:rPr>
              <w:t>1.71, 5.36</w:t>
            </w:r>
          </w:p>
        </w:tc>
      </w:tr>
    </w:tbl>
    <w:p w14:paraId="1F004CDC" w14:textId="77777777" w:rsidR="00140B5A" w:rsidRDefault="002771A1">
      <w:r>
        <w:t xml:space="preserve">*Independent review committee-assessed confirmed time to </w:t>
      </w:r>
      <w:proofErr w:type="gramStart"/>
      <w:r>
        <w:t>response by Response</w:t>
      </w:r>
      <w:proofErr w:type="gramEnd"/>
      <w:r>
        <w:t xml:space="preserve"> Evaluation Criteria in Solid Tumors (version 1.1).</w:t>
      </w:r>
    </w:p>
    <w:p w14:paraId="1F004CDD" w14:textId="77777777" w:rsidR="00140B5A" w:rsidRDefault="00140B5A"/>
    <w:p w14:paraId="1F004CDE" w14:textId="77777777" w:rsidR="00140B5A" w:rsidRDefault="00140B5A"/>
    <w:p w14:paraId="1F004CDF" w14:textId="77777777" w:rsidR="00140B5A" w:rsidRDefault="00140B5A"/>
    <w:p w14:paraId="1F004CE0" w14:textId="77777777" w:rsidR="00140B5A" w:rsidRDefault="002771A1">
      <w:r>
        <w:br w:type="page"/>
      </w:r>
    </w:p>
    <w:p w14:paraId="1F004CE1" w14:textId="77777777" w:rsidR="00140B5A" w:rsidRDefault="002771A1">
      <w:pPr>
        <w:pStyle w:val="1"/>
        <w:numPr>
          <w:ilvl w:val="0"/>
          <w:numId w:val="0"/>
        </w:numPr>
        <w:ind w:left="432" w:hanging="432"/>
      </w:pPr>
      <w:bookmarkStart w:id="2" w:name="_Toc129963874"/>
      <w:r>
        <w:lastRenderedPageBreak/>
        <w:t>Table S2. Summary of serious treatment-related adverse events</w:t>
      </w:r>
      <w:bookmarkEnd w:id="2"/>
      <w:r>
        <w:t xml:space="preserve"> </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349"/>
        <w:gridCol w:w="1265"/>
        <w:gridCol w:w="971"/>
        <w:gridCol w:w="1072"/>
        <w:gridCol w:w="1072"/>
        <w:gridCol w:w="1072"/>
        <w:gridCol w:w="945"/>
      </w:tblGrid>
      <w:tr w:rsidR="00140B5A" w14:paraId="1F004CE4" w14:textId="77777777">
        <w:trPr>
          <w:cantSplit/>
          <w:jc w:val="center"/>
        </w:trPr>
        <w:tc>
          <w:tcPr>
            <w:tcW w:w="1718" w:type="pct"/>
            <w:tcMar>
              <w:top w:w="0" w:type="dxa"/>
              <w:left w:w="20" w:type="dxa"/>
              <w:bottom w:w="0" w:type="dxa"/>
              <w:right w:w="20" w:type="dxa"/>
            </w:tcMar>
            <w:vAlign w:val="center"/>
          </w:tcPr>
          <w:p w14:paraId="1F004CE2" w14:textId="77777777" w:rsidR="00140B5A" w:rsidRDefault="00140B5A">
            <w:pPr>
              <w:adjustRightInd w:val="0"/>
              <w:spacing w:before="60" w:after="60"/>
              <w:jc w:val="both"/>
              <w:rPr>
                <w:b/>
                <w:bCs/>
              </w:rPr>
            </w:pPr>
          </w:p>
        </w:tc>
        <w:tc>
          <w:tcPr>
            <w:tcW w:w="3282" w:type="pct"/>
            <w:gridSpan w:val="6"/>
            <w:tcMar>
              <w:top w:w="0" w:type="dxa"/>
              <w:left w:w="20" w:type="dxa"/>
              <w:bottom w:w="0" w:type="dxa"/>
              <w:right w:w="20" w:type="dxa"/>
            </w:tcMar>
            <w:vAlign w:val="center"/>
          </w:tcPr>
          <w:p w14:paraId="1F004CE3" w14:textId="77777777" w:rsidR="00140B5A" w:rsidRDefault="002771A1">
            <w:pPr>
              <w:adjustRightInd w:val="0"/>
              <w:spacing w:before="60" w:after="60"/>
              <w:jc w:val="center"/>
              <w:rPr>
                <w:b/>
                <w:bCs/>
              </w:rPr>
            </w:pPr>
            <w:r>
              <w:rPr>
                <w:b/>
                <w:bCs/>
              </w:rPr>
              <w:t>N = 123</w:t>
            </w:r>
          </w:p>
        </w:tc>
      </w:tr>
      <w:tr w:rsidR="00140B5A" w14:paraId="1F004CEC" w14:textId="77777777">
        <w:trPr>
          <w:cantSplit/>
          <w:jc w:val="center"/>
        </w:trPr>
        <w:tc>
          <w:tcPr>
            <w:tcW w:w="1718" w:type="pct"/>
            <w:tcMar>
              <w:top w:w="0" w:type="dxa"/>
              <w:left w:w="20" w:type="dxa"/>
              <w:bottom w:w="0" w:type="dxa"/>
              <w:right w:w="20" w:type="dxa"/>
            </w:tcMar>
            <w:vAlign w:val="center"/>
          </w:tcPr>
          <w:p w14:paraId="1F004CE5" w14:textId="77777777" w:rsidR="00140B5A" w:rsidRDefault="00140B5A">
            <w:pPr>
              <w:adjustRightInd w:val="0"/>
              <w:spacing w:before="60" w:after="60"/>
              <w:jc w:val="both"/>
            </w:pPr>
          </w:p>
        </w:tc>
        <w:tc>
          <w:tcPr>
            <w:tcW w:w="649" w:type="pct"/>
            <w:tcMar>
              <w:top w:w="0" w:type="dxa"/>
              <w:left w:w="20" w:type="dxa"/>
              <w:bottom w:w="0" w:type="dxa"/>
              <w:right w:w="20" w:type="dxa"/>
            </w:tcMar>
            <w:vAlign w:val="center"/>
          </w:tcPr>
          <w:p w14:paraId="1F004CE6" w14:textId="77777777" w:rsidR="00140B5A" w:rsidRDefault="002771A1">
            <w:pPr>
              <w:adjustRightInd w:val="0"/>
              <w:spacing w:before="60" w:after="60"/>
              <w:jc w:val="center"/>
              <w:rPr>
                <w:b/>
                <w:bCs/>
              </w:rPr>
            </w:pPr>
            <w:r>
              <w:rPr>
                <w:b/>
                <w:bCs/>
              </w:rPr>
              <w:t>A</w:t>
            </w:r>
            <w:r>
              <w:rPr>
                <w:rFonts w:hint="eastAsia"/>
                <w:b/>
                <w:bCs/>
              </w:rPr>
              <w:t>ny</w:t>
            </w:r>
            <w:r>
              <w:rPr>
                <w:b/>
                <w:bCs/>
              </w:rPr>
              <w:t xml:space="preserve"> grade</w:t>
            </w:r>
            <w:r>
              <w:rPr>
                <w:b/>
                <w:bCs/>
              </w:rPr>
              <w:br/>
              <w:t>n (%)</w:t>
            </w:r>
          </w:p>
        </w:tc>
        <w:tc>
          <w:tcPr>
            <w:tcW w:w="498" w:type="pct"/>
            <w:tcMar>
              <w:top w:w="0" w:type="dxa"/>
              <w:left w:w="20" w:type="dxa"/>
              <w:bottom w:w="0" w:type="dxa"/>
              <w:right w:w="20" w:type="dxa"/>
            </w:tcMar>
            <w:vAlign w:val="center"/>
          </w:tcPr>
          <w:p w14:paraId="1F004CE7" w14:textId="77777777" w:rsidR="00140B5A" w:rsidRDefault="002771A1">
            <w:pPr>
              <w:adjustRightInd w:val="0"/>
              <w:spacing w:before="60" w:after="60"/>
              <w:jc w:val="center"/>
              <w:rPr>
                <w:b/>
                <w:bCs/>
              </w:rPr>
            </w:pPr>
            <w:r>
              <w:rPr>
                <w:b/>
                <w:bCs/>
                <w:sz w:val="20"/>
                <w:szCs w:val="20"/>
              </w:rPr>
              <w:t>Grade1</w:t>
            </w:r>
            <w:r>
              <w:rPr>
                <w:b/>
                <w:bCs/>
              </w:rPr>
              <w:br/>
              <w:t>n (%)</w:t>
            </w:r>
          </w:p>
        </w:tc>
        <w:tc>
          <w:tcPr>
            <w:tcW w:w="550" w:type="pct"/>
            <w:tcMar>
              <w:top w:w="0" w:type="dxa"/>
              <w:left w:w="20" w:type="dxa"/>
              <w:bottom w:w="0" w:type="dxa"/>
              <w:right w:w="20" w:type="dxa"/>
            </w:tcMar>
            <w:vAlign w:val="center"/>
          </w:tcPr>
          <w:p w14:paraId="1F004CE8" w14:textId="77777777" w:rsidR="00140B5A" w:rsidRDefault="002771A1">
            <w:pPr>
              <w:adjustRightInd w:val="0"/>
              <w:spacing w:before="60" w:after="60"/>
              <w:jc w:val="center"/>
              <w:rPr>
                <w:b/>
                <w:bCs/>
              </w:rPr>
            </w:pPr>
            <w:r>
              <w:rPr>
                <w:b/>
                <w:bCs/>
                <w:sz w:val="20"/>
                <w:szCs w:val="20"/>
              </w:rPr>
              <w:t>Grade2</w:t>
            </w:r>
            <w:r>
              <w:rPr>
                <w:b/>
                <w:bCs/>
              </w:rPr>
              <w:br/>
              <w:t>n (%)</w:t>
            </w:r>
          </w:p>
        </w:tc>
        <w:tc>
          <w:tcPr>
            <w:tcW w:w="550" w:type="pct"/>
            <w:tcMar>
              <w:top w:w="0" w:type="dxa"/>
              <w:left w:w="20" w:type="dxa"/>
              <w:bottom w:w="0" w:type="dxa"/>
              <w:right w:w="20" w:type="dxa"/>
            </w:tcMar>
            <w:vAlign w:val="center"/>
          </w:tcPr>
          <w:p w14:paraId="1F004CE9" w14:textId="77777777" w:rsidR="00140B5A" w:rsidRDefault="002771A1">
            <w:pPr>
              <w:adjustRightInd w:val="0"/>
              <w:spacing w:before="60" w:after="60"/>
              <w:jc w:val="center"/>
              <w:rPr>
                <w:b/>
                <w:bCs/>
              </w:rPr>
            </w:pPr>
            <w:r>
              <w:rPr>
                <w:b/>
                <w:bCs/>
                <w:sz w:val="20"/>
                <w:szCs w:val="20"/>
              </w:rPr>
              <w:t>Grade3</w:t>
            </w:r>
            <w:r>
              <w:rPr>
                <w:b/>
                <w:bCs/>
              </w:rPr>
              <w:br/>
              <w:t>n (%)</w:t>
            </w:r>
          </w:p>
        </w:tc>
        <w:tc>
          <w:tcPr>
            <w:tcW w:w="550" w:type="pct"/>
            <w:tcMar>
              <w:top w:w="0" w:type="dxa"/>
              <w:left w:w="20" w:type="dxa"/>
              <w:bottom w:w="0" w:type="dxa"/>
              <w:right w:w="20" w:type="dxa"/>
            </w:tcMar>
            <w:vAlign w:val="center"/>
          </w:tcPr>
          <w:p w14:paraId="1F004CEA" w14:textId="77777777" w:rsidR="00140B5A" w:rsidRDefault="002771A1">
            <w:pPr>
              <w:adjustRightInd w:val="0"/>
              <w:spacing w:before="60" w:after="60"/>
              <w:jc w:val="center"/>
              <w:rPr>
                <w:b/>
                <w:bCs/>
              </w:rPr>
            </w:pPr>
            <w:r>
              <w:rPr>
                <w:b/>
                <w:bCs/>
                <w:sz w:val="20"/>
                <w:szCs w:val="20"/>
              </w:rPr>
              <w:t>Grade4</w:t>
            </w:r>
            <w:r>
              <w:rPr>
                <w:b/>
                <w:bCs/>
              </w:rPr>
              <w:br/>
              <w:t>n (%)</w:t>
            </w:r>
          </w:p>
        </w:tc>
        <w:tc>
          <w:tcPr>
            <w:tcW w:w="485" w:type="pct"/>
            <w:tcMar>
              <w:top w:w="0" w:type="dxa"/>
              <w:left w:w="20" w:type="dxa"/>
              <w:bottom w:w="0" w:type="dxa"/>
              <w:right w:w="20" w:type="dxa"/>
            </w:tcMar>
            <w:vAlign w:val="center"/>
          </w:tcPr>
          <w:p w14:paraId="1F004CEB" w14:textId="77777777" w:rsidR="00140B5A" w:rsidRDefault="002771A1">
            <w:pPr>
              <w:adjustRightInd w:val="0"/>
              <w:spacing w:before="60" w:after="60"/>
              <w:jc w:val="center"/>
              <w:rPr>
                <w:b/>
                <w:bCs/>
              </w:rPr>
            </w:pPr>
            <w:r>
              <w:rPr>
                <w:b/>
                <w:bCs/>
                <w:sz w:val="20"/>
                <w:szCs w:val="20"/>
              </w:rPr>
              <w:t>Grade5</w:t>
            </w:r>
            <w:r>
              <w:rPr>
                <w:b/>
                <w:bCs/>
              </w:rPr>
              <w:br/>
              <w:t>n (%)</w:t>
            </w:r>
          </w:p>
        </w:tc>
      </w:tr>
      <w:tr w:rsidR="00140B5A" w14:paraId="1F004CF8" w14:textId="77777777">
        <w:trPr>
          <w:cantSplit/>
          <w:jc w:val="center"/>
        </w:trPr>
        <w:tc>
          <w:tcPr>
            <w:tcW w:w="1718" w:type="pct"/>
            <w:tcMar>
              <w:top w:w="0" w:type="dxa"/>
              <w:left w:w="20" w:type="dxa"/>
              <w:bottom w:w="0" w:type="dxa"/>
              <w:right w:w="20" w:type="dxa"/>
            </w:tcMar>
            <w:vAlign w:val="center"/>
          </w:tcPr>
          <w:p w14:paraId="1F004CED" w14:textId="77777777" w:rsidR="00140B5A" w:rsidRDefault="002771A1">
            <w:pPr>
              <w:adjustRightInd w:val="0"/>
              <w:spacing w:before="60" w:after="60"/>
              <w:rPr>
                <w:color w:val="000000"/>
              </w:rPr>
            </w:pPr>
            <w:r>
              <w:rPr>
                <w:color w:val="000000"/>
              </w:rPr>
              <w:t>Any</w:t>
            </w:r>
            <w:r>
              <w:t xml:space="preserve"> </w:t>
            </w:r>
            <w:r>
              <w:rPr>
                <w:color w:val="000000"/>
              </w:rPr>
              <w:t xml:space="preserve">Serious treatment-related adverse events </w:t>
            </w:r>
          </w:p>
        </w:tc>
        <w:tc>
          <w:tcPr>
            <w:tcW w:w="649" w:type="pct"/>
            <w:tcMar>
              <w:top w:w="0" w:type="dxa"/>
              <w:left w:w="20" w:type="dxa"/>
              <w:bottom w:w="0" w:type="dxa"/>
              <w:right w:w="20" w:type="dxa"/>
            </w:tcMar>
            <w:vAlign w:val="center"/>
          </w:tcPr>
          <w:p w14:paraId="1F004CEE" w14:textId="77777777" w:rsidR="00140B5A" w:rsidRDefault="002771A1">
            <w:pPr>
              <w:adjustRightInd w:val="0"/>
              <w:spacing w:before="60" w:after="60"/>
              <w:jc w:val="center"/>
              <w:rPr>
                <w:color w:val="000000"/>
              </w:rPr>
            </w:pPr>
            <w:r>
              <w:rPr>
                <w:color w:val="000000"/>
              </w:rPr>
              <w:t>16</w:t>
            </w:r>
          </w:p>
          <w:p w14:paraId="1F004CEF" w14:textId="77777777" w:rsidR="00140B5A" w:rsidRDefault="002771A1">
            <w:pPr>
              <w:adjustRightInd w:val="0"/>
              <w:spacing w:before="60" w:after="60"/>
              <w:jc w:val="center"/>
              <w:rPr>
                <w:color w:val="000000"/>
              </w:rPr>
            </w:pPr>
            <w:r>
              <w:rPr>
                <w:color w:val="000000"/>
              </w:rPr>
              <w:t>(13.0%)</w:t>
            </w:r>
          </w:p>
        </w:tc>
        <w:tc>
          <w:tcPr>
            <w:tcW w:w="498" w:type="pct"/>
            <w:tcMar>
              <w:top w:w="0" w:type="dxa"/>
              <w:left w:w="20" w:type="dxa"/>
              <w:bottom w:w="0" w:type="dxa"/>
              <w:right w:w="20" w:type="dxa"/>
            </w:tcMar>
            <w:vAlign w:val="center"/>
          </w:tcPr>
          <w:p w14:paraId="1F004CF0"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CF1" w14:textId="77777777" w:rsidR="00140B5A" w:rsidRDefault="002771A1">
            <w:pPr>
              <w:adjustRightInd w:val="0"/>
              <w:spacing w:before="60" w:after="60"/>
              <w:jc w:val="center"/>
              <w:rPr>
                <w:color w:val="000000"/>
              </w:rPr>
            </w:pPr>
            <w:r>
              <w:rPr>
                <w:color w:val="000000"/>
              </w:rPr>
              <w:t>4</w:t>
            </w:r>
          </w:p>
          <w:p w14:paraId="1F004CF2" w14:textId="77777777" w:rsidR="00140B5A" w:rsidRDefault="002771A1">
            <w:pPr>
              <w:adjustRightInd w:val="0"/>
              <w:spacing w:before="60" w:after="60"/>
              <w:jc w:val="center"/>
              <w:rPr>
                <w:color w:val="000000"/>
              </w:rPr>
            </w:pPr>
            <w:r>
              <w:rPr>
                <w:color w:val="000000"/>
              </w:rPr>
              <w:t>(3.3%)</w:t>
            </w:r>
          </w:p>
        </w:tc>
        <w:tc>
          <w:tcPr>
            <w:tcW w:w="550" w:type="pct"/>
            <w:tcMar>
              <w:top w:w="0" w:type="dxa"/>
              <w:left w:w="20" w:type="dxa"/>
              <w:bottom w:w="0" w:type="dxa"/>
              <w:right w:w="20" w:type="dxa"/>
            </w:tcMar>
            <w:vAlign w:val="center"/>
          </w:tcPr>
          <w:p w14:paraId="1F004CF3" w14:textId="77777777" w:rsidR="00140B5A" w:rsidRDefault="002771A1">
            <w:pPr>
              <w:adjustRightInd w:val="0"/>
              <w:spacing w:before="60" w:after="60"/>
              <w:jc w:val="center"/>
              <w:rPr>
                <w:color w:val="000000"/>
              </w:rPr>
            </w:pPr>
            <w:r>
              <w:rPr>
                <w:color w:val="000000"/>
              </w:rPr>
              <w:t>10</w:t>
            </w:r>
          </w:p>
          <w:p w14:paraId="1F004CF4" w14:textId="77777777" w:rsidR="00140B5A" w:rsidRDefault="002771A1">
            <w:pPr>
              <w:adjustRightInd w:val="0"/>
              <w:spacing w:before="60" w:after="60"/>
              <w:jc w:val="center"/>
              <w:rPr>
                <w:color w:val="000000"/>
              </w:rPr>
            </w:pPr>
            <w:r>
              <w:rPr>
                <w:color w:val="000000"/>
              </w:rPr>
              <w:t>(8.1%)</w:t>
            </w:r>
          </w:p>
        </w:tc>
        <w:tc>
          <w:tcPr>
            <w:tcW w:w="550" w:type="pct"/>
            <w:tcMar>
              <w:top w:w="0" w:type="dxa"/>
              <w:left w:w="20" w:type="dxa"/>
              <w:bottom w:w="0" w:type="dxa"/>
              <w:right w:w="20" w:type="dxa"/>
            </w:tcMar>
            <w:vAlign w:val="center"/>
          </w:tcPr>
          <w:p w14:paraId="1F004CF5" w14:textId="77777777" w:rsidR="00140B5A" w:rsidRDefault="002771A1">
            <w:pPr>
              <w:adjustRightInd w:val="0"/>
              <w:spacing w:before="60" w:after="60"/>
              <w:jc w:val="center"/>
              <w:rPr>
                <w:color w:val="000000"/>
              </w:rPr>
            </w:pPr>
            <w:r>
              <w:rPr>
                <w:color w:val="000000"/>
              </w:rPr>
              <w:t>2</w:t>
            </w:r>
          </w:p>
          <w:p w14:paraId="1F004CF6" w14:textId="77777777" w:rsidR="00140B5A" w:rsidRDefault="002771A1">
            <w:pPr>
              <w:adjustRightInd w:val="0"/>
              <w:spacing w:before="60" w:after="60"/>
              <w:jc w:val="center"/>
              <w:rPr>
                <w:color w:val="000000"/>
              </w:rPr>
            </w:pPr>
            <w:r>
              <w:rPr>
                <w:color w:val="000000"/>
              </w:rPr>
              <w:t>(1.6%)</w:t>
            </w:r>
          </w:p>
        </w:tc>
        <w:tc>
          <w:tcPr>
            <w:tcW w:w="485" w:type="pct"/>
            <w:tcMar>
              <w:top w:w="0" w:type="dxa"/>
              <w:left w:w="20" w:type="dxa"/>
              <w:bottom w:w="0" w:type="dxa"/>
              <w:right w:w="20" w:type="dxa"/>
            </w:tcMar>
            <w:vAlign w:val="center"/>
          </w:tcPr>
          <w:p w14:paraId="1F004CF7" w14:textId="77777777" w:rsidR="00140B5A" w:rsidRDefault="002771A1">
            <w:pPr>
              <w:adjustRightInd w:val="0"/>
              <w:spacing w:before="60" w:after="60"/>
              <w:jc w:val="center"/>
              <w:rPr>
                <w:color w:val="000000"/>
              </w:rPr>
            </w:pPr>
            <w:r>
              <w:rPr>
                <w:color w:val="000000"/>
              </w:rPr>
              <w:t>0</w:t>
            </w:r>
          </w:p>
        </w:tc>
      </w:tr>
      <w:tr w:rsidR="00140B5A" w14:paraId="1F004D00" w14:textId="77777777">
        <w:trPr>
          <w:cantSplit/>
          <w:jc w:val="center"/>
        </w:trPr>
        <w:tc>
          <w:tcPr>
            <w:tcW w:w="1718" w:type="pct"/>
            <w:tcMar>
              <w:top w:w="0" w:type="dxa"/>
              <w:left w:w="20" w:type="dxa"/>
              <w:bottom w:w="0" w:type="dxa"/>
              <w:right w:w="20" w:type="dxa"/>
            </w:tcMar>
            <w:vAlign w:val="center"/>
          </w:tcPr>
          <w:p w14:paraId="1F004CF9" w14:textId="77777777" w:rsidR="00140B5A" w:rsidRDefault="002771A1">
            <w:pPr>
              <w:adjustRightInd w:val="0"/>
              <w:spacing w:before="60" w:after="60"/>
              <w:jc w:val="both"/>
              <w:rPr>
                <w:color w:val="000000"/>
              </w:rPr>
            </w:pPr>
            <w:r>
              <w:rPr>
                <w:color w:val="000000"/>
              </w:rPr>
              <w:t xml:space="preserve">    Blood in stool</w:t>
            </w:r>
          </w:p>
        </w:tc>
        <w:tc>
          <w:tcPr>
            <w:tcW w:w="649" w:type="pct"/>
            <w:tcMar>
              <w:top w:w="0" w:type="dxa"/>
              <w:left w:w="20" w:type="dxa"/>
              <w:bottom w:w="0" w:type="dxa"/>
              <w:right w:w="20" w:type="dxa"/>
            </w:tcMar>
            <w:vAlign w:val="center"/>
          </w:tcPr>
          <w:p w14:paraId="1F004CF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CF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CF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CFD"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CF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CFF" w14:textId="77777777" w:rsidR="00140B5A" w:rsidRDefault="002771A1">
            <w:pPr>
              <w:adjustRightInd w:val="0"/>
              <w:spacing w:before="60" w:after="60"/>
              <w:jc w:val="center"/>
              <w:rPr>
                <w:color w:val="000000"/>
              </w:rPr>
            </w:pPr>
            <w:r>
              <w:rPr>
                <w:color w:val="000000"/>
              </w:rPr>
              <w:t>0</w:t>
            </w:r>
          </w:p>
        </w:tc>
      </w:tr>
      <w:tr w:rsidR="00140B5A" w14:paraId="1F004D08" w14:textId="77777777">
        <w:trPr>
          <w:cantSplit/>
          <w:jc w:val="center"/>
        </w:trPr>
        <w:tc>
          <w:tcPr>
            <w:tcW w:w="1718" w:type="pct"/>
            <w:tcMar>
              <w:top w:w="0" w:type="dxa"/>
              <w:left w:w="20" w:type="dxa"/>
              <w:bottom w:w="0" w:type="dxa"/>
              <w:right w:w="20" w:type="dxa"/>
            </w:tcMar>
            <w:vAlign w:val="center"/>
          </w:tcPr>
          <w:p w14:paraId="1F004D01" w14:textId="77777777" w:rsidR="00140B5A" w:rsidRDefault="002771A1">
            <w:pPr>
              <w:adjustRightInd w:val="0"/>
              <w:spacing w:before="60" w:after="60"/>
              <w:jc w:val="both"/>
              <w:rPr>
                <w:color w:val="000000"/>
              </w:rPr>
            </w:pPr>
            <w:r>
              <w:rPr>
                <w:color w:val="000000"/>
              </w:rPr>
              <w:t xml:space="preserve">    Vomit</w:t>
            </w:r>
          </w:p>
        </w:tc>
        <w:tc>
          <w:tcPr>
            <w:tcW w:w="649" w:type="pct"/>
            <w:tcMar>
              <w:top w:w="0" w:type="dxa"/>
              <w:left w:w="20" w:type="dxa"/>
              <w:bottom w:w="0" w:type="dxa"/>
              <w:right w:w="20" w:type="dxa"/>
            </w:tcMar>
            <w:vAlign w:val="center"/>
          </w:tcPr>
          <w:p w14:paraId="1F004D0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0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0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05"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0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07" w14:textId="77777777" w:rsidR="00140B5A" w:rsidRDefault="002771A1">
            <w:pPr>
              <w:adjustRightInd w:val="0"/>
              <w:spacing w:before="60" w:after="60"/>
              <w:jc w:val="center"/>
              <w:rPr>
                <w:color w:val="000000"/>
              </w:rPr>
            </w:pPr>
            <w:r>
              <w:rPr>
                <w:color w:val="000000"/>
              </w:rPr>
              <w:t>0</w:t>
            </w:r>
          </w:p>
        </w:tc>
      </w:tr>
      <w:tr w:rsidR="00140B5A" w14:paraId="1F004D10" w14:textId="77777777">
        <w:trPr>
          <w:cantSplit/>
          <w:jc w:val="center"/>
        </w:trPr>
        <w:tc>
          <w:tcPr>
            <w:tcW w:w="1718" w:type="pct"/>
            <w:tcMar>
              <w:top w:w="0" w:type="dxa"/>
              <w:left w:w="20" w:type="dxa"/>
              <w:bottom w:w="0" w:type="dxa"/>
              <w:right w:w="20" w:type="dxa"/>
            </w:tcMar>
            <w:vAlign w:val="center"/>
          </w:tcPr>
          <w:p w14:paraId="1F004D09" w14:textId="77777777" w:rsidR="00140B5A" w:rsidRDefault="002771A1">
            <w:pPr>
              <w:adjustRightInd w:val="0"/>
              <w:spacing w:before="60" w:after="60"/>
              <w:ind w:firstLine="420"/>
              <w:rPr>
                <w:color w:val="000000"/>
              </w:rPr>
            </w:pPr>
            <w:r>
              <w:rPr>
                <w:color w:val="000000"/>
              </w:rPr>
              <w:t>Upper gastrointestinal bleeding</w:t>
            </w:r>
          </w:p>
        </w:tc>
        <w:tc>
          <w:tcPr>
            <w:tcW w:w="649" w:type="pct"/>
            <w:tcMar>
              <w:top w:w="0" w:type="dxa"/>
              <w:left w:w="20" w:type="dxa"/>
              <w:bottom w:w="0" w:type="dxa"/>
              <w:right w:w="20" w:type="dxa"/>
            </w:tcMar>
            <w:vAlign w:val="center"/>
          </w:tcPr>
          <w:p w14:paraId="1F004D0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0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0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0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0E" w14:textId="77777777" w:rsidR="00140B5A" w:rsidRDefault="002771A1">
            <w:pPr>
              <w:adjustRightInd w:val="0"/>
              <w:spacing w:before="60" w:after="60"/>
              <w:jc w:val="center"/>
              <w:rPr>
                <w:color w:val="000000"/>
              </w:rPr>
            </w:pPr>
            <w:r>
              <w:rPr>
                <w:color w:val="000000"/>
              </w:rPr>
              <w:t>1 (0.8%)</w:t>
            </w:r>
          </w:p>
        </w:tc>
        <w:tc>
          <w:tcPr>
            <w:tcW w:w="485" w:type="pct"/>
            <w:tcMar>
              <w:top w:w="0" w:type="dxa"/>
              <w:left w:w="20" w:type="dxa"/>
              <w:bottom w:w="0" w:type="dxa"/>
              <w:right w:w="20" w:type="dxa"/>
            </w:tcMar>
            <w:vAlign w:val="center"/>
          </w:tcPr>
          <w:p w14:paraId="1F004D0F" w14:textId="77777777" w:rsidR="00140B5A" w:rsidRDefault="002771A1">
            <w:pPr>
              <w:adjustRightInd w:val="0"/>
              <w:spacing w:before="60" w:after="60"/>
              <w:jc w:val="center"/>
              <w:rPr>
                <w:color w:val="000000"/>
              </w:rPr>
            </w:pPr>
            <w:r>
              <w:rPr>
                <w:color w:val="000000"/>
              </w:rPr>
              <w:t>0</w:t>
            </w:r>
          </w:p>
        </w:tc>
      </w:tr>
      <w:tr w:rsidR="00140B5A" w14:paraId="1F004D18" w14:textId="77777777">
        <w:trPr>
          <w:cantSplit/>
          <w:jc w:val="center"/>
        </w:trPr>
        <w:tc>
          <w:tcPr>
            <w:tcW w:w="1718" w:type="pct"/>
            <w:tcMar>
              <w:top w:w="0" w:type="dxa"/>
              <w:left w:w="20" w:type="dxa"/>
              <w:bottom w:w="0" w:type="dxa"/>
              <w:right w:w="20" w:type="dxa"/>
            </w:tcMar>
            <w:vAlign w:val="center"/>
          </w:tcPr>
          <w:p w14:paraId="1F004D11" w14:textId="77777777" w:rsidR="00140B5A" w:rsidRDefault="002771A1">
            <w:pPr>
              <w:adjustRightInd w:val="0"/>
              <w:spacing w:before="60" w:after="60"/>
              <w:ind w:firstLine="420"/>
              <w:jc w:val="both"/>
              <w:rPr>
                <w:color w:val="000000"/>
              </w:rPr>
            </w:pPr>
            <w:r>
              <w:rPr>
                <w:color w:val="000000"/>
              </w:rPr>
              <w:t>Gastrointestinal disease</w:t>
            </w:r>
          </w:p>
        </w:tc>
        <w:tc>
          <w:tcPr>
            <w:tcW w:w="649" w:type="pct"/>
            <w:tcMar>
              <w:top w:w="0" w:type="dxa"/>
              <w:left w:w="20" w:type="dxa"/>
              <w:bottom w:w="0" w:type="dxa"/>
              <w:right w:w="20" w:type="dxa"/>
            </w:tcMar>
            <w:vAlign w:val="center"/>
          </w:tcPr>
          <w:p w14:paraId="1F004D1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1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1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15"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1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17" w14:textId="77777777" w:rsidR="00140B5A" w:rsidRDefault="002771A1">
            <w:pPr>
              <w:adjustRightInd w:val="0"/>
              <w:spacing w:before="60" w:after="60"/>
              <w:jc w:val="center"/>
              <w:rPr>
                <w:color w:val="000000"/>
              </w:rPr>
            </w:pPr>
            <w:r>
              <w:rPr>
                <w:color w:val="000000"/>
              </w:rPr>
              <w:t>0</w:t>
            </w:r>
          </w:p>
        </w:tc>
      </w:tr>
      <w:tr w:rsidR="00140B5A" w14:paraId="1F004D20" w14:textId="77777777">
        <w:trPr>
          <w:cantSplit/>
          <w:jc w:val="center"/>
        </w:trPr>
        <w:tc>
          <w:tcPr>
            <w:tcW w:w="1718" w:type="pct"/>
            <w:tcMar>
              <w:top w:w="0" w:type="dxa"/>
              <w:left w:w="20" w:type="dxa"/>
              <w:bottom w:w="0" w:type="dxa"/>
              <w:right w:w="20" w:type="dxa"/>
            </w:tcMar>
            <w:vAlign w:val="center"/>
          </w:tcPr>
          <w:p w14:paraId="1F004D19" w14:textId="77777777" w:rsidR="00140B5A" w:rsidRDefault="002771A1">
            <w:pPr>
              <w:adjustRightInd w:val="0"/>
              <w:spacing w:before="60" w:after="60"/>
              <w:jc w:val="both"/>
              <w:rPr>
                <w:color w:val="000000"/>
              </w:rPr>
            </w:pPr>
            <w:r>
              <w:rPr>
                <w:color w:val="000000"/>
              </w:rPr>
              <w:t xml:space="preserve">    Diarrhea</w:t>
            </w:r>
          </w:p>
        </w:tc>
        <w:tc>
          <w:tcPr>
            <w:tcW w:w="649" w:type="pct"/>
            <w:tcMar>
              <w:top w:w="0" w:type="dxa"/>
              <w:left w:w="20" w:type="dxa"/>
              <w:bottom w:w="0" w:type="dxa"/>
              <w:right w:w="20" w:type="dxa"/>
            </w:tcMar>
            <w:vAlign w:val="center"/>
          </w:tcPr>
          <w:p w14:paraId="1F004D1A"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1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1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1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1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1F" w14:textId="77777777" w:rsidR="00140B5A" w:rsidRDefault="002771A1">
            <w:pPr>
              <w:adjustRightInd w:val="0"/>
              <w:spacing w:before="60" w:after="60"/>
              <w:jc w:val="center"/>
              <w:rPr>
                <w:color w:val="000000"/>
              </w:rPr>
            </w:pPr>
            <w:r>
              <w:rPr>
                <w:color w:val="000000"/>
              </w:rPr>
              <w:t>0</w:t>
            </w:r>
          </w:p>
        </w:tc>
      </w:tr>
      <w:tr w:rsidR="00140B5A" w14:paraId="1F004D28" w14:textId="77777777">
        <w:trPr>
          <w:cantSplit/>
          <w:jc w:val="center"/>
        </w:trPr>
        <w:tc>
          <w:tcPr>
            <w:tcW w:w="1718" w:type="pct"/>
            <w:tcMar>
              <w:top w:w="0" w:type="dxa"/>
              <w:left w:w="20" w:type="dxa"/>
              <w:bottom w:w="0" w:type="dxa"/>
              <w:right w:w="20" w:type="dxa"/>
            </w:tcMar>
            <w:vAlign w:val="center"/>
          </w:tcPr>
          <w:p w14:paraId="1F004D21" w14:textId="77777777" w:rsidR="00140B5A" w:rsidRDefault="002771A1">
            <w:pPr>
              <w:adjustRightInd w:val="0"/>
              <w:spacing w:before="60" w:after="60"/>
              <w:ind w:firstLine="420"/>
              <w:jc w:val="both"/>
              <w:rPr>
                <w:color w:val="000000"/>
              </w:rPr>
            </w:pPr>
            <w:r>
              <w:rPr>
                <w:color w:val="000000"/>
              </w:rPr>
              <w:t>Supraventricular tachycardia</w:t>
            </w:r>
          </w:p>
        </w:tc>
        <w:tc>
          <w:tcPr>
            <w:tcW w:w="649" w:type="pct"/>
            <w:tcMar>
              <w:top w:w="0" w:type="dxa"/>
              <w:left w:w="20" w:type="dxa"/>
              <w:bottom w:w="0" w:type="dxa"/>
              <w:right w:w="20" w:type="dxa"/>
            </w:tcMar>
            <w:vAlign w:val="center"/>
          </w:tcPr>
          <w:p w14:paraId="1F004D2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2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2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25"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2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27" w14:textId="77777777" w:rsidR="00140B5A" w:rsidRDefault="002771A1">
            <w:pPr>
              <w:adjustRightInd w:val="0"/>
              <w:spacing w:before="60" w:after="60"/>
              <w:jc w:val="center"/>
              <w:rPr>
                <w:color w:val="000000"/>
              </w:rPr>
            </w:pPr>
            <w:r>
              <w:rPr>
                <w:color w:val="000000"/>
              </w:rPr>
              <w:t>0</w:t>
            </w:r>
          </w:p>
        </w:tc>
      </w:tr>
      <w:tr w:rsidR="00140B5A" w14:paraId="1F004D30" w14:textId="77777777">
        <w:trPr>
          <w:cantSplit/>
          <w:jc w:val="center"/>
        </w:trPr>
        <w:tc>
          <w:tcPr>
            <w:tcW w:w="1718" w:type="pct"/>
            <w:tcMar>
              <w:top w:w="0" w:type="dxa"/>
              <w:left w:w="20" w:type="dxa"/>
              <w:bottom w:w="0" w:type="dxa"/>
              <w:right w:w="20" w:type="dxa"/>
            </w:tcMar>
            <w:vAlign w:val="center"/>
          </w:tcPr>
          <w:p w14:paraId="1F004D29" w14:textId="77777777" w:rsidR="00140B5A" w:rsidRDefault="002771A1">
            <w:pPr>
              <w:adjustRightInd w:val="0"/>
              <w:spacing w:before="60" w:after="60"/>
              <w:jc w:val="both"/>
              <w:rPr>
                <w:color w:val="000000"/>
              </w:rPr>
            </w:pPr>
            <w:r>
              <w:rPr>
                <w:color w:val="000000"/>
              </w:rPr>
              <w:t xml:space="preserve">    Pericardial effusion</w:t>
            </w:r>
          </w:p>
        </w:tc>
        <w:tc>
          <w:tcPr>
            <w:tcW w:w="649" w:type="pct"/>
            <w:tcMar>
              <w:top w:w="0" w:type="dxa"/>
              <w:left w:w="20" w:type="dxa"/>
              <w:bottom w:w="0" w:type="dxa"/>
              <w:right w:w="20" w:type="dxa"/>
            </w:tcMar>
            <w:vAlign w:val="center"/>
          </w:tcPr>
          <w:p w14:paraId="1F004D2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2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2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2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2E" w14:textId="77777777" w:rsidR="00140B5A" w:rsidRDefault="002771A1">
            <w:pPr>
              <w:adjustRightInd w:val="0"/>
              <w:spacing w:before="60" w:after="60"/>
              <w:jc w:val="center"/>
              <w:rPr>
                <w:color w:val="000000"/>
              </w:rPr>
            </w:pPr>
            <w:r>
              <w:rPr>
                <w:color w:val="000000"/>
              </w:rPr>
              <w:t>1 (0.8%)</w:t>
            </w:r>
          </w:p>
        </w:tc>
        <w:tc>
          <w:tcPr>
            <w:tcW w:w="485" w:type="pct"/>
            <w:tcMar>
              <w:top w:w="0" w:type="dxa"/>
              <w:left w:w="20" w:type="dxa"/>
              <w:bottom w:w="0" w:type="dxa"/>
              <w:right w:w="20" w:type="dxa"/>
            </w:tcMar>
            <w:vAlign w:val="center"/>
          </w:tcPr>
          <w:p w14:paraId="1F004D2F" w14:textId="77777777" w:rsidR="00140B5A" w:rsidRDefault="002771A1">
            <w:pPr>
              <w:adjustRightInd w:val="0"/>
              <w:spacing w:before="60" w:after="60"/>
              <w:jc w:val="center"/>
              <w:rPr>
                <w:color w:val="000000"/>
              </w:rPr>
            </w:pPr>
            <w:r>
              <w:rPr>
                <w:color w:val="000000"/>
              </w:rPr>
              <w:t>0</w:t>
            </w:r>
          </w:p>
        </w:tc>
      </w:tr>
      <w:tr w:rsidR="00140B5A" w14:paraId="1F004D38" w14:textId="77777777">
        <w:trPr>
          <w:cantSplit/>
          <w:jc w:val="center"/>
        </w:trPr>
        <w:tc>
          <w:tcPr>
            <w:tcW w:w="1718" w:type="pct"/>
            <w:tcMar>
              <w:top w:w="0" w:type="dxa"/>
              <w:left w:w="20" w:type="dxa"/>
              <w:bottom w:w="0" w:type="dxa"/>
              <w:right w:w="20" w:type="dxa"/>
            </w:tcMar>
            <w:vAlign w:val="center"/>
          </w:tcPr>
          <w:p w14:paraId="1F004D31" w14:textId="77777777" w:rsidR="00140B5A" w:rsidRDefault="002771A1">
            <w:pPr>
              <w:adjustRightInd w:val="0"/>
              <w:spacing w:before="60" w:after="60"/>
              <w:jc w:val="both"/>
              <w:rPr>
                <w:color w:val="000000"/>
              </w:rPr>
            </w:pPr>
            <w:r>
              <w:rPr>
                <w:color w:val="000000"/>
              </w:rPr>
              <w:t xml:space="preserve">    Arrhythmia</w:t>
            </w:r>
          </w:p>
        </w:tc>
        <w:tc>
          <w:tcPr>
            <w:tcW w:w="649" w:type="pct"/>
            <w:tcMar>
              <w:top w:w="0" w:type="dxa"/>
              <w:left w:w="20" w:type="dxa"/>
              <w:bottom w:w="0" w:type="dxa"/>
              <w:right w:w="20" w:type="dxa"/>
            </w:tcMar>
            <w:vAlign w:val="center"/>
          </w:tcPr>
          <w:p w14:paraId="1F004D3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3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3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35"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3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37" w14:textId="77777777" w:rsidR="00140B5A" w:rsidRDefault="002771A1">
            <w:pPr>
              <w:adjustRightInd w:val="0"/>
              <w:spacing w:before="60" w:after="60"/>
              <w:jc w:val="center"/>
              <w:rPr>
                <w:color w:val="000000"/>
              </w:rPr>
            </w:pPr>
            <w:r>
              <w:rPr>
                <w:color w:val="000000"/>
              </w:rPr>
              <w:t>0</w:t>
            </w:r>
          </w:p>
        </w:tc>
      </w:tr>
      <w:tr w:rsidR="00140B5A" w14:paraId="1F004D40" w14:textId="77777777">
        <w:trPr>
          <w:cantSplit/>
          <w:jc w:val="center"/>
        </w:trPr>
        <w:tc>
          <w:tcPr>
            <w:tcW w:w="1718" w:type="pct"/>
            <w:tcMar>
              <w:top w:w="0" w:type="dxa"/>
              <w:left w:w="20" w:type="dxa"/>
              <w:bottom w:w="0" w:type="dxa"/>
              <w:right w:w="20" w:type="dxa"/>
            </w:tcMar>
            <w:vAlign w:val="center"/>
          </w:tcPr>
          <w:p w14:paraId="1F004D39" w14:textId="77777777" w:rsidR="00140B5A" w:rsidRDefault="002771A1">
            <w:pPr>
              <w:adjustRightInd w:val="0"/>
              <w:spacing w:before="60" w:after="60"/>
              <w:jc w:val="both"/>
              <w:rPr>
                <w:color w:val="000000"/>
              </w:rPr>
            </w:pPr>
            <w:r>
              <w:rPr>
                <w:color w:val="000000"/>
              </w:rPr>
              <w:t xml:space="preserve">   </w:t>
            </w:r>
            <w:r>
              <w:rPr>
                <w:rFonts w:hint="eastAsia"/>
                <w:color w:val="000000"/>
              </w:rPr>
              <w:t xml:space="preserve"> </w:t>
            </w:r>
            <w:r>
              <w:rPr>
                <w:color w:val="000000"/>
              </w:rPr>
              <w:t>Laryngitis</w:t>
            </w:r>
          </w:p>
        </w:tc>
        <w:tc>
          <w:tcPr>
            <w:tcW w:w="649" w:type="pct"/>
            <w:tcMar>
              <w:top w:w="0" w:type="dxa"/>
              <w:left w:w="20" w:type="dxa"/>
              <w:bottom w:w="0" w:type="dxa"/>
              <w:right w:w="20" w:type="dxa"/>
            </w:tcMar>
            <w:vAlign w:val="center"/>
          </w:tcPr>
          <w:p w14:paraId="1F004D3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3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3C"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3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3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3F" w14:textId="77777777" w:rsidR="00140B5A" w:rsidRDefault="002771A1">
            <w:pPr>
              <w:adjustRightInd w:val="0"/>
              <w:spacing w:before="60" w:after="60"/>
              <w:jc w:val="center"/>
              <w:rPr>
                <w:color w:val="000000"/>
              </w:rPr>
            </w:pPr>
            <w:r>
              <w:rPr>
                <w:color w:val="000000"/>
              </w:rPr>
              <w:t>0</w:t>
            </w:r>
          </w:p>
        </w:tc>
      </w:tr>
      <w:tr w:rsidR="00140B5A" w14:paraId="1F004D48" w14:textId="77777777">
        <w:trPr>
          <w:cantSplit/>
          <w:jc w:val="center"/>
        </w:trPr>
        <w:tc>
          <w:tcPr>
            <w:tcW w:w="1718" w:type="pct"/>
            <w:tcMar>
              <w:top w:w="0" w:type="dxa"/>
              <w:left w:w="20" w:type="dxa"/>
              <w:bottom w:w="0" w:type="dxa"/>
              <w:right w:w="20" w:type="dxa"/>
            </w:tcMar>
            <w:vAlign w:val="center"/>
          </w:tcPr>
          <w:p w14:paraId="1F004D41" w14:textId="77777777" w:rsidR="00140B5A" w:rsidRDefault="002771A1">
            <w:pPr>
              <w:adjustRightInd w:val="0"/>
              <w:spacing w:before="60" w:after="60"/>
              <w:jc w:val="both"/>
              <w:rPr>
                <w:color w:val="000000"/>
              </w:rPr>
            </w:pPr>
            <w:r>
              <w:rPr>
                <w:color w:val="000000"/>
              </w:rPr>
              <w:t xml:space="preserve">    Bronchitis</w:t>
            </w:r>
          </w:p>
        </w:tc>
        <w:tc>
          <w:tcPr>
            <w:tcW w:w="649" w:type="pct"/>
            <w:tcMar>
              <w:top w:w="0" w:type="dxa"/>
              <w:left w:w="20" w:type="dxa"/>
              <w:bottom w:w="0" w:type="dxa"/>
              <w:right w:w="20" w:type="dxa"/>
            </w:tcMar>
            <w:vAlign w:val="center"/>
          </w:tcPr>
          <w:p w14:paraId="1F004D4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4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4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45"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4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47" w14:textId="77777777" w:rsidR="00140B5A" w:rsidRDefault="002771A1">
            <w:pPr>
              <w:adjustRightInd w:val="0"/>
              <w:spacing w:before="60" w:after="60"/>
              <w:jc w:val="center"/>
              <w:rPr>
                <w:color w:val="000000"/>
              </w:rPr>
            </w:pPr>
            <w:r>
              <w:rPr>
                <w:color w:val="000000"/>
              </w:rPr>
              <w:t>0</w:t>
            </w:r>
          </w:p>
        </w:tc>
      </w:tr>
      <w:tr w:rsidR="00140B5A" w14:paraId="1F004D50" w14:textId="77777777">
        <w:trPr>
          <w:cantSplit/>
          <w:jc w:val="center"/>
        </w:trPr>
        <w:tc>
          <w:tcPr>
            <w:tcW w:w="1718" w:type="pct"/>
            <w:tcMar>
              <w:top w:w="0" w:type="dxa"/>
              <w:left w:w="20" w:type="dxa"/>
              <w:bottom w:w="0" w:type="dxa"/>
              <w:right w:w="20" w:type="dxa"/>
            </w:tcMar>
            <w:vAlign w:val="center"/>
          </w:tcPr>
          <w:p w14:paraId="1F004D49" w14:textId="77777777" w:rsidR="00140B5A" w:rsidRDefault="002771A1">
            <w:pPr>
              <w:adjustRightInd w:val="0"/>
              <w:spacing w:before="60" w:after="60"/>
              <w:jc w:val="both"/>
              <w:rPr>
                <w:color w:val="000000"/>
              </w:rPr>
            </w:pPr>
            <w:r>
              <w:rPr>
                <w:color w:val="000000"/>
              </w:rPr>
              <w:t xml:space="preserve">    Infectious pneumonia</w:t>
            </w:r>
          </w:p>
        </w:tc>
        <w:tc>
          <w:tcPr>
            <w:tcW w:w="649" w:type="pct"/>
            <w:tcMar>
              <w:top w:w="0" w:type="dxa"/>
              <w:left w:w="20" w:type="dxa"/>
              <w:bottom w:w="0" w:type="dxa"/>
              <w:right w:w="20" w:type="dxa"/>
            </w:tcMar>
            <w:vAlign w:val="center"/>
          </w:tcPr>
          <w:p w14:paraId="1F004D4A"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4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4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4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4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4F" w14:textId="77777777" w:rsidR="00140B5A" w:rsidRDefault="002771A1">
            <w:pPr>
              <w:adjustRightInd w:val="0"/>
              <w:spacing w:before="60" w:after="60"/>
              <w:jc w:val="center"/>
              <w:rPr>
                <w:color w:val="000000"/>
              </w:rPr>
            </w:pPr>
            <w:r>
              <w:rPr>
                <w:color w:val="000000"/>
              </w:rPr>
              <w:t>0</w:t>
            </w:r>
          </w:p>
        </w:tc>
      </w:tr>
      <w:tr w:rsidR="00140B5A" w14:paraId="1F004D58" w14:textId="77777777">
        <w:trPr>
          <w:cantSplit/>
          <w:jc w:val="center"/>
        </w:trPr>
        <w:tc>
          <w:tcPr>
            <w:tcW w:w="1718" w:type="pct"/>
            <w:tcMar>
              <w:top w:w="0" w:type="dxa"/>
              <w:left w:w="20" w:type="dxa"/>
              <w:bottom w:w="0" w:type="dxa"/>
              <w:right w:w="20" w:type="dxa"/>
            </w:tcMar>
            <w:vAlign w:val="center"/>
          </w:tcPr>
          <w:p w14:paraId="1F004D51" w14:textId="77777777" w:rsidR="00140B5A" w:rsidRDefault="002771A1">
            <w:pPr>
              <w:adjustRightInd w:val="0"/>
              <w:spacing w:before="60" w:after="60"/>
              <w:jc w:val="both"/>
              <w:rPr>
                <w:color w:val="000000"/>
              </w:rPr>
            </w:pPr>
            <w:r>
              <w:rPr>
                <w:color w:val="000000"/>
              </w:rPr>
              <w:t xml:space="preserve">    </w:t>
            </w:r>
            <w:r>
              <w:rPr>
                <w:rFonts w:hint="eastAsia"/>
                <w:color w:val="000000"/>
              </w:rPr>
              <w:t>S</w:t>
            </w:r>
            <w:r>
              <w:rPr>
                <w:color w:val="000000"/>
              </w:rPr>
              <w:t>oft tissue infection</w:t>
            </w:r>
          </w:p>
        </w:tc>
        <w:tc>
          <w:tcPr>
            <w:tcW w:w="649" w:type="pct"/>
            <w:tcMar>
              <w:top w:w="0" w:type="dxa"/>
              <w:left w:w="20" w:type="dxa"/>
              <w:bottom w:w="0" w:type="dxa"/>
              <w:right w:w="20" w:type="dxa"/>
            </w:tcMar>
            <w:vAlign w:val="center"/>
          </w:tcPr>
          <w:p w14:paraId="1F004D52"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5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5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55"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5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57" w14:textId="77777777" w:rsidR="00140B5A" w:rsidRDefault="002771A1">
            <w:pPr>
              <w:adjustRightInd w:val="0"/>
              <w:spacing w:before="60" w:after="60"/>
              <w:jc w:val="center"/>
              <w:rPr>
                <w:color w:val="000000"/>
              </w:rPr>
            </w:pPr>
            <w:r>
              <w:rPr>
                <w:color w:val="000000"/>
              </w:rPr>
              <w:t>0</w:t>
            </w:r>
          </w:p>
        </w:tc>
      </w:tr>
      <w:tr w:rsidR="00140B5A" w14:paraId="1F004D60" w14:textId="77777777">
        <w:trPr>
          <w:cantSplit/>
          <w:jc w:val="center"/>
        </w:trPr>
        <w:tc>
          <w:tcPr>
            <w:tcW w:w="1718" w:type="pct"/>
            <w:tcMar>
              <w:top w:w="0" w:type="dxa"/>
              <w:left w:w="20" w:type="dxa"/>
              <w:bottom w:w="0" w:type="dxa"/>
              <w:right w:w="20" w:type="dxa"/>
            </w:tcMar>
            <w:vAlign w:val="center"/>
          </w:tcPr>
          <w:p w14:paraId="1F004D59" w14:textId="77777777" w:rsidR="00140B5A" w:rsidRDefault="002771A1">
            <w:pPr>
              <w:adjustRightInd w:val="0"/>
              <w:spacing w:before="60" w:after="60"/>
              <w:jc w:val="both"/>
              <w:rPr>
                <w:color w:val="000000"/>
              </w:rPr>
            </w:pPr>
            <w:r>
              <w:rPr>
                <w:color w:val="000000"/>
              </w:rPr>
              <w:t xml:space="preserve">    </w:t>
            </w:r>
            <w:r>
              <w:rPr>
                <w:rFonts w:hint="eastAsia"/>
                <w:color w:val="000000"/>
              </w:rPr>
              <w:t>F</w:t>
            </w:r>
            <w:r>
              <w:rPr>
                <w:color w:val="000000"/>
              </w:rPr>
              <w:t>ever</w:t>
            </w:r>
          </w:p>
        </w:tc>
        <w:tc>
          <w:tcPr>
            <w:tcW w:w="649" w:type="pct"/>
            <w:tcMar>
              <w:top w:w="0" w:type="dxa"/>
              <w:left w:w="20" w:type="dxa"/>
              <w:bottom w:w="0" w:type="dxa"/>
              <w:right w:w="20" w:type="dxa"/>
            </w:tcMar>
            <w:vAlign w:val="center"/>
          </w:tcPr>
          <w:p w14:paraId="1F004D5A" w14:textId="77777777" w:rsidR="00140B5A" w:rsidRDefault="002771A1">
            <w:pPr>
              <w:adjustRightInd w:val="0"/>
              <w:spacing w:before="60" w:after="60"/>
              <w:jc w:val="center"/>
              <w:rPr>
                <w:color w:val="000000"/>
              </w:rPr>
            </w:pPr>
            <w:r>
              <w:rPr>
                <w:color w:val="000000"/>
              </w:rPr>
              <w:t>2 (1.6%)</w:t>
            </w:r>
          </w:p>
        </w:tc>
        <w:tc>
          <w:tcPr>
            <w:tcW w:w="498" w:type="pct"/>
            <w:tcMar>
              <w:top w:w="0" w:type="dxa"/>
              <w:left w:w="20" w:type="dxa"/>
              <w:bottom w:w="0" w:type="dxa"/>
              <w:right w:w="20" w:type="dxa"/>
            </w:tcMar>
            <w:vAlign w:val="center"/>
          </w:tcPr>
          <w:p w14:paraId="1F004D5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5C" w14:textId="77777777" w:rsidR="00140B5A" w:rsidRDefault="002771A1">
            <w:pPr>
              <w:adjustRightInd w:val="0"/>
              <w:spacing w:before="60" w:after="60"/>
              <w:jc w:val="center"/>
              <w:rPr>
                <w:color w:val="000000"/>
              </w:rPr>
            </w:pPr>
            <w:r>
              <w:rPr>
                <w:color w:val="000000"/>
              </w:rPr>
              <w:t>2 (1.6%)</w:t>
            </w:r>
          </w:p>
        </w:tc>
        <w:tc>
          <w:tcPr>
            <w:tcW w:w="550" w:type="pct"/>
            <w:tcMar>
              <w:top w:w="0" w:type="dxa"/>
              <w:left w:w="20" w:type="dxa"/>
              <w:bottom w:w="0" w:type="dxa"/>
              <w:right w:w="20" w:type="dxa"/>
            </w:tcMar>
            <w:vAlign w:val="center"/>
          </w:tcPr>
          <w:p w14:paraId="1F004D5D"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5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5F" w14:textId="77777777" w:rsidR="00140B5A" w:rsidRDefault="002771A1">
            <w:pPr>
              <w:adjustRightInd w:val="0"/>
              <w:spacing w:before="60" w:after="60"/>
              <w:jc w:val="center"/>
              <w:rPr>
                <w:color w:val="000000"/>
              </w:rPr>
            </w:pPr>
            <w:r>
              <w:rPr>
                <w:color w:val="000000"/>
              </w:rPr>
              <w:t>0</w:t>
            </w:r>
          </w:p>
        </w:tc>
      </w:tr>
      <w:tr w:rsidR="00140B5A" w14:paraId="1F004D68" w14:textId="77777777">
        <w:trPr>
          <w:cantSplit/>
          <w:jc w:val="center"/>
        </w:trPr>
        <w:tc>
          <w:tcPr>
            <w:tcW w:w="1718" w:type="pct"/>
            <w:tcMar>
              <w:top w:w="0" w:type="dxa"/>
              <w:left w:w="20" w:type="dxa"/>
              <w:bottom w:w="0" w:type="dxa"/>
              <w:right w:w="20" w:type="dxa"/>
            </w:tcMar>
            <w:vAlign w:val="center"/>
          </w:tcPr>
          <w:p w14:paraId="1F004D61" w14:textId="77777777" w:rsidR="00140B5A" w:rsidRDefault="002771A1">
            <w:pPr>
              <w:adjustRightInd w:val="0"/>
              <w:spacing w:before="60" w:after="60"/>
              <w:jc w:val="both"/>
              <w:rPr>
                <w:color w:val="000000"/>
              </w:rPr>
            </w:pPr>
            <w:r>
              <w:rPr>
                <w:color w:val="000000"/>
              </w:rPr>
              <w:t xml:space="preserve">    </w:t>
            </w:r>
            <w:r>
              <w:rPr>
                <w:rFonts w:hint="eastAsia"/>
                <w:color w:val="000000"/>
                <w:lang w:val="en-GB"/>
              </w:rPr>
              <w:t>D</w:t>
            </w:r>
            <w:proofErr w:type="spellStart"/>
            <w:r>
              <w:rPr>
                <w:color w:val="000000"/>
              </w:rPr>
              <w:t>eath</w:t>
            </w:r>
            <w:proofErr w:type="spellEnd"/>
          </w:p>
        </w:tc>
        <w:tc>
          <w:tcPr>
            <w:tcW w:w="649" w:type="pct"/>
            <w:tcMar>
              <w:top w:w="0" w:type="dxa"/>
              <w:left w:w="20" w:type="dxa"/>
              <w:bottom w:w="0" w:type="dxa"/>
              <w:right w:w="20" w:type="dxa"/>
            </w:tcMar>
            <w:vAlign w:val="center"/>
          </w:tcPr>
          <w:p w14:paraId="1F004D62"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6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6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65"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6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67" w14:textId="77777777" w:rsidR="00140B5A" w:rsidRDefault="002771A1">
            <w:pPr>
              <w:adjustRightInd w:val="0"/>
              <w:spacing w:before="60" w:after="60"/>
              <w:jc w:val="center"/>
              <w:rPr>
                <w:color w:val="000000"/>
              </w:rPr>
            </w:pPr>
            <w:r>
              <w:rPr>
                <w:color w:val="000000"/>
              </w:rPr>
              <w:t>0</w:t>
            </w:r>
          </w:p>
        </w:tc>
      </w:tr>
      <w:tr w:rsidR="00140B5A" w14:paraId="1F004D70" w14:textId="77777777">
        <w:trPr>
          <w:cantSplit/>
          <w:jc w:val="center"/>
        </w:trPr>
        <w:tc>
          <w:tcPr>
            <w:tcW w:w="1718" w:type="pct"/>
            <w:tcMar>
              <w:top w:w="0" w:type="dxa"/>
              <w:left w:w="20" w:type="dxa"/>
              <w:bottom w:w="0" w:type="dxa"/>
              <w:right w:w="20" w:type="dxa"/>
            </w:tcMar>
            <w:vAlign w:val="center"/>
          </w:tcPr>
          <w:p w14:paraId="1F004D69" w14:textId="77777777" w:rsidR="00140B5A" w:rsidRDefault="002771A1">
            <w:pPr>
              <w:adjustRightInd w:val="0"/>
              <w:spacing w:before="60" w:after="60"/>
              <w:jc w:val="both"/>
              <w:rPr>
                <w:color w:val="000000"/>
              </w:rPr>
            </w:pPr>
            <w:r>
              <w:rPr>
                <w:color w:val="000000"/>
              </w:rPr>
              <w:t xml:space="preserve">    Malnutrition</w:t>
            </w:r>
          </w:p>
        </w:tc>
        <w:tc>
          <w:tcPr>
            <w:tcW w:w="649" w:type="pct"/>
            <w:tcMar>
              <w:top w:w="0" w:type="dxa"/>
              <w:left w:w="20" w:type="dxa"/>
              <w:bottom w:w="0" w:type="dxa"/>
              <w:right w:w="20" w:type="dxa"/>
            </w:tcMar>
            <w:vAlign w:val="center"/>
          </w:tcPr>
          <w:p w14:paraId="1F004D6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6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6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6D"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6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6F" w14:textId="77777777" w:rsidR="00140B5A" w:rsidRDefault="002771A1">
            <w:pPr>
              <w:adjustRightInd w:val="0"/>
              <w:spacing w:before="60" w:after="60"/>
              <w:jc w:val="center"/>
              <w:rPr>
                <w:color w:val="000000"/>
              </w:rPr>
            </w:pPr>
            <w:r>
              <w:rPr>
                <w:color w:val="000000"/>
              </w:rPr>
              <w:t>0</w:t>
            </w:r>
          </w:p>
        </w:tc>
      </w:tr>
      <w:tr w:rsidR="00140B5A" w14:paraId="1F004D78" w14:textId="77777777">
        <w:trPr>
          <w:cantSplit/>
          <w:jc w:val="center"/>
        </w:trPr>
        <w:tc>
          <w:tcPr>
            <w:tcW w:w="1718" w:type="pct"/>
            <w:tcMar>
              <w:top w:w="0" w:type="dxa"/>
              <w:left w:w="20" w:type="dxa"/>
              <w:bottom w:w="0" w:type="dxa"/>
              <w:right w:w="20" w:type="dxa"/>
            </w:tcMar>
            <w:vAlign w:val="center"/>
          </w:tcPr>
          <w:p w14:paraId="1F004D71" w14:textId="77777777" w:rsidR="00140B5A" w:rsidRDefault="002771A1">
            <w:pPr>
              <w:adjustRightInd w:val="0"/>
              <w:spacing w:before="60" w:after="60"/>
              <w:jc w:val="both"/>
              <w:rPr>
                <w:color w:val="000000"/>
              </w:rPr>
            </w:pPr>
            <w:r>
              <w:rPr>
                <w:color w:val="000000"/>
              </w:rPr>
              <w:t xml:space="preserve">    Hyponatremia</w:t>
            </w:r>
          </w:p>
        </w:tc>
        <w:tc>
          <w:tcPr>
            <w:tcW w:w="649" w:type="pct"/>
            <w:tcMar>
              <w:top w:w="0" w:type="dxa"/>
              <w:left w:w="20" w:type="dxa"/>
              <w:bottom w:w="0" w:type="dxa"/>
              <w:right w:w="20" w:type="dxa"/>
            </w:tcMar>
            <w:vAlign w:val="center"/>
          </w:tcPr>
          <w:p w14:paraId="1F004D72"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7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7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75"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7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77" w14:textId="77777777" w:rsidR="00140B5A" w:rsidRDefault="002771A1">
            <w:pPr>
              <w:adjustRightInd w:val="0"/>
              <w:spacing w:before="60" w:after="60"/>
              <w:jc w:val="center"/>
              <w:rPr>
                <w:color w:val="000000"/>
              </w:rPr>
            </w:pPr>
            <w:r>
              <w:rPr>
                <w:color w:val="000000"/>
              </w:rPr>
              <w:t>0</w:t>
            </w:r>
          </w:p>
        </w:tc>
      </w:tr>
      <w:tr w:rsidR="00140B5A" w14:paraId="1F004D80" w14:textId="77777777">
        <w:trPr>
          <w:cantSplit/>
          <w:jc w:val="center"/>
        </w:trPr>
        <w:tc>
          <w:tcPr>
            <w:tcW w:w="1718" w:type="pct"/>
            <w:tcMar>
              <w:top w:w="0" w:type="dxa"/>
              <w:left w:w="20" w:type="dxa"/>
              <w:bottom w:w="0" w:type="dxa"/>
              <w:right w:w="20" w:type="dxa"/>
            </w:tcMar>
            <w:vAlign w:val="center"/>
          </w:tcPr>
          <w:p w14:paraId="1F004D79" w14:textId="77777777" w:rsidR="00140B5A" w:rsidRDefault="002771A1">
            <w:pPr>
              <w:adjustRightInd w:val="0"/>
              <w:spacing w:before="60" w:after="60"/>
              <w:ind w:firstLine="420"/>
              <w:jc w:val="both"/>
              <w:rPr>
                <w:color w:val="000000"/>
              </w:rPr>
            </w:pPr>
            <w:r>
              <w:rPr>
                <w:color w:val="000000"/>
              </w:rPr>
              <w:t>Abnormal liver function</w:t>
            </w:r>
          </w:p>
        </w:tc>
        <w:tc>
          <w:tcPr>
            <w:tcW w:w="649" w:type="pct"/>
            <w:tcMar>
              <w:top w:w="0" w:type="dxa"/>
              <w:left w:w="20" w:type="dxa"/>
              <w:bottom w:w="0" w:type="dxa"/>
              <w:right w:w="20" w:type="dxa"/>
            </w:tcMar>
            <w:vAlign w:val="center"/>
          </w:tcPr>
          <w:p w14:paraId="1F004D7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7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7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7D"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7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7F" w14:textId="77777777" w:rsidR="00140B5A" w:rsidRDefault="002771A1">
            <w:pPr>
              <w:adjustRightInd w:val="0"/>
              <w:spacing w:before="60" w:after="60"/>
              <w:jc w:val="center"/>
              <w:rPr>
                <w:color w:val="000000"/>
              </w:rPr>
            </w:pPr>
            <w:r>
              <w:rPr>
                <w:color w:val="000000"/>
              </w:rPr>
              <w:t>0</w:t>
            </w:r>
          </w:p>
        </w:tc>
      </w:tr>
      <w:tr w:rsidR="00140B5A" w14:paraId="1F004D88" w14:textId="77777777">
        <w:trPr>
          <w:cantSplit/>
          <w:jc w:val="center"/>
        </w:trPr>
        <w:tc>
          <w:tcPr>
            <w:tcW w:w="1718" w:type="pct"/>
            <w:tcMar>
              <w:top w:w="0" w:type="dxa"/>
              <w:left w:w="20" w:type="dxa"/>
              <w:bottom w:w="0" w:type="dxa"/>
              <w:right w:w="20" w:type="dxa"/>
            </w:tcMar>
            <w:vAlign w:val="center"/>
          </w:tcPr>
          <w:p w14:paraId="1F004D81" w14:textId="77777777" w:rsidR="00140B5A" w:rsidRDefault="002771A1">
            <w:pPr>
              <w:adjustRightInd w:val="0"/>
              <w:spacing w:before="60" w:after="60"/>
              <w:ind w:firstLine="420"/>
              <w:jc w:val="both"/>
              <w:rPr>
                <w:color w:val="000000"/>
              </w:rPr>
            </w:pPr>
            <w:r>
              <w:rPr>
                <w:color w:val="000000"/>
              </w:rPr>
              <w:t>Immune-mediated hepatitis</w:t>
            </w:r>
          </w:p>
        </w:tc>
        <w:tc>
          <w:tcPr>
            <w:tcW w:w="649" w:type="pct"/>
            <w:tcMar>
              <w:top w:w="0" w:type="dxa"/>
              <w:left w:w="20" w:type="dxa"/>
              <w:bottom w:w="0" w:type="dxa"/>
              <w:right w:w="20" w:type="dxa"/>
            </w:tcMar>
            <w:vAlign w:val="center"/>
          </w:tcPr>
          <w:p w14:paraId="1F004D82" w14:textId="77777777" w:rsidR="00140B5A" w:rsidRDefault="002771A1">
            <w:pPr>
              <w:adjustRightInd w:val="0"/>
              <w:spacing w:before="60" w:after="60"/>
              <w:jc w:val="center"/>
              <w:rPr>
                <w:color w:val="000000"/>
              </w:rPr>
            </w:pPr>
            <w:r>
              <w:rPr>
                <w:color w:val="000000"/>
              </w:rPr>
              <w:t>0</w:t>
            </w:r>
          </w:p>
        </w:tc>
        <w:tc>
          <w:tcPr>
            <w:tcW w:w="498" w:type="pct"/>
            <w:tcMar>
              <w:top w:w="0" w:type="dxa"/>
              <w:left w:w="20" w:type="dxa"/>
              <w:bottom w:w="0" w:type="dxa"/>
              <w:right w:w="20" w:type="dxa"/>
            </w:tcMar>
            <w:vAlign w:val="center"/>
          </w:tcPr>
          <w:p w14:paraId="1F004D8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84"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85"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8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87" w14:textId="77777777" w:rsidR="00140B5A" w:rsidRDefault="002771A1">
            <w:pPr>
              <w:adjustRightInd w:val="0"/>
              <w:spacing w:before="60" w:after="60"/>
              <w:jc w:val="center"/>
              <w:rPr>
                <w:color w:val="000000"/>
              </w:rPr>
            </w:pPr>
            <w:r>
              <w:rPr>
                <w:color w:val="000000"/>
              </w:rPr>
              <w:t>0</w:t>
            </w:r>
          </w:p>
        </w:tc>
      </w:tr>
      <w:tr w:rsidR="00140B5A" w14:paraId="1F004D90" w14:textId="77777777">
        <w:trPr>
          <w:cantSplit/>
          <w:jc w:val="center"/>
        </w:trPr>
        <w:tc>
          <w:tcPr>
            <w:tcW w:w="1718" w:type="pct"/>
            <w:tcMar>
              <w:top w:w="0" w:type="dxa"/>
              <w:left w:w="20" w:type="dxa"/>
              <w:bottom w:w="0" w:type="dxa"/>
              <w:right w:w="20" w:type="dxa"/>
            </w:tcMar>
            <w:vAlign w:val="center"/>
          </w:tcPr>
          <w:p w14:paraId="1F004D89" w14:textId="77777777" w:rsidR="00140B5A" w:rsidRDefault="002771A1">
            <w:pPr>
              <w:adjustRightInd w:val="0"/>
              <w:spacing w:before="60" w:after="60"/>
              <w:jc w:val="both"/>
              <w:rPr>
                <w:color w:val="000000"/>
              </w:rPr>
            </w:pPr>
            <w:r>
              <w:rPr>
                <w:color w:val="000000"/>
              </w:rPr>
              <w:t xml:space="preserve">    Cerebral infarction</w:t>
            </w:r>
          </w:p>
        </w:tc>
        <w:tc>
          <w:tcPr>
            <w:tcW w:w="649" w:type="pct"/>
            <w:tcMar>
              <w:top w:w="0" w:type="dxa"/>
              <w:left w:w="20" w:type="dxa"/>
              <w:bottom w:w="0" w:type="dxa"/>
              <w:right w:w="20" w:type="dxa"/>
            </w:tcMar>
            <w:vAlign w:val="center"/>
          </w:tcPr>
          <w:p w14:paraId="1F004D8A"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8B"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8C"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8D"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8E"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8F" w14:textId="77777777" w:rsidR="00140B5A" w:rsidRDefault="002771A1">
            <w:pPr>
              <w:adjustRightInd w:val="0"/>
              <w:spacing w:before="60" w:after="60"/>
              <w:jc w:val="center"/>
              <w:rPr>
                <w:color w:val="000000"/>
              </w:rPr>
            </w:pPr>
            <w:r>
              <w:rPr>
                <w:color w:val="000000"/>
              </w:rPr>
              <w:t>0</w:t>
            </w:r>
          </w:p>
        </w:tc>
      </w:tr>
      <w:tr w:rsidR="00140B5A" w14:paraId="1F004D98" w14:textId="77777777">
        <w:trPr>
          <w:cantSplit/>
          <w:jc w:val="center"/>
        </w:trPr>
        <w:tc>
          <w:tcPr>
            <w:tcW w:w="1718" w:type="pct"/>
            <w:tcMar>
              <w:top w:w="0" w:type="dxa"/>
              <w:left w:w="20" w:type="dxa"/>
              <w:bottom w:w="0" w:type="dxa"/>
              <w:right w:w="20" w:type="dxa"/>
            </w:tcMar>
            <w:vAlign w:val="center"/>
          </w:tcPr>
          <w:p w14:paraId="1F004D91" w14:textId="77777777" w:rsidR="00140B5A" w:rsidRDefault="002771A1">
            <w:pPr>
              <w:adjustRightInd w:val="0"/>
              <w:spacing w:before="60" w:after="60"/>
              <w:ind w:firstLine="420"/>
              <w:jc w:val="both"/>
              <w:rPr>
                <w:color w:val="000000"/>
              </w:rPr>
            </w:pPr>
            <w:r>
              <w:rPr>
                <w:color w:val="000000"/>
              </w:rPr>
              <w:t>Radiation gastroenteritis</w:t>
            </w:r>
          </w:p>
        </w:tc>
        <w:tc>
          <w:tcPr>
            <w:tcW w:w="649" w:type="pct"/>
            <w:tcMar>
              <w:top w:w="0" w:type="dxa"/>
              <w:left w:w="20" w:type="dxa"/>
              <w:bottom w:w="0" w:type="dxa"/>
              <w:right w:w="20" w:type="dxa"/>
            </w:tcMar>
            <w:vAlign w:val="center"/>
          </w:tcPr>
          <w:p w14:paraId="1F004D92" w14:textId="77777777" w:rsidR="00140B5A" w:rsidRDefault="002771A1">
            <w:pPr>
              <w:adjustRightInd w:val="0"/>
              <w:spacing w:before="60" w:after="60"/>
              <w:jc w:val="center"/>
              <w:rPr>
                <w:color w:val="000000"/>
              </w:rPr>
            </w:pPr>
            <w:r>
              <w:rPr>
                <w:color w:val="000000"/>
              </w:rPr>
              <w:t>1 (0.8%)</w:t>
            </w:r>
          </w:p>
        </w:tc>
        <w:tc>
          <w:tcPr>
            <w:tcW w:w="498" w:type="pct"/>
            <w:tcMar>
              <w:top w:w="0" w:type="dxa"/>
              <w:left w:w="20" w:type="dxa"/>
              <w:bottom w:w="0" w:type="dxa"/>
              <w:right w:w="20" w:type="dxa"/>
            </w:tcMar>
            <w:vAlign w:val="center"/>
          </w:tcPr>
          <w:p w14:paraId="1F004D93"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94" w14:textId="77777777" w:rsidR="00140B5A" w:rsidRDefault="002771A1">
            <w:pPr>
              <w:adjustRightInd w:val="0"/>
              <w:spacing w:before="60" w:after="60"/>
              <w:jc w:val="center"/>
              <w:rPr>
                <w:color w:val="000000"/>
              </w:rPr>
            </w:pPr>
            <w:r>
              <w:rPr>
                <w:color w:val="000000"/>
              </w:rPr>
              <w:t>1 (0.8%)</w:t>
            </w:r>
          </w:p>
        </w:tc>
        <w:tc>
          <w:tcPr>
            <w:tcW w:w="550" w:type="pct"/>
            <w:tcMar>
              <w:top w:w="0" w:type="dxa"/>
              <w:left w:w="20" w:type="dxa"/>
              <w:bottom w:w="0" w:type="dxa"/>
              <w:right w:w="20" w:type="dxa"/>
            </w:tcMar>
            <w:vAlign w:val="center"/>
          </w:tcPr>
          <w:p w14:paraId="1F004D95" w14:textId="77777777" w:rsidR="00140B5A" w:rsidRDefault="002771A1">
            <w:pPr>
              <w:adjustRightInd w:val="0"/>
              <w:spacing w:before="60" w:after="60"/>
              <w:jc w:val="center"/>
              <w:rPr>
                <w:color w:val="000000"/>
              </w:rPr>
            </w:pPr>
            <w:r>
              <w:rPr>
                <w:color w:val="000000"/>
              </w:rPr>
              <w:t>0</w:t>
            </w:r>
          </w:p>
        </w:tc>
        <w:tc>
          <w:tcPr>
            <w:tcW w:w="550" w:type="pct"/>
            <w:tcMar>
              <w:top w:w="0" w:type="dxa"/>
              <w:left w:w="20" w:type="dxa"/>
              <w:bottom w:w="0" w:type="dxa"/>
              <w:right w:w="20" w:type="dxa"/>
            </w:tcMar>
            <w:vAlign w:val="center"/>
          </w:tcPr>
          <w:p w14:paraId="1F004D96" w14:textId="77777777" w:rsidR="00140B5A" w:rsidRDefault="002771A1">
            <w:pPr>
              <w:adjustRightInd w:val="0"/>
              <w:spacing w:before="60" w:after="60"/>
              <w:jc w:val="center"/>
              <w:rPr>
                <w:color w:val="000000"/>
              </w:rPr>
            </w:pPr>
            <w:r>
              <w:rPr>
                <w:color w:val="000000"/>
              </w:rPr>
              <w:t>0</w:t>
            </w:r>
          </w:p>
        </w:tc>
        <w:tc>
          <w:tcPr>
            <w:tcW w:w="485" w:type="pct"/>
            <w:tcMar>
              <w:top w:w="0" w:type="dxa"/>
              <w:left w:w="20" w:type="dxa"/>
              <w:bottom w:w="0" w:type="dxa"/>
              <w:right w:w="20" w:type="dxa"/>
            </w:tcMar>
            <w:vAlign w:val="center"/>
          </w:tcPr>
          <w:p w14:paraId="1F004D97" w14:textId="77777777" w:rsidR="00140B5A" w:rsidRDefault="002771A1">
            <w:pPr>
              <w:adjustRightInd w:val="0"/>
              <w:spacing w:before="60" w:after="60"/>
              <w:jc w:val="center"/>
              <w:rPr>
                <w:color w:val="000000"/>
              </w:rPr>
            </w:pPr>
            <w:r>
              <w:rPr>
                <w:color w:val="000000"/>
              </w:rPr>
              <w:t>0</w:t>
            </w:r>
          </w:p>
        </w:tc>
      </w:tr>
      <w:tr w:rsidR="00140B5A" w14:paraId="1F004DA0" w14:textId="77777777">
        <w:trPr>
          <w:cantSplit/>
          <w:jc w:val="center"/>
        </w:trPr>
        <w:tc>
          <w:tcPr>
            <w:tcW w:w="1718" w:type="pct"/>
            <w:tcBorders>
              <w:bottom w:val="single" w:sz="4" w:space="0" w:color="auto"/>
            </w:tcBorders>
            <w:tcMar>
              <w:top w:w="0" w:type="dxa"/>
              <w:left w:w="20" w:type="dxa"/>
              <w:bottom w:w="0" w:type="dxa"/>
              <w:right w:w="20" w:type="dxa"/>
            </w:tcMar>
            <w:vAlign w:val="center"/>
          </w:tcPr>
          <w:p w14:paraId="1F004D99" w14:textId="77777777" w:rsidR="00140B5A" w:rsidRDefault="002771A1">
            <w:pPr>
              <w:adjustRightInd w:val="0"/>
              <w:spacing w:before="60" w:after="60"/>
              <w:jc w:val="both"/>
              <w:rPr>
                <w:color w:val="000000"/>
              </w:rPr>
            </w:pPr>
            <w:r>
              <w:rPr>
                <w:color w:val="000000"/>
              </w:rPr>
              <w:t xml:space="preserve">    Dermatomyositis</w:t>
            </w:r>
          </w:p>
        </w:tc>
        <w:tc>
          <w:tcPr>
            <w:tcW w:w="649" w:type="pct"/>
            <w:tcBorders>
              <w:bottom w:val="single" w:sz="4" w:space="0" w:color="auto"/>
            </w:tcBorders>
            <w:tcMar>
              <w:top w:w="0" w:type="dxa"/>
              <w:left w:w="20" w:type="dxa"/>
              <w:bottom w:w="0" w:type="dxa"/>
              <w:right w:w="20" w:type="dxa"/>
            </w:tcMar>
            <w:vAlign w:val="center"/>
          </w:tcPr>
          <w:p w14:paraId="1F004D9A" w14:textId="77777777" w:rsidR="00140B5A" w:rsidRDefault="002771A1">
            <w:pPr>
              <w:adjustRightInd w:val="0"/>
              <w:spacing w:before="60" w:after="60"/>
              <w:jc w:val="center"/>
              <w:rPr>
                <w:color w:val="000000"/>
              </w:rPr>
            </w:pPr>
            <w:r>
              <w:rPr>
                <w:color w:val="000000"/>
              </w:rPr>
              <w:t>1 (0.8%)</w:t>
            </w:r>
          </w:p>
        </w:tc>
        <w:tc>
          <w:tcPr>
            <w:tcW w:w="498" w:type="pct"/>
            <w:tcBorders>
              <w:bottom w:val="single" w:sz="4" w:space="0" w:color="auto"/>
            </w:tcBorders>
            <w:tcMar>
              <w:top w:w="0" w:type="dxa"/>
              <w:left w:w="20" w:type="dxa"/>
              <w:bottom w:w="0" w:type="dxa"/>
              <w:right w:w="20" w:type="dxa"/>
            </w:tcMar>
            <w:vAlign w:val="center"/>
          </w:tcPr>
          <w:p w14:paraId="1F004D9B" w14:textId="77777777" w:rsidR="00140B5A" w:rsidRDefault="002771A1">
            <w:pPr>
              <w:adjustRightInd w:val="0"/>
              <w:spacing w:before="60" w:after="60"/>
              <w:jc w:val="center"/>
              <w:rPr>
                <w:color w:val="000000"/>
              </w:rPr>
            </w:pPr>
            <w:r>
              <w:rPr>
                <w:color w:val="000000"/>
              </w:rPr>
              <w:t>0</w:t>
            </w:r>
          </w:p>
        </w:tc>
        <w:tc>
          <w:tcPr>
            <w:tcW w:w="550" w:type="pct"/>
            <w:tcBorders>
              <w:bottom w:val="single" w:sz="4" w:space="0" w:color="auto"/>
            </w:tcBorders>
            <w:tcMar>
              <w:top w:w="0" w:type="dxa"/>
              <w:left w:w="20" w:type="dxa"/>
              <w:bottom w:w="0" w:type="dxa"/>
              <w:right w:w="20" w:type="dxa"/>
            </w:tcMar>
            <w:vAlign w:val="center"/>
          </w:tcPr>
          <w:p w14:paraId="1F004D9C" w14:textId="77777777" w:rsidR="00140B5A" w:rsidRDefault="002771A1">
            <w:pPr>
              <w:adjustRightInd w:val="0"/>
              <w:spacing w:before="60" w:after="60"/>
              <w:jc w:val="center"/>
              <w:rPr>
                <w:color w:val="000000"/>
              </w:rPr>
            </w:pPr>
            <w:r>
              <w:rPr>
                <w:color w:val="000000"/>
              </w:rPr>
              <w:t>0</w:t>
            </w:r>
          </w:p>
        </w:tc>
        <w:tc>
          <w:tcPr>
            <w:tcW w:w="550" w:type="pct"/>
            <w:tcBorders>
              <w:bottom w:val="single" w:sz="4" w:space="0" w:color="auto"/>
            </w:tcBorders>
            <w:tcMar>
              <w:top w:w="0" w:type="dxa"/>
              <w:left w:w="20" w:type="dxa"/>
              <w:bottom w:w="0" w:type="dxa"/>
              <w:right w:w="20" w:type="dxa"/>
            </w:tcMar>
            <w:vAlign w:val="center"/>
          </w:tcPr>
          <w:p w14:paraId="1F004D9D" w14:textId="77777777" w:rsidR="00140B5A" w:rsidRDefault="002771A1">
            <w:pPr>
              <w:adjustRightInd w:val="0"/>
              <w:spacing w:before="60" w:after="60"/>
              <w:jc w:val="center"/>
              <w:rPr>
                <w:color w:val="000000"/>
              </w:rPr>
            </w:pPr>
            <w:r>
              <w:rPr>
                <w:color w:val="000000"/>
              </w:rPr>
              <w:t>1 (0.8%)</w:t>
            </w:r>
          </w:p>
        </w:tc>
        <w:tc>
          <w:tcPr>
            <w:tcW w:w="550" w:type="pct"/>
            <w:tcBorders>
              <w:bottom w:val="single" w:sz="4" w:space="0" w:color="auto"/>
            </w:tcBorders>
            <w:tcMar>
              <w:top w:w="0" w:type="dxa"/>
              <w:left w:w="20" w:type="dxa"/>
              <w:bottom w:w="0" w:type="dxa"/>
              <w:right w:w="20" w:type="dxa"/>
            </w:tcMar>
            <w:vAlign w:val="center"/>
          </w:tcPr>
          <w:p w14:paraId="1F004D9E" w14:textId="77777777" w:rsidR="00140B5A" w:rsidRDefault="002771A1">
            <w:pPr>
              <w:adjustRightInd w:val="0"/>
              <w:spacing w:before="60" w:after="60"/>
              <w:jc w:val="center"/>
              <w:rPr>
                <w:color w:val="000000"/>
              </w:rPr>
            </w:pPr>
            <w:r>
              <w:rPr>
                <w:color w:val="000000"/>
              </w:rPr>
              <w:t>0</w:t>
            </w:r>
          </w:p>
        </w:tc>
        <w:tc>
          <w:tcPr>
            <w:tcW w:w="485" w:type="pct"/>
            <w:tcBorders>
              <w:bottom w:val="single" w:sz="4" w:space="0" w:color="auto"/>
            </w:tcBorders>
            <w:tcMar>
              <w:top w:w="0" w:type="dxa"/>
              <w:left w:w="20" w:type="dxa"/>
              <w:bottom w:w="0" w:type="dxa"/>
              <w:right w:w="20" w:type="dxa"/>
            </w:tcMar>
            <w:vAlign w:val="center"/>
          </w:tcPr>
          <w:p w14:paraId="1F004D9F" w14:textId="77777777" w:rsidR="00140B5A" w:rsidRDefault="002771A1">
            <w:pPr>
              <w:adjustRightInd w:val="0"/>
              <w:spacing w:before="60" w:after="60"/>
              <w:jc w:val="center"/>
              <w:rPr>
                <w:color w:val="000000"/>
              </w:rPr>
            </w:pPr>
            <w:r>
              <w:rPr>
                <w:color w:val="000000"/>
              </w:rPr>
              <w:t>0</w:t>
            </w:r>
          </w:p>
        </w:tc>
      </w:tr>
      <w:tr w:rsidR="00140B5A" w14:paraId="1F004DA8" w14:textId="77777777">
        <w:trPr>
          <w:cantSplit/>
          <w:jc w:val="center"/>
        </w:trPr>
        <w:tc>
          <w:tcPr>
            <w:tcW w:w="1718" w:type="pct"/>
            <w:tcBorders>
              <w:bottom w:val="single" w:sz="4" w:space="0" w:color="auto"/>
            </w:tcBorders>
            <w:tcMar>
              <w:top w:w="0" w:type="dxa"/>
              <w:left w:w="20" w:type="dxa"/>
              <w:bottom w:w="0" w:type="dxa"/>
              <w:right w:w="20" w:type="dxa"/>
            </w:tcMar>
            <w:vAlign w:val="center"/>
          </w:tcPr>
          <w:p w14:paraId="1F004DA1" w14:textId="77777777" w:rsidR="00140B5A" w:rsidRDefault="002771A1">
            <w:pPr>
              <w:adjustRightInd w:val="0"/>
              <w:spacing w:before="60" w:after="60"/>
              <w:jc w:val="both"/>
              <w:rPr>
                <w:color w:val="000000"/>
              </w:rPr>
            </w:pPr>
            <w:r>
              <w:rPr>
                <w:color w:val="000000"/>
              </w:rPr>
              <w:t xml:space="preserve">    Vaginal bleeding</w:t>
            </w:r>
          </w:p>
        </w:tc>
        <w:tc>
          <w:tcPr>
            <w:tcW w:w="649" w:type="pct"/>
            <w:tcBorders>
              <w:bottom w:val="single" w:sz="4" w:space="0" w:color="auto"/>
            </w:tcBorders>
            <w:tcMar>
              <w:top w:w="0" w:type="dxa"/>
              <w:left w:w="20" w:type="dxa"/>
              <w:bottom w:w="0" w:type="dxa"/>
              <w:right w:w="20" w:type="dxa"/>
            </w:tcMar>
            <w:vAlign w:val="center"/>
          </w:tcPr>
          <w:p w14:paraId="1F004DA2" w14:textId="77777777" w:rsidR="00140B5A" w:rsidRDefault="002771A1">
            <w:pPr>
              <w:adjustRightInd w:val="0"/>
              <w:spacing w:before="60" w:after="60"/>
              <w:jc w:val="center"/>
              <w:rPr>
                <w:color w:val="000000"/>
              </w:rPr>
            </w:pPr>
            <w:r>
              <w:rPr>
                <w:color w:val="000000"/>
              </w:rPr>
              <w:t>1 (0.8%)</w:t>
            </w:r>
          </w:p>
        </w:tc>
        <w:tc>
          <w:tcPr>
            <w:tcW w:w="498" w:type="pct"/>
            <w:tcBorders>
              <w:bottom w:val="single" w:sz="4" w:space="0" w:color="auto"/>
            </w:tcBorders>
            <w:tcMar>
              <w:top w:w="0" w:type="dxa"/>
              <w:left w:w="20" w:type="dxa"/>
              <w:bottom w:w="0" w:type="dxa"/>
              <w:right w:w="20" w:type="dxa"/>
            </w:tcMar>
            <w:vAlign w:val="center"/>
          </w:tcPr>
          <w:p w14:paraId="1F004DA3" w14:textId="77777777" w:rsidR="00140B5A" w:rsidRDefault="002771A1">
            <w:pPr>
              <w:adjustRightInd w:val="0"/>
              <w:spacing w:before="60" w:after="60"/>
              <w:jc w:val="center"/>
              <w:rPr>
                <w:color w:val="000000"/>
              </w:rPr>
            </w:pPr>
            <w:r>
              <w:rPr>
                <w:color w:val="000000"/>
              </w:rPr>
              <w:t>0</w:t>
            </w:r>
          </w:p>
        </w:tc>
        <w:tc>
          <w:tcPr>
            <w:tcW w:w="550" w:type="pct"/>
            <w:tcBorders>
              <w:bottom w:val="single" w:sz="4" w:space="0" w:color="auto"/>
            </w:tcBorders>
            <w:tcMar>
              <w:top w:w="0" w:type="dxa"/>
              <w:left w:w="20" w:type="dxa"/>
              <w:bottom w:w="0" w:type="dxa"/>
              <w:right w:w="20" w:type="dxa"/>
            </w:tcMar>
            <w:vAlign w:val="center"/>
          </w:tcPr>
          <w:p w14:paraId="1F004DA4" w14:textId="77777777" w:rsidR="00140B5A" w:rsidRDefault="002771A1">
            <w:pPr>
              <w:adjustRightInd w:val="0"/>
              <w:spacing w:before="60" w:after="60"/>
              <w:jc w:val="center"/>
              <w:rPr>
                <w:color w:val="000000"/>
              </w:rPr>
            </w:pPr>
            <w:r>
              <w:rPr>
                <w:color w:val="000000"/>
              </w:rPr>
              <w:t>0</w:t>
            </w:r>
          </w:p>
        </w:tc>
        <w:tc>
          <w:tcPr>
            <w:tcW w:w="550" w:type="pct"/>
            <w:tcBorders>
              <w:bottom w:val="single" w:sz="4" w:space="0" w:color="auto"/>
            </w:tcBorders>
            <w:tcMar>
              <w:top w:w="0" w:type="dxa"/>
              <w:left w:w="20" w:type="dxa"/>
              <w:bottom w:w="0" w:type="dxa"/>
              <w:right w:w="20" w:type="dxa"/>
            </w:tcMar>
            <w:vAlign w:val="center"/>
          </w:tcPr>
          <w:p w14:paraId="1F004DA5" w14:textId="77777777" w:rsidR="00140B5A" w:rsidRDefault="002771A1">
            <w:pPr>
              <w:adjustRightInd w:val="0"/>
              <w:spacing w:before="60" w:after="60"/>
              <w:jc w:val="center"/>
              <w:rPr>
                <w:color w:val="000000"/>
              </w:rPr>
            </w:pPr>
            <w:r>
              <w:rPr>
                <w:color w:val="000000"/>
              </w:rPr>
              <w:t>1 (0.8%)</w:t>
            </w:r>
          </w:p>
        </w:tc>
        <w:tc>
          <w:tcPr>
            <w:tcW w:w="550" w:type="pct"/>
            <w:tcBorders>
              <w:bottom w:val="single" w:sz="4" w:space="0" w:color="auto"/>
            </w:tcBorders>
            <w:tcMar>
              <w:top w:w="0" w:type="dxa"/>
              <w:left w:w="20" w:type="dxa"/>
              <w:bottom w:w="0" w:type="dxa"/>
              <w:right w:w="20" w:type="dxa"/>
            </w:tcMar>
            <w:vAlign w:val="center"/>
          </w:tcPr>
          <w:p w14:paraId="1F004DA6" w14:textId="77777777" w:rsidR="00140B5A" w:rsidRDefault="002771A1">
            <w:pPr>
              <w:adjustRightInd w:val="0"/>
              <w:spacing w:before="60" w:after="60"/>
              <w:jc w:val="center"/>
              <w:rPr>
                <w:color w:val="000000"/>
              </w:rPr>
            </w:pPr>
            <w:r>
              <w:rPr>
                <w:color w:val="000000"/>
              </w:rPr>
              <w:t>0</w:t>
            </w:r>
          </w:p>
        </w:tc>
        <w:tc>
          <w:tcPr>
            <w:tcW w:w="485" w:type="pct"/>
            <w:tcBorders>
              <w:bottom w:val="single" w:sz="4" w:space="0" w:color="auto"/>
            </w:tcBorders>
            <w:tcMar>
              <w:top w:w="0" w:type="dxa"/>
              <w:left w:w="20" w:type="dxa"/>
              <w:bottom w:w="0" w:type="dxa"/>
              <w:right w:w="20" w:type="dxa"/>
            </w:tcMar>
            <w:vAlign w:val="center"/>
          </w:tcPr>
          <w:p w14:paraId="1F004DA7" w14:textId="77777777" w:rsidR="00140B5A" w:rsidRDefault="002771A1">
            <w:pPr>
              <w:adjustRightInd w:val="0"/>
              <w:spacing w:before="60" w:after="60"/>
              <w:jc w:val="center"/>
              <w:rPr>
                <w:color w:val="000000"/>
              </w:rPr>
            </w:pPr>
            <w:r>
              <w:rPr>
                <w:color w:val="000000"/>
              </w:rPr>
              <w:t>0</w:t>
            </w:r>
          </w:p>
        </w:tc>
      </w:tr>
    </w:tbl>
    <w:p w14:paraId="1F004DA9" w14:textId="77777777" w:rsidR="00140B5A" w:rsidRDefault="00140B5A"/>
    <w:p w14:paraId="1F004DAA" w14:textId="77777777" w:rsidR="00140B5A" w:rsidRDefault="00140B5A"/>
    <w:p w14:paraId="1F004DAB" w14:textId="77777777" w:rsidR="00140B5A" w:rsidRDefault="002771A1">
      <w:r>
        <w:br w:type="page"/>
      </w:r>
    </w:p>
    <w:p w14:paraId="1F004DAC" w14:textId="77777777" w:rsidR="00140B5A" w:rsidRDefault="002771A1">
      <w:pPr>
        <w:pStyle w:val="1"/>
        <w:numPr>
          <w:ilvl w:val="0"/>
          <w:numId w:val="0"/>
        </w:numPr>
        <w:ind w:left="432" w:hanging="432"/>
      </w:pPr>
      <w:bookmarkStart w:id="3" w:name="_Toc129963875"/>
      <w:r>
        <w:lastRenderedPageBreak/>
        <w:t xml:space="preserve">Table S3. </w:t>
      </w:r>
      <w:r>
        <w:rPr>
          <w:bCs/>
          <w:color w:val="231F20"/>
        </w:rPr>
        <w:t xml:space="preserve">Treatment-related </w:t>
      </w:r>
      <w:r>
        <w:rPr>
          <w:rFonts w:eastAsia="Calibri"/>
        </w:rPr>
        <w:t xml:space="preserve">adverse events leading to study treatment </w:t>
      </w:r>
      <w:proofErr w:type="gramStart"/>
      <w:r>
        <w:rPr>
          <w:rFonts w:eastAsia="Calibri"/>
        </w:rPr>
        <w:t>discontinuation</w:t>
      </w:r>
      <w:bookmarkEnd w:id="3"/>
      <w:proofErr w:type="gramEnd"/>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474"/>
        <w:gridCol w:w="1189"/>
        <w:gridCol w:w="977"/>
        <w:gridCol w:w="1043"/>
        <w:gridCol w:w="1043"/>
        <w:gridCol w:w="1043"/>
        <w:gridCol w:w="977"/>
      </w:tblGrid>
      <w:tr w:rsidR="00140B5A" w14:paraId="1F004DAF" w14:textId="77777777">
        <w:trPr>
          <w:cantSplit/>
        </w:trPr>
        <w:tc>
          <w:tcPr>
            <w:tcW w:w="1783" w:type="pct"/>
            <w:tcBorders>
              <w:top w:val="single" w:sz="4" w:space="0" w:color="auto"/>
              <w:left w:val="nil"/>
              <w:bottom w:val="nil"/>
              <w:right w:val="nil"/>
            </w:tcBorders>
            <w:tcMar>
              <w:top w:w="0" w:type="dxa"/>
              <w:left w:w="20" w:type="dxa"/>
              <w:bottom w:w="0" w:type="dxa"/>
              <w:right w:w="20" w:type="dxa"/>
            </w:tcMar>
            <w:vAlign w:val="bottom"/>
          </w:tcPr>
          <w:p w14:paraId="1F004DAD" w14:textId="77777777" w:rsidR="00140B5A" w:rsidRDefault="00140B5A">
            <w:pPr>
              <w:adjustRightInd w:val="0"/>
              <w:spacing w:before="60" w:after="60"/>
              <w:rPr>
                <w:b/>
                <w:bCs/>
              </w:rPr>
            </w:pPr>
          </w:p>
        </w:tc>
        <w:tc>
          <w:tcPr>
            <w:tcW w:w="3217" w:type="pct"/>
            <w:gridSpan w:val="6"/>
            <w:tcBorders>
              <w:top w:val="single" w:sz="4" w:space="0" w:color="auto"/>
              <w:left w:val="nil"/>
              <w:bottom w:val="single" w:sz="4" w:space="0" w:color="auto"/>
              <w:right w:val="nil"/>
            </w:tcBorders>
            <w:tcMar>
              <w:top w:w="0" w:type="dxa"/>
              <w:left w:w="20" w:type="dxa"/>
              <w:bottom w:w="0" w:type="dxa"/>
              <w:right w:w="20" w:type="dxa"/>
            </w:tcMar>
            <w:vAlign w:val="bottom"/>
          </w:tcPr>
          <w:p w14:paraId="1F004DAE" w14:textId="77777777" w:rsidR="00140B5A" w:rsidRDefault="002771A1">
            <w:pPr>
              <w:adjustRightInd w:val="0"/>
              <w:spacing w:before="60" w:after="60"/>
              <w:jc w:val="center"/>
              <w:rPr>
                <w:b/>
                <w:bCs/>
              </w:rPr>
            </w:pPr>
            <w:r>
              <w:rPr>
                <w:b/>
                <w:bCs/>
              </w:rPr>
              <w:t>N = 123</w:t>
            </w:r>
          </w:p>
        </w:tc>
      </w:tr>
      <w:tr w:rsidR="00140B5A" w14:paraId="1F004DB7" w14:textId="77777777">
        <w:trPr>
          <w:cantSplit/>
        </w:trPr>
        <w:tc>
          <w:tcPr>
            <w:tcW w:w="1783" w:type="pct"/>
            <w:tcBorders>
              <w:top w:val="nil"/>
              <w:left w:val="nil"/>
              <w:bottom w:val="single" w:sz="4" w:space="0" w:color="auto"/>
              <w:right w:val="nil"/>
            </w:tcBorders>
            <w:tcMar>
              <w:top w:w="0" w:type="dxa"/>
              <w:left w:w="20" w:type="dxa"/>
              <w:bottom w:w="0" w:type="dxa"/>
              <w:right w:w="20" w:type="dxa"/>
            </w:tcMar>
            <w:vAlign w:val="bottom"/>
          </w:tcPr>
          <w:p w14:paraId="1F004DB0" w14:textId="77777777" w:rsidR="00140B5A" w:rsidRDefault="00140B5A">
            <w:pPr>
              <w:adjustRightInd w:val="0"/>
              <w:spacing w:before="60" w:after="60"/>
              <w:rPr>
                <w:b/>
                <w:bCs/>
              </w:rPr>
            </w:pPr>
          </w:p>
        </w:tc>
        <w:tc>
          <w:tcPr>
            <w:tcW w:w="610" w:type="pct"/>
            <w:tcBorders>
              <w:top w:val="nil"/>
              <w:left w:val="nil"/>
              <w:bottom w:val="single" w:sz="4" w:space="0" w:color="auto"/>
              <w:right w:val="nil"/>
            </w:tcBorders>
            <w:tcMar>
              <w:top w:w="0" w:type="dxa"/>
              <w:left w:w="20" w:type="dxa"/>
              <w:bottom w:w="0" w:type="dxa"/>
              <w:right w:w="20" w:type="dxa"/>
            </w:tcMar>
            <w:vAlign w:val="center"/>
          </w:tcPr>
          <w:p w14:paraId="1F004DB1" w14:textId="77777777" w:rsidR="00140B5A" w:rsidRDefault="002771A1">
            <w:pPr>
              <w:adjustRightInd w:val="0"/>
              <w:spacing w:before="60" w:after="60"/>
              <w:jc w:val="center"/>
              <w:rPr>
                <w:b/>
                <w:bCs/>
              </w:rPr>
            </w:pPr>
            <w:r>
              <w:rPr>
                <w:b/>
                <w:bCs/>
              </w:rPr>
              <w:t>A</w:t>
            </w:r>
            <w:r>
              <w:rPr>
                <w:rFonts w:hint="eastAsia"/>
                <w:b/>
                <w:bCs/>
              </w:rPr>
              <w:t>ny</w:t>
            </w:r>
            <w:r>
              <w:rPr>
                <w:b/>
                <w:bCs/>
              </w:rPr>
              <w:t xml:space="preserve"> grade</w:t>
            </w:r>
            <w:r>
              <w:rPr>
                <w:b/>
                <w:bCs/>
              </w:rPr>
              <w:br/>
              <w:t>n (%)</w:t>
            </w:r>
          </w:p>
        </w:tc>
        <w:tc>
          <w:tcPr>
            <w:tcW w:w="501" w:type="pct"/>
            <w:tcBorders>
              <w:top w:val="nil"/>
              <w:left w:val="nil"/>
              <w:bottom w:val="single" w:sz="4" w:space="0" w:color="auto"/>
              <w:right w:val="nil"/>
            </w:tcBorders>
            <w:tcMar>
              <w:top w:w="0" w:type="dxa"/>
              <w:left w:w="20" w:type="dxa"/>
              <w:bottom w:w="0" w:type="dxa"/>
              <w:right w:w="20" w:type="dxa"/>
            </w:tcMar>
            <w:vAlign w:val="center"/>
          </w:tcPr>
          <w:p w14:paraId="1F004DB2" w14:textId="77777777" w:rsidR="00140B5A" w:rsidRDefault="002771A1">
            <w:pPr>
              <w:adjustRightInd w:val="0"/>
              <w:spacing w:before="60" w:after="60"/>
              <w:jc w:val="center"/>
              <w:rPr>
                <w:b/>
                <w:bCs/>
              </w:rPr>
            </w:pPr>
            <w:r>
              <w:rPr>
                <w:b/>
                <w:bCs/>
                <w:sz w:val="20"/>
                <w:szCs w:val="20"/>
              </w:rPr>
              <w:t>Grade1</w:t>
            </w:r>
            <w:r>
              <w:rPr>
                <w:b/>
                <w:bCs/>
              </w:rPr>
              <w:br/>
              <w:t>n (%)</w:t>
            </w:r>
          </w:p>
        </w:tc>
        <w:tc>
          <w:tcPr>
            <w:tcW w:w="535" w:type="pct"/>
            <w:tcBorders>
              <w:top w:val="nil"/>
              <w:left w:val="nil"/>
              <w:bottom w:val="single" w:sz="4" w:space="0" w:color="auto"/>
              <w:right w:val="nil"/>
            </w:tcBorders>
            <w:tcMar>
              <w:top w:w="0" w:type="dxa"/>
              <w:left w:w="20" w:type="dxa"/>
              <w:bottom w:w="0" w:type="dxa"/>
              <w:right w:w="20" w:type="dxa"/>
            </w:tcMar>
            <w:vAlign w:val="center"/>
          </w:tcPr>
          <w:p w14:paraId="1F004DB3" w14:textId="77777777" w:rsidR="00140B5A" w:rsidRDefault="002771A1">
            <w:pPr>
              <w:adjustRightInd w:val="0"/>
              <w:spacing w:before="60" w:after="60"/>
              <w:jc w:val="center"/>
              <w:rPr>
                <w:b/>
                <w:bCs/>
              </w:rPr>
            </w:pPr>
            <w:r>
              <w:rPr>
                <w:b/>
                <w:bCs/>
                <w:sz w:val="20"/>
                <w:szCs w:val="20"/>
              </w:rPr>
              <w:t>Grade2</w:t>
            </w:r>
            <w:r>
              <w:rPr>
                <w:b/>
                <w:bCs/>
              </w:rPr>
              <w:br/>
              <w:t>n (%)</w:t>
            </w:r>
          </w:p>
        </w:tc>
        <w:tc>
          <w:tcPr>
            <w:tcW w:w="535" w:type="pct"/>
            <w:tcBorders>
              <w:top w:val="nil"/>
              <w:left w:val="nil"/>
              <w:bottom w:val="single" w:sz="4" w:space="0" w:color="auto"/>
              <w:right w:val="nil"/>
            </w:tcBorders>
            <w:tcMar>
              <w:top w:w="0" w:type="dxa"/>
              <w:left w:w="20" w:type="dxa"/>
              <w:bottom w:w="0" w:type="dxa"/>
              <w:right w:w="20" w:type="dxa"/>
            </w:tcMar>
            <w:vAlign w:val="center"/>
          </w:tcPr>
          <w:p w14:paraId="1F004DB4" w14:textId="77777777" w:rsidR="00140B5A" w:rsidRDefault="002771A1">
            <w:pPr>
              <w:adjustRightInd w:val="0"/>
              <w:spacing w:before="60" w:after="60"/>
              <w:jc w:val="center"/>
              <w:rPr>
                <w:b/>
                <w:bCs/>
              </w:rPr>
            </w:pPr>
            <w:r>
              <w:rPr>
                <w:b/>
                <w:bCs/>
                <w:sz w:val="20"/>
                <w:szCs w:val="20"/>
              </w:rPr>
              <w:t>Grade3</w:t>
            </w:r>
            <w:r>
              <w:rPr>
                <w:b/>
                <w:bCs/>
              </w:rPr>
              <w:br/>
              <w:t>n (%)</w:t>
            </w:r>
          </w:p>
        </w:tc>
        <w:tc>
          <w:tcPr>
            <w:tcW w:w="535" w:type="pct"/>
            <w:tcBorders>
              <w:top w:val="nil"/>
              <w:left w:val="nil"/>
              <w:bottom w:val="single" w:sz="4" w:space="0" w:color="auto"/>
              <w:right w:val="nil"/>
            </w:tcBorders>
            <w:tcMar>
              <w:top w:w="0" w:type="dxa"/>
              <w:left w:w="20" w:type="dxa"/>
              <w:bottom w:w="0" w:type="dxa"/>
              <w:right w:w="20" w:type="dxa"/>
            </w:tcMar>
            <w:vAlign w:val="center"/>
          </w:tcPr>
          <w:p w14:paraId="1F004DB5" w14:textId="77777777" w:rsidR="00140B5A" w:rsidRDefault="002771A1">
            <w:pPr>
              <w:adjustRightInd w:val="0"/>
              <w:spacing w:before="60" w:after="60"/>
              <w:jc w:val="center"/>
              <w:rPr>
                <w:b/>
                <w:bCs/>
              </w:rPr>
            </w:pPr>
            <w:r>
              <w:rPr>
                <w:b/>
                <w:bCs/>
                <w:sz w:val="20"/>
                <w:szCs w:val="20"/>
              </w:rPr>
              <w:t>Grade4</w:t>
            </w:r>
            <w:r>
              <w:rPr>
                <w:b/>
                <w:bCs/>
              </w:rPr>
              <w:br/>
              <w:t>n (%)</w:t>
            </w:r>
          </w:p>
        </w:tc>
        <w:tc>
          <w:tcPr>
            <w:tcW w:w="501" w:type="pct"/>
            <w:tcBorders>
              <w:top w:val="nil"/>
              <w:left w:val="nil"/>
              <w:bottom w:val="single" w:sz="4" w:space="0" w:color="auto"/>
              <w:right w:val="nil"/>
            </w:tcBorders>
            <w:tcMar>
              <w:top w:w="0" w:type="dxa"/>
              <w:left w:w="20" w:type="dxa"/>
              <w:bottom w:w="0" w:type="dxa"/>
              <w:right w:w="20" w:type="dxa"/>
            </w:tcMar>
            <w:vAlign w:val="center"/>
          </w:tcPr>
          <w:p w14:paraId="1F004DB6" w14:textId="77777777" w:rsidR="00140B5A" w:rsidRDefault="002771A1">
            <w:pPr>
              <w:adjustRightInd w:val="0"/>
              <w:spacing w:before="60" w:after="60"/>
              <w:jc w:val="center"/>
              <w:rPr>
                <w:b/>
                <w:bCs/>
              </w:rPr>
            </w:pPr>
            <w:r>
              <w:rPr>
                <w:b/>
                <w:bCs/>
                <w:sz w:val="20"/>
                <w:szCs w:val="20"/>
              </w:rPr>
              <w:t>Grade5</w:t>
            </w:r>
            <w:r>
              <w:rPr>
                <w:b/>
                <w:bCs/>
              </w:rPr>
              <w:br/>
              <w:t>n (%)</w:t>
            </w:r>
          </w:p>
        </w:tc>
      </w:tr>
      <w:tr w:rsidR="00140B5A" w14:paraId="1F004DBF" w14:textId="77777777">
        <w:trPr>
          <w:cantSplit/>
        </w:trPr>
        <w:tc>
          <w:tcPr>
            <w:tcW w:w="1783" w:type="pct"/>
            <w:tcBorders>
              <w:top w:val="single" w:sz="4" w:space="0" w:color="auto"/>
              <w:left w:val="nil"/>
              <w:bottom w:val="nil"/>
              <w:right w:val="nil"/>
            </w:tcBorders>
            <w:tcMar>
              <w:top w:w="0" w:type="dxa"/>
              <w:left w:w="20" w:type="dxa"/>
              <w:bottom w:w="0" w:type="dxa"/>
              <w:right w:w="20" w:type="dxa"/>
            </w:tcMar>
          </w:tcPr>
          <w:p w14:paraId="1F004DB8" w14:textId="77777777" w:rsidR="00140B5A" w:rsidRDefault="002771A1">
            <w:pPr>
              <w:adjustRightInd w:val="0"/>
              <w:spacing w:before="60" w:after="60"/>
              <w:rPr>
                <w:color w:val="000000"/>
              </w:rPr>
            </w:pPr>
            <w:r>
              <w:rPr>
                <w:rFonts w:hint="eastAsia"/>
                <w:color w:val="000000"/>
              </w:rPr>
              <w:t>Any</w:t>
            </w:r>
            <w:r>
              <w:rPr>
                <w:color w:val="000000"/>
              </w:rPr>
              <w:t xml:space="preserve"> </w:t>
            </w:r>
          </w:p>
        </w:tc>
        <w:tc>
          <w:tcPr>
            <w:tcW w:w="610" w:type="pct"/>
            <w:tcBorders>
              <w:top w:val="single" w:sz="4" w:space="0" w:color="auto"/>
              <w:left w:val="nil"/>
              <w:bottom w:val="nil"/>
              <w:right w:val="nil"/>
            </w:tcBorders>
            <w:tcMar>
              <w:top w:w="0" w:type="dxa"/>
              <w:left w:w="20" w:type="dxa"/>
              <w:bottom w:w="0" w:type="dxa"/>
              <w:right w:w="20" w:type="dxa"/>
            </w:tcMar>
          </w:tcPr>
          <w:p w14:paraId="1F004DB9" w14:textId="77777777" w:rsidR="00140B5A" w:rsidRDefault="002771A1">
            <w:pPr>
              <w:adjustRightInd w:val="0"/>
              <w:spacing w:before="60" w:after="60"/>
              <w:jc w:val="center"/>
              <w:rPr>
                <w:color w:val="000000"/>
              </w:rPr>
            </w:pPr>
            <w:r>
              <w:rPr>
                <w:color w:val="000000"/>
              </w:rPr>
              <w:t>7 (5.7%)</w:t>
            </w:r>
          </w:p>
        </w:tc>
        <w:tc>
          <w:tcPr>
            <w:tcW w:w="501" w:type="pct"/>
            <w:tcBorders>
              <w:top w:val="single" w:sz="4" w:space="0" w:color="auto"/>
              <w:left w:val="nil"/>
              <w:bottom w:val="nil"/>
              <w:right w:val="nil"/>
            </w:tcBorders>
            <w:tcMar>
              <w:top w:w="0" w:type="dxa"/>
              <w:left w:w="20" w:type="dxa"/>
              <w:bottom w:w="0" w:type="dxa"/>
              <w:right w:w="20" w:type="dxa"/>
            </w:tcMar>
          </w:tcPr>
          <w:p w14:paraId="1F004DBA" w14:textId="77777777" w:rsidR="00140B5A" w:rsidRDefault="002771A1">
            <w:pPr>
              <w:adjustRightInd w:val="0"/>
              <w:spacing w:before="60" w:after="60"/>
              <w:jc w:val="center"/>
              <w:rPr>
                <w:color w:val="000000"/>
              </w:rPr>
            </w:pPr>
            <w:r>
              <w:rPr>
                <w:color w:val="000000"/>
              </w:rPr>
              <w:t>0</w:t>
            </w:r>
          </w:p>
        </w:tc>
        <w:tc>
          <w:tcPr>
            <w:tcW w:w="535" w:type="pct"/>
            <w:tcBorders>
              <w:top w:val="single" w:sz="4" w:space="0" w:color="auto"/>
              <w:left w:val="nil"/>
              <w:bottom w:val="nil"/>
              <w:right w:val="nil"/>
            </w:tcBorders>
            <w:tcMar>
              <w:top w:w="0" w:type="dxa"/>
              <w:left w:w="20" w:type="dxa"/>
              <w:bottom w:w="0" w:type="dxa"/>
              <w:right w:w="20" w:type="dxa"/>
            </w:tcMar>
          </w:tcPr>
          <w:p w14:paraId="1F004DBB" w14:textId="77777777" w:rsidR="00140B5A" w:rsidRDefault="002771A1">
            <w:pPr>
              <w:adjustRightInd w:val="0"/>
              <w:spacing w:before="60" w:after="60"/>
              <w:jc w:val="center"/>
              <w:rPr>
                <w:color w:val="000000"/>
              </w:rPr>
            </w:pPr>
            <w:r>
              <w:rPr>
                <w:color w:val="000000"/>
              </w:rPr>
              <w:t>3 (2.4%)</w:t>
            </w:r>
          </w:p>
        </w:tc>
        <w:tc>
          <w:tcPr>
            <w:tcW w:w="535" w:type="pct"/>
            <w:tcBorders>
              <w:top w:val="single" w:sz="4" w:space="0" w:color="auto"/>
              <w:left w:val="nil"/>
              <w:bottom w:val="nil"/>
              <w:right w:val="nil"/>
            </w:tcBorders>
            <w:tcMar>
              <w:top w:w="0" w:type="dxa"/>
              <w:left w:w="20" w:type="dxa"/>
              <w:bottom w:w="0" w:type="dxa"/>
              <w:right w:w="20" w:type="dxa"/>
            </w:tcMar>
          </w:tcPr>
          <w:p w14:paraId="1F004DBC" w14:textId="77777777" w:rsidR="00140B5A" w:rsidRDefault="002771A1">
            <w:pPr>
              <w:adjustRightInd w:val="0"/>
              <w:spacing w:before="60" w:after="60"/>
              <w:jc w:val="center"/>
              <w:rPr>
                <w:color w:val="000000"/>
              </w:rPr>
            </w:pPr>
            <w:r>
              <w:rPr>
                <w:color w:val="000000"/>
              </w:rPr>
              <w:t>3 (2.4%)</w:t>
            </w:r>
          </w:p>
        </w:tc>
        <w:tc>
          <w:tcPr>
            <w:tcW w:w="535" w:type="pct"/>
            <w:tcBorders>
              <w:top w:val="single" w:sz="4" w:space="0" w:color="auto"/>
              <w:left w:val="nil"/>
              <w:bottom w:val="nil"/>
              <w:right w:val="nil"/>
            </w:tcBorders>
            <w:tcMar>
              <w:top w:w="0" w:type="dxa"/>
              <w:left w:w="20" w:type="dxa"/>
              <w:bottom w:w="0" w:type="dxa"/>
              <w:right w:w="20" w:type="dxa"/>
            </w:tcMar>
          </w:tcPr>
          <w:p w14:paraId="1F004DBD" w14:textId="77777777" w:rsidR="00140B5A" w:rsidRDefault="002771A1">
            <w:pPr>
              <w:adjustRightInd w:val="0"/>
              <w:spacing w:before="60" w:after="60"/>
              <w:jc w:val="center"/>
              <w:rPr>
                <w:color w:val="000000"/>
              </w:rPr>
            </w:pPr>
            <w:r>
              <w:rPr>
                <w:color w:val="000000"/>
              </w:rPr>
              <w:t>1 (0.8%)</w:t>
            </w:r>
          </w:p>
        </w:tc>
        <w:tc>
          <w:tcPr>
            <w:tcW w:w="501" w:type="pct"/>
            <w:tcBorders>
              <w:top w:val="single" w:sz="4" w:space="0" w:color="auto"/>
              <w:left w:val="nil"/>
              <w:bottom w:val="nil"/>
              <w:right w:val="nil"/>
            </w:tcBorders>
            <w:tcMar>
              <w:top w:w="0" w:type="dxa"/>
              <w:left w:w="20" w:type="dxa"/>
              <w:bottom w:w="0" w:type="dxa"/>
              <w:right w:w="20" w:type="dxa"/>
            </w:tcMar>
          </w:tcPr>
          <w:p w14:paraId="1F004DBE" w14:textId="77777777" w:rsidR="00140B5A" w:rsidRDefault="002771A1">
            <w:pPr>
              <w:adjustRightInd w:val="0"/>
              <w:spacing w:before="60" w:after="60"/>
              <w:jc w:val="center"/>
              <w:rPr>
                <w:color w:val="000000"/>
              </w:rPr>
            </w:pPr>
            <w:r>
              <w:rPr>
                <w:color w:val="000000"/>
              </w:rPr>
              <w:t>0</w:t>
            </w:r>
          </w:p>
        </w:tc>
      </w:tr>
      <w:tr w:rsidR="00140B5A" w14:paraId="1F004DC7" w14:textId="77777777">
        <w:trPr>
          <w:cantSplit/>
        </w:trPr>
        <w:tc>
          <w:tcPr>
            <w:tcW w:w="1783" w:type="pct"/>
            <w:tcBorders>
              <w:top w:val="nil"/>
              <w:left w:val="nil"/>
              <w:bottom w:val="nil"/>
              <w:right w:val="nil"/>
            </w:tcBorders>
            <w:tcMar>
              <w:top w:w="0" w:type="dxa"/>
              <w:left w:w="20" w:type="dxa"/>
              <w:bottom w:w="0" w:type="dxa"/>
              <w:right w:w="20" w:type="dxa"/>
            </w:tcMar>
          </w:tcPr>
          <w:p w14:paraId="1F004DC0" w14:textId="77777777" w:rsidR="00140B5A" w:rsidRDefault="002771A1">
            <w:pPr>
              <w:adjustRightInd w:val="0"/>
              <w:spacing w:before="60" w:after="60"/>
              <w:rPr>
                <w:color w:val="000000"/>
              </w:rPr>
            </w:pPr>
            <w:r>
              <w:rPr>
                <w:color w:val="000000"/>
              </w:rPr>
              <w:t>Skin</w:t>
            </w:r>
          </w:p>
        </w:tc>
        <w:tc>
          <w:tcPr>
            <w:tcW w:w="610" w:type="pct"/>
            <w:tcBorders>
              <w:top w:val="nil"/>
              <w:left w:val="nil"/>
              <w:bottom w:val="nil"/>
              <w:right w:val="nil"/>
            </w:tcBorders>
            <w:tcMar>
              <w:top w:w="0" w:type="dxa"/>
              <w:left w:w="20" w:type="dxa"/>
              <w:bottom w:w="0" w:type="dxa"/>
              <w:right w:w="20" w:type="dxa"/>
            </w:tcMar>
          </w:tcPr>
          <w:p w14:paraId="1F004DC1" w14:textId="77777777" w:rsidR="00140B5A" w:rsidRDefault="002771A1">
            <w:pPr>
              <w:adjustRightInd w:val="0"/>
              <w:spacing w:before="60" w:after="60"/>
              <w:jc w:val="center"/>
              <w:rPr>
                <w:color w:val="000000"/>
              </w:rPr>
            </w:pPr>
            <w:r>
              <w:rPr>
                <w:color w:val="000000"/>
              </w:rPr>
              <w:t>2 (1.6%)</w:t>
            </w:r>
          </w:p>
        </w:tc>
        <w:tc>
          <w:tcPr>
            <w:tcW w:w="501" w:type="pct"/>
            <w:tcBorders>
              <w:top w:val="nil"/>
              <w:left w:val="nil"/>
              <w:bottom w:val="nil"/>
              <w:right w:val="nil"/>
            </w:tcBorders>
            <w:tcMar>
              <w:top w:w="0" w:type="dxa"/>
              <w:left w:w="20" w:type="dxa"/>
              <w:bottom w:w="0" w:type="dxa"/>
              <w:right w:w="20" w:type="dxa"/>
            </w:tcMar>
          </w:tcPr>
          <w:p w14:paraId="1F004DC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C3"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C4"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C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C6" w14:textId="77777777" w:rsidR="00140B5A" w:rsidRDefault="002771A1">
            <w:pPr>
              <w:adjustRightInd w:val="0"/>
              <w:spacing w:before="60" w:after="60"/>
              <w:jc w:val="center"/>
              <w:rPr>
                <w:color w:val="000000"/>
              </w:rPr>
            </w:pPr>
            <w:r>
              <w:rPr>
                <w:color w:val="000000"/>
              </w:rPr>
              <w:t>0</w:t>
            </w:r>
          </w:p>
        </w:tc>
      </w:tr>
      <w:tr w:rsidR="00140B5A" w14:paraId="1F004DCF" w14:textId="77777777">
        <w:trPr>
          <w:cantSplit/>
        </w:trPr>
        <w:tc>
          <w:tcPr>
            <w:tcW w:w="1783" w:type="pct"/>
            <w:tcBorders>
              <w:top w:val="nil"/>
              <w:left w:val="nil"/>
              <w:bottom w:val="nil"/>
              <w:right w:val="nil"/>
            </w:tcBorders>
            <w:tcMar>
              <w:top w:w="0" w:type="dxa"/>
              <w:left w:w="20" w:type="dxa"/>
              <w:bottom w:w="0" w:type="dxa"/>
              <w:right w:w="20" w:type="dxa"/>
            </w:tcMar>
          </w:tcPr>
          <w:p w14:paraId="1F004DC8" w14:textId="77777777" w:rsidR="00140B5A" w:rsidRDefault="002771A1">
            <w:pPr>
              <w:adjustRightInd w:val="0"/>
              <w:spacing w:before="60" w:after="60"/>
              <w:rPr>
                <w:color w:val="000000"/>
              </w:rPr>
            </w:pPr>
            <w:r>
              <w:rPr>
                <w:color w:val="000000"/>
              </w:rPr>
              <w:t xml:space="preserve">    Dermatomyositis</w:t>
            </w:r>
          </w:p>
        </w:tc>
        <w:tc>
          <w:tcPr>
            <w:tcW w:w="610" w:type="pct"/>
            <w:tcBorders>
              <w:top w:val="nil"/>
              <w:left w:val="nil"/>
              <w:bottom w:val="nil"/>
              <w:right w:val="nil"/>
            </w:tcBorders>
            <w:tcMar>
              <w:top w:w="0" w:type="dxa"/>
              <w:left w:w="20" w:type="dxa"/>
              <w:bottom w:w="0" w:type="dxa"/>
              <w:right w:w="20" w:type="dxa"/>
            </w:tcMar>
          </w:tcPr>
          <w:p w14:paraId="1F004DC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C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CB"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CC"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C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CE" w14:textId="77777777" w:rsidR="00140B5A" w:rsidRDefault="002771A1">
            <w:pPr>
              <w:adjustRightInd w:val="0"/>
              <w:spacing w:before="60" w:after="60"/>
              <w:jc w:val="center"/>
              <w:rPr>
                <w:color w:val="000000"/>
              </w:rPr>
            </w:pPr>
            <w:r>
              <w:rPr>
                <w:color w:val="000000"/>
              </w:rPr>
              <w:t>0</w:t>
            </w:r>
          </w:p>
        </w:tc>
      </w:tr>
      <w:tr w:rsidR="00140B5A" w14:paraId="1F004DD7" w14:textId="77777777">
        <w:trPr>
          <w:cantSplit/>
        </w:trPr>
        <w:tc>
          <w:tcPr>
            <w:tcW w:w="1783" w:type="pct"/>
            <w:tcBorders>
              <w:top w:val="nil"/>
              <w:left w:val="nil"/>
              <w:bottom w:val="nil"/>
              <w:right w:val="nil"/>
            </w:tcBorders>
            <w:tcMar>
              <w:top w:w="0" w:type="dxa"/>
              <w:left w:w="20" w:type="dxa"/>
              <w:bottom w:w="0" w:type="dxa"/>
              <w:right w:w="20" w:type="dxa"/>
            </w:tcMar>
          </w:tcPr>
          <w:p w14:paraId="1F004DD0" w14:textId="77777777" w:rsidR="00140B5A" w:rsidRDefault="002771A1">
            <w:pPr>
              <w:adjustRightInd w:val="0"/>
              <w:spacing w:before="60" w:after="60"/>
              <w:rPr>
                <w:color w:val="000000"/>
              </w:rPr>
            </w:pPr>
            <w:r>
              <w:rPr>
                <w:color w:val="000000"/>
              </w:rPr>
              <w:t xml:space="preserve">    Rash</w:t>
            </w:r>
          </w:p>
        </w:tc>
        <w:tc>
          <w:tcPr>
            <w:tcW w:w="610" w:type="pct"/>
            <w:tcBorders>
              <w:top w:val="nil"/>
              <w:left w:val="nil"/>
              <w:bottom w:val="nil"/>
              <w:right w:val="nil"/>
            </w:tcBorders>
            <w:tcMar>
              <w:top w:w="0" w:type="dxa"/>
              <w:left w:w="20" w:type="dxa"/>
              <w:bottom w:w="0" w:type="dxa"/>
              <w:right w:w="20" w:type="dxa"/>
            </w:tcMar>
          </w:tcPr>
          <w:p w14:paraId="1F004DD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D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D3"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D4"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D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D6" w14:textId="77777777" w:rsidR="00140B5A" w:rsidRDefault="002771A1">
            <w:pPr>
              <w:adjustRightInd w:val="0"/>
              <w:spacing w:before="60" w:after="60"/>
              <w:jc w:val="center"/>
              <w:rPr>
                <w:color w:val="000000"/>
              </w:rPr>
            </w:pPr>
            <w:r>
              <w:rPr>
                <w:color w:val="000000"/>
              </w:rPr>
              <w:t>0</w:t>
            </w:r>
          </w:p>
        </w:tc>
      </w:tr>
      <w:tr w:rsidR="00140B5A" w14:paraId="1F004DDF" w14:textId="77777777">
        <w:trPr>
          <w:cantSplit/>
        </w:trPr>
        <w:tc>
          <w:tcPr>
            <w:tcW w:w="1783" w:type="pct"/>
            <w:tcBorders>
              <w:top w:val="nil"/>
              <w:left w:val="nil"/>
              <w:bottom w:val="nil"/>
              <w:right w:val="nil"/>
            </w:tcBorders>
            <w:tcMar>
              <w:top w:w="0" w:type="dxa"/>
              <w:left w:w="20" w:type="dxa"/>
              <w:bottom w:w="0" w:type="dxa"/>
              <w:right w:w="20" w:type="dxa"/>
            </w:tcMar>
          </w:tcPr>
          <w:p w14:paraId="1F004DD8" w14:textId="77777777" w:rsidR="00140B5A" w:rsidRDefault="002771A1">
            <w:pPr>
              <w:adjustRightInd w:val="0"/>
              <w:spacing w:before="60" w:after="60"/>
              <w:rPr>
                <w:color w:val="000000"/>
              </w:rPr>
            </w:pPr>
            <w:r>
              <w:rPr>
                <w:color w:val="000000"/>
              </w:rPr>
              <w:t>Nervous system</w:t>
            </w:r>
          </w:p>
        </w:tc>
        <w:tc>
          <w:tcPr>
            <w:tcW w:w="610" w:type="pct"/>
            <w:tcBorders>
              <w:top w:val="nil"/>
              <w:left w:val="nil"/>
              <w:bottom w:val="nil"/>
              <w:right w:val="nil"/>
            </w:tcBorders>
            <w:tcMar>
              <w:top w:w="0" w:type="dxa"/>
              <w:left w:w="20" w:type="dxa"/>
              <w:bottom w:w="0" w:type="dxa"/>
              <w:right w:w="20" w:type="dxa"/>
            </w:tcMar>
          </w:tcPr>
          <w:p w14:paraId="1F004DD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D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DB"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DC"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D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DE" w14:textId="77777777" w:rsidR="00140B5A" w:rsidRDefault="002771A1">
            <w:pPr>
              <w:adjustRightInd w:val="0"/>
              <w:spacing w:before="60" w:after="60"/>
              <w:jc w:val="center"/>
              <w:rPr>
                <w:color w:val="000000"/>
              </w:rPr>
            </w:pPr>
            <w:r>
              <w:rPr>
                <w:color w:val="000000"/>
              </w:rPr>
              <w:t>0</w:t>
            </w:r>
          </w:p>
        </w:tc>
      </w:tr>
      <w:tr w:rsidR="00140B5A" w14:paraId="1F004DE7" w14:textId="77777777">
        <w:trPr>
          <w:cantSplit/>
        </w:trPr>
        <w:tc>
          <w:tcPr>
            <w:tcW w:w="1783" w:type="pct"/>
            <w:tcBorders>
              <w:top w:val="nil"/>
              <w:left w:val="nil"/>
              <w:bottom w:val="nil"/>
              <w:right w:val="nil"/>
            </w:tcBorders>
            <w:tcMar>
              <w:top w:w="0" w:type="dxa"/>
              <w:left w:w="20" w:type="dxa"/>
              <w:bottom w:w="0" w:type="dxa"/>
              <w:right w:w="20" w:type="dxa"/>
            </w:tcMar>
          </w:tcPr>
          <w:p w14:paraId="1F004DE0" w14:textId="77777777" w:rsidR="00140B5A" w:rsidRDefault="002771A1">
            <w:pPr>
              <w:adjustRightInd w:val="0"/>
              <w:spacing w:before="60" w:after="60"/>
              <w:rPr>
                <w:color w:val="000000"/>
              </w:rPr>
            </w:pPr>
            <w:r>
              <w:rPr>
                <w:color w:val="000000"/>
              </w:rPr>
              <w:t xml:space="preserve">    Cerebral infarction</w:t>
            </w:r>
          </w:p>
        </w:tc>
        <w:tc>
          <w:tcPr>
            <w:tcW w:w="610" w:type="pct"/>
            <w:tcBorders>
              <w:top w:val="nil"/>
              <w:left w:val="nil"/>
              <w:bottom w:val="nil"/>
              <w:right w:val="nil"/>
            </w:tcBorders>
            <w:tcMar>
              <w:top w:w="0" w:type="dxa"/>
              <w:left w:w="20" w:type="dxa"/>
              <w:bottom w:w="0" w:type="dxa"/>
              <w:right w:w="20" w:type="dxa"/>
            </w:tcMar>
          </w:tcPr>
          <w:p w14:paraId="1F004DE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E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E3"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E4"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E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E6" w14:textId="77777777" w:rsidR="00140B5A" w:rsidRDefault="002771A1">
            <w:pPr>
              <w:adjustRightInd w:val="0"/>
              <w:spacing w:before="60" w:after="60"/>
              <w:jc w:val="center"/>
              <w:rPr>
                <w:color w:val="000000"/>
              </w:rPr>
            </w:pPr>
            <w:r>
              <w:rPr>
                <w:color w:val="000000"/>
              </w:rPr>
              <w:t>0</w:t>
            </w:r>
          </w:p>
        </w:tc>
      </w:tr>
      <w:tr w:rsidR="00140B5A" w14:paraId="1F004DEF" w14:textId="77777777">
        <w:trPr>
          <w:cantSplit/>
        </w:trPr>
        <w:tc>
          <w:tcPr>
            <w:tcW w:w="1783" w:type="pct"/>
            <w:tcBorders>
              <w:top w:val="nil"/>
              <w:left w:val="nil"/>
              <w:bottom w:val="nil"/>
              <w:right w:val="nil"/>
            </w:tcBorders>
            <w:tcMar>
              <w:top w:w="0" w:type="dxa"/>
              <w:left w:w="20" w:type="dxa"/>
              <w:bottom w:w="0" w:type="dxa"/>
              <w:right w:w="20" w:type="dxa"/>
            </w:tcMar>
          </w:tcPr>
          <w:p w14:paraId="1F004DE8" w14:textId="77777777" w:rsidR="00140B5A" w:rsidRDefault="002771A1">
            <w:pPr>
              <w:adjustRightInd w:val="0"/>
              <w:spacing w:before="60" w:after="60"/>
              <w:rPr>
                <w:color w:val="000000"/>
              </w:rPr>
            </w:pPr>
            <w:r>
              <w:rPr>
                <w:color w:val="000000"/>
              </w:rPr>
              <w:t>Injuries, poisoning and operational complications</w:t>
            </w:r>
          </w:p>
        </w:tc>
        <w:tc>
          <w:tcPr>
            <w:tcW w:w="610" w:type="pct"/>
            <w:tcBorders>
              <w:top w:val="nil"/>
              <w:left w:val="nil"/>
              <w:bottom w:val="nil"/>
              <w:right w:val="nil"/>
            </w:tcBorders>
            <w:tcMar>
              <w:top w:w="0" w:type="dxa"/>
              <w:left w:w="20" w:type="dxa"/>
              <w:bottom w:w="0" w:type="dxa"/>
              <w:right w:w="20" w:type="dxa"/>
            </w:tcMar>
          </w:tcPr>
          <w:p w14:paraId="1F004DE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E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EB"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EC"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E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EE" w14:textId="77777777" w:rsidR="00140B5A" w:rsidRDefault="002771A1">
            <w:pPr>
              <w:adjustRightInd w:val="0"/>
              <w:spacing w:before="60" w:after="60"/>
              <w:jc w:val="center"/>
              <w:rPr>
                <w:color w:val="000000"/>
              </w:rPr>
            </w:pPr>
            <w:r>
              <w:rPr>
                <w:color w:val="000000"/>
              </w:rPr>
              <w:t>0</w:t>
            </w:r>
          </w:p>
        </w:tc>
      </w:tr>
      <w:tr w:rsidR="00140B5A" w14:paraId="1F004DF7" w14:textId="77777777">
        <w:trPr>
          <w:cantSplit/>
        </w:trPr>
        <w:tc>
          <w:tcPr>
            <w:tcW w:w="1783" w:type="pct"/>
            <w:tcBorders>
              <w:top w:val="nil"/>
              <w:left w:val="nil"/>
              <w:bottom w:val="nil"/>
              <w:right w:val="nil"/>
            </w:tcBorders>
            <w:tcMar>
              <w:top w:w="0" w:type="dxa"/>
              <w:left w:w="20" w:type="dxa"/>
              <w:bottom w:w="0" w:type="dxa"/>
              <w:right w:w="20" w:type="dxa"/>
            </w:tcMar>
          </w:tcPr>
          <w:p w14:paraId="1F004DF0" w14:textId="77777777" w:rsidR="00140B5A" w:rsidRDefault="002771A1">
            <w:pPr>
              <w:adjustRightInd w:val="0"/>
              <w:spacing w:before="60" w:after="60"/>
              <w:ind w:firstLine="420"/>
              <w:rPr>
                <w:color w:val="000000"/>
              </w:rPr>
            </w:pPr>
            <w:r>
              <w:rPr>
                <w:color w:val="000000"/>
              </w:rPr>
              <w:t>Radiation gastroenteritis</w:t>
            </w:r>
          </w:p>
        </w:tc>
        <w:tc>
          <w:tcPr>
            <w:tcW w:w="610" w:type="pct"/>
            <w:tcBorders>
              <w:top w:val="nil"/>
              <w:left w:val="nil"/>
              <w:bottom w:val="nil"/>
              <w:right w:val="nil"/>
            </w:tcBorders>
            <w:tcMar>
              <w:top w:w="0" w:type="dxa"/>
              <w:left w:w="20" w:type="dxa"/>
              <w:bottom w:w="0" w:type="dxa"/>
              <w:right w:w="20" w:type="dxa"/>
            </w:tcMar>
          </w:tcPr>
          <w:p w14:paraId="1F004DF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F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F3"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DF4"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F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DF6" w14:textId="77777777" w:rsidR="00140B5A" w:rsidRDefault="002771A1">
            <w:pPr>
              <w:adjustRightInd w:val="0"/>
              <w:spacing w:before="60" w:after="60"/>
              <w:jc w:val="center"/>
              <w:rPr>
                <w:color w:val="000000"/>
              </w:rPr>
            </w:pPr>
            <w:r>
              <w:rPr>
                <w:color w:val="000000"/>
              </w:rPr>
              <w:t>0</w:t>
            </w:r>
          </w:p>
        </w:tc>
      </w:tr>
      <w:tr w:rsidR="00140B5A" w14:paraId="1F004DFF" w14:textId="77777777">
        <w:trPr>
          <w:cantSplit/>
        </w:trPr>
        <w:tc>
          <w:tcPr>
            <w:tcW w:w="1783" w:type="pct"/>
            <w:tcBorders>
              <w:top w:val="nil"/>
              <w:left w:val="nil"/>
              <w:bottom w:val="nil"/>
              <w:right w:val="nil"/>
            </w:tcBorders>
            <w:tcMar>
              <w:top w:w="0" w:type="dxa"/>
              <w:left w:w="20" w:type="dxa"/>
              <w:bottom w:w="0" w:type="dxa"/>
              <w:right w:w="20" w:type="dxa"/>
            </w:tcMar>
          </w:tcPr>
          <w:p w14:paraId="1F004DF8" w14:textId="77777777" w:rsidR="00140B5A" w:rsidRDefault="002771A1">
            <w:pPr>
              <w:adjustRightInd w:val="0"/>
              <w:spacing w:before="60" w:after="60"/>
              <w:rPr>
                <w:color w:val="000000"/>
              </w:rPr>
            </w:pPr>
            <w:r>
              <w:rPr>
                <w:color w:val="000000"/>
              </w:rPr>
              <w:t>Gastrointestinal</w:t>
            </w:r>
          </w:p>
        </w:tc>
        <w:tc>
          <w:tcPr>
            <w:tcW w:w="610" w:type="pct"/>
            <w:tcBorders>
              <w:top w:val="nil"/>
              <w:left w:val="nil"/>
              <w:bottom w:val="nil"/>
              <w:right w:val="nil"/>
            </w:tcBorders>
            <w:tcMar>
              <w:top w:w="0" w:type="dxa"/>
              <w:left w:w="20" w:type="dxa"/>
              <w:bottom w:w="0" w:type="dxa"/>
              <w:right w:w="20" w:type="dxa"/>
            </w:tcMar>
          </w:tcPr>
          <w:p w14:paraId="1F004DF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F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FB"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FC"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DFD"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DFE" w14:textId="77777777" w:rsidR="00140B5A" w:rsidRDefault="002771A1">
            <w:pPr>
              <w:adjustRightInd w:val="0"/>
              <w:spacing w:before="60" w:after="60"/>
              <w:jc w:val="center"/>
              <w:rPr>
                <w:color w:val="000000"/>
              </w:rPr>
            </w:pPr>
            <w:r>
              <w:rPr>
                <w:color w:val="000000"/>
              </w:rPr>
              <w:t>0</w:t>
            </w:r>
          </w:p>
        </w:tc>
      </w:tr>
      <w:tr w:rsidR="00140B5A" w14:paraId="1F004E07" w14:textId="77777777">
        <w:trPr>
          <w:cantSplit/>
        </w:trPr>
        <w:tc>
          <w:tcPr>
            <w:tcW w:w="1783" w:type="pct"/>
            <w:tcBorders>
              <w:top w:val="nil"/>
              <w:left w:val="nil"/>
              <w:bottom w:val="nil"/>
              <w:right w:val="nil"/>
            </w:tcBorders>
            <w:tcMar>
              <w:top w:w="0" w:type="dxa"/>
              <w:left w:w="20" w:type="dxa"/>
              <w:bottom w:w="0" w:type="dxa"/>
              <w:right w:w="20" w:type="dxa"/>
            </w:tcMar>
          </w:tcPr>
          <w:p w14:paraId="1F004E00" w14:textId="77777777" w:rsidR="00140B5A" w:rsidRDefault="002771A1">
            <w:pPr>
              <w:adjustRightInd w:val="0"/>
              <w:spacing w:before="60" w:after="60"/>
              <w:rPr>
                <w:color w:val="000000"/>
              </w:rPr>
            </w:pPr>
            <w:r>
              <w:rPr>
                <w:color w:val="000000"/>
              </w:rPr>
              <w:t xml:space="preserve">    Upper gastrointestinal bleeding</w:t>
            </w:r>
          </w:p>
        </w:tc>
        <w:tc>
          <w:tcPr>
            <w:tcW w:w="610" w:type="pct"/>
            <w:tcBorders>
              <w:top w:val="nil"/>
              <w:left w:val="nil"/>
              <w:bottom w:val="nil"/>
              <w:right w:val="nil"/>
            </w:tcBorders>
            <w:tcMar>
              <w:top w:w="0" w:type="dxa"/>
              <w:left w:w="20" w:type="dxa"/>
              <w:bottom w:w="0" w:type="dxa"/>
              <w:right w:w="20" w:type="dxa"/>
            </w:tcMar>
          </w:tcPr>
          <w:p w14:paraId="1F004E0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0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03"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04"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05"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06" w14:textId="77777777" w:rsidR="00140B5A" w:rsidRDefault="002771A1">
            <w:pPr>
              <w:adjustRightInd w:val="0"/>
              <w:spacing w:before="60" w:after="60"/>
              <w:jc w:val="center"/>
              <w:rPr>
                <w:color w:val="000000"/>
              </w:rPr>
            </w:pPr>
            <w:r>
              <w:rPr>
                <w:color w:val="000000"/>
              </w:rPr>
              <w:t>0</w:t>
            </w:r>
          </w:p>
        </w:tc>
      </w:tr>
      <w:tr w:rsidR="00140B5A" w14:paraId="1F004E0F" w14:textId="77777777">
        <w:trPr>
          <w:cantSplit/>
        </w:trPr>
        <w:tc>
          <w:tcPr>
            <w:tcW w:w="1783" w:type="pct"/>
            <w:tcBorders>
              <w:top w:val="nil"/>
              <w:left w:val="nil"/>
              <w:bottom w:val="nil"/>
              <w:right w:val="nil"/>
            </w:tcBorders>
            <w:tcMar>
              <w:top w:w="0" w:type="dxa"/>
              <w:left w:w="20" w:type="dxa"/>
              <w:bottom w:w="0" w:type="dxa"/>
              <w:right w:w="20" w:type="dxa"/>
            </w:tcMar>
          </w:tcPr>
          <w:p w14:paraId="1F004E08" w14:textId="77777777" w:rsidR="00140B5A" w:rsidRDefault="002771A1">
            <w:pPr>
              <w:adjustRightInd w:val="0"/>
              <w:spacing w:before="60" w:after="60"/>
              <w:rPr>
                <w:color w:val="000000"/>
              </w:rPr>
            </w:pPr>
            <w:r>
              <w:rPr>
                <w:color w:val="000000"/>
              </w:rPr>
              <w:t>Cardiac</w:t>
            </w:r>
          </w:p>
        </w:tc>
        <w:tc>
          <w:tcPr>
            <w:tcW w:w="610" w:type="pct"/>
            <w:tcBorders>
              <w:top w:val="nil"/>
              <w:left w:val="nil"/>
              <w:bottom w:val="nil"/>
              <w:right w:val="nil"/>
            </w:tcBorders>
            <w:tcMar>
              <w:top w:w="0" w:type="dxa"/>
              <w:left w:w="20" w:type="dxa"/>
              <w:bottom w:w="0" w:type="dxa"/>
              <w:right w:w="20" w:type="dxa"/>
            </w:tcMar>
          </w:tcPr>
          <w:p w14:paraId="1F004E0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0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0B"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E0C"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0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E0E" w14:textId="77777777" w:rsidR="00140B5A" w:rsidRDefault="002771A1">
            <w:pPr>
              <w:adjustRightInd w:val="0"/>
              <w:spacing w:before="60" w:after="60"/>
              <w:jc w:val="center"/>
              <w:rPr>
                <w:color w:val="000000"/>
              </w:rPr>
            </w:pPr>
            <w:r>
              <w:rPr>
                <w:color w:val="000000"/>
              </w:rPr>
              <w:t>0</w:t>
            </w:r>
          </w:p>
        </w:tc>
      </w:tr>
      <w:tr w:rsidR="00140B5A" w14:paraId="1F004E17" w14:textId="77777777">
        <w:trPr>
          <w:cantSplit/>
        </w:trPr>
        <w:tc>
          <w:tcPr>
            <w:tcW w:w="1783" w:type="pct"/>
            <w:tcBorders>
              <w:top w:val="nil"/>
              <w:left w:val="nil"/>
              <w:bottom w:val="nil"/>
              <w:right w:val="nil"/>
            </w:tcBorders>
            <w:tcMar>
              <w:top w:w="0" w:type="dxa"/>
              <w:left w:w="20" w:type="dxa"/>
              <w:bottom w:w="0" w:type="dxa"/>
              <w:right w:w="20" w:type="dxa"/>
            </w:tcMar>
          </w:tcPr>
          <w:p w14:paraId="1F004E10" w14:textId="77777777" w:rsidR="00140B5A" w:rsidRDefault="002771A1">
            <w:pPr>
              <w:adjustRightInd w:val="0"/>
              <w:spacing w:before="60" w:after="60"/>
              <w:rPr>
                <w:color w:val="000000"/>
              </w:rPr>
            </w:pPr>
            <w:r>
              <w:rPr>
                <w:color w:val="000000"/>
              </w:rPr>
              <w:t xml:space="preserve">    Arrhythmia</w:t>
            </w:r>
          </w:p>
        </w:tc>
        <w:tc>
          <w:tcPr>
            <w:tcW w:w="610" w:type="pct"/>
            <w:tcBorders>
              <w:top w:val="nil"/>
              <w:left w:val="nil"/>
              <w:bottom w:val="nil"/>
              <w:right w:val="nil"/>
            </w:tcBorders>
            <w:tcMar>
              <w:top w:w="0" w:type="dxa"/>
              <w:left w:w="20" w:type="dxa"/>
              <w:bottom w:w="0" w:type="dxa"/>
              <w:right w:w="20" w:type="dxa"/>
            </w:tcMar>
          </w:tcPr>
          <w:p w14:paraId="1F004E1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1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13"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E14"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1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E16" w14:textId="77777777" w:rsidR="00140B5A" w:rsidRDefault="002771A1">
            <w:pPr>
              <w:adjustRightInd w:val="0"/>
              <w:spacing w:before="60" w:after="60"/>
              <w:jc w:val="center"/>
              <w:rPr>
                <w:color w:val="000000"/>
              </w:rPr>
            </w:pPr>
            <w:r>
              <w:rPr>
                <w:color w:val="000000"/>
              </w:rPr>
              <w:t>0</w:t>
            </w:r>
          </w:p>
        </w:tc>
      </w:tr>
      <w:tr w:rsidR="00140B5A" w14:paraId="1F004E1F" w14:textId="77777777">
        <w:trPr>
          <w:cantSplit/>
        </w:trPr>
        <w:tc>
          <w:tcPr>
            <w:tcW w:w="1783" w:type="pct"/>
            <w:tcBorders>
              <w:top w:val="nil"/>
              <w:left w:val="nil"/>
              <w:bottom w:val="nil"/>
              <w:right w:val="nil"/>
            </w:tcBorders>
            <w:tcMar>
              <w:top w:w="0" w:type="dxa"/>
              <w:left w:w="20" w:type="dxa"/>
              <w:bottom w:w="0" w:type="dxa"/>
              <w:right w:w="20" w:type="dxa"/>
            </w:tcMar>
          </w:tcPr>
          <w:p w14:paraId="1F004E18" w14:textId="77777777" w:rsidR="00140B5A" w:rsidRDefault="002771A1">
            <w:pPr>
              <w:adjustRightInd w:val="0"/>
              <w:spacing w:before="60" w:after="60"/>
              <w:rPr>
                <w:color w:val="000000"/>
                <w:lang w:val="en-GB"/>
              </w:rPr>
            </w:pPr>
            <w:r>
              <w:rPr>
                <w:rFonts w:hint="eastAsia"/>
                <w:color w:val="000000"/>
              </w:rPr>
              <w:t>B</w:t>
            </w:r>
            <w:r>
              <w:rPr>
                <w:color w:val="000000"/>
              </w:rPr>
              <w:t>lood and lymphatic system</w:t>
            </w:r>
          </w:p>
        </w:tc>
        <w:tc>
          <w:tcPr>
            <w:tcW w:w="610" w:type="pct"/>
            <w:tcBorders>
              <w:top w:val="nil"/>
              <w:left w:val="nil"/>
              <w:bottom w:val="nil"/>
              <w:right w:val="nil"/>
            </w:tcBorders>
            <w:tcMar>
              <w:top w:w="0" w:type="dxa"/>
              <w:left w:w="20" w:type="dxa"/>
              <w:bottom w:w="0" w:type="dxa"/>
              <w:right w:w="20" w:type="dxa"/>
            </w:tcMar>
          </w:tcPr>
          <w:p w14:paraId="1F004E1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1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1B"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1C"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E1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E1E" w14:textId="77777777" w:rsidR="00140B5A" w:rsidRDefault="002771A1">
            <w:pPr>
              <w:adjustRightInd w:val="0"/>
              <w:spacing w:before="60" w:after="60"/>
              <w:jc w:val="center"/>
              <w:rPr>
                <w:color w:val="000000"/>
              </w:rPr>
            </w:pPr>
            <w:r>
              <w:rPr>
                <w:color w:val="000000"/>
              </w:rPr>
              <w:t>0</w:t>
            </w:r>
          </w:p>
        </w:tc>
      </w:tr>
      <w:tr w:rsidR="00140B5A" w14:paraId="1F004E27" w14:textId="77777777">
        <w:trPr>
          <w:cantSplit/>
        </w:trPr>
        <w:tc>
          <w:tcPr>
            <w:tcW w:w="1783" w:type="pct"/>
            <w:tcBorders>
              <w:top w:val="nil"/>
              <w:left w:val="nil"/>
              <w:bottom w:val="nil"/>
              <w:right w:val="nil"/>
            </w:tcBorders>
            <w:tcMar>
              <w:top w:w="0" w:type="dxa"/>
              <w:left w:w="20" w:type="dxa"/>
              <w:bottom w:w="0" w:type="dxa"/>
              <w:right w:w="20" w:type="dxa"/>
            </w:tcMar>
          </w:tcPr>
          <w:p w14:paraId="1F004E20" w14:textId="77777777" w:rsidR="00140B5A" w:rsidRDefault="002771A1">
            <w:pPr>
              <w:adjustRightInd w:val="0"/>
              <w:spacing w:before="60" w:after="60"/>
              <w:rPr>
                <w:color w:val="000000"/>
              </w:rPr>
            </w:pPr>
            <w:r>
              <w:rPr>
                <w:color w:val="000000"/>
              </w:rPr>
              <w:t xml:space="preserve">    Anemia</w:t>
            </w:r>
          </w:p>
        </w:tc>
        <w:tc>
          <w:tcPr>
            <w:tcW w:w="610" w:type="pct"/>
            <w:tcBorders>
              <w:top w:val="nil"/>
              <w:left w:val="nil"/>
              <w:bottom w:val="nil"/>
              <w:right w:val="nil"/>
            </w:tcBorders>
            <w:tcMar>
              <w:top w:w="0" w:type="dxa"/>
              <w:left w:w="20" w:type="dxa"/>
              <w:bottom w:w="0" w:type="dxa"/>
              <w:right w:w="20" w:type="dxa"/>
            </w:tcMar>
          </w:tcPr>
          <w:p w14:paraId="1F004E2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2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23"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24"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E2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E26" w14:textId="77777777" w:rsidR="00140B5A" w:rsidRDefault="002771A1">
            <w:pPr>
              <w:adjustRightInd w:val="0"/>
              <w:spacing w:before="60" w:after="60"/>
              <w:jc w:val="center"/>
              <w:rPr>
                <w:color w:val="000000"/>
              </w:rPr>
            </w:pPr>
            <w:r>
              <w:rPr>
                <w:color w:val="000000"/>
              </w:rPr>
              <w:t>0</w:t>
            </w:r>
          </w:p>
        </w:tc>
      </w:tr>
      <w:tr w:rsidR="00140B5A" w14:paraId="1F004E2F" w14:textId="77777777">
        <w:trPr>
          <w:cantSplit/>
        </w:trPr>
        <w:tc>
          <w:tcPr>
            <w:tcW w:w="1783" w:type="pct"/>
            <w:tcBorders>
              <w:top w:val="nil"/>
              <w:left w:val="nil"/>
              <w:bottom w:val="nil"/>
              <w:right w:val="nil"/>
            </w:tcBorders>
            <w:tcMar>
              <w:top w:w="0" w:type="dxa"/>
              <w:left w:w="20" w:type="dxa"/>
              <w:bottom w:w="0" w:type="dxa"/>
              <w:right w:w="20" w:type="dxa"/>
            </w:tcMar>
          </w:tcPr>
          <w:p w14:paraId="1F004E28" w14:textId="77777777" w:rsidR="00140B5A" w:rsidRDefault="002771A1">
            <w:pPr>
              <w:adjustRightInd w:val="0"/>
              <w:spacing w:before="60" w:after="60"/>
              <w:rPr>
                <w:color w:val="000000"/>
              </w:rPr>
            </w:pPr>
            <w:r>
              <w:rPr>
                <w:color w:val="000000"/>
              </w:rPr>
              <w:t>Eye</w:t>
            </w:r>
          </w:p>
        </w:tc>
        <w:tc>
          <w:tcPr>
            <w:tcW w:w="610" w:type="pct"/>
            <w:tcBorders>
              <w:top w:val="nil"/>
              <w:left w:val="nil"/>
              <w:bottom w:val="nil"/>
              <w:right w:val="nil"/>
            </w:tcBorders>
            <w:tcMar>
              <w:top w:w="0" w:type="dxa"/>
              <w:left w:w="20" w:type="dxa"/>
              <w:bottom w:w="0" w:type="dxa"/>
              <w:right w:w="20" w:type="dxa"/>
            </w:tcMar>
          </w:tcPr>
          <w:p w14:paraId="1F004E29"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nil"/>
              <w:right w:val="nil"/>
            </w:tcBorders>
            <w:tcMar>
              <w:top w:w="0" w:type="dxa"/>
              <w:left w:w="20" w:type="dxa"/>
              <w:bottom w:w="0" w:type="dxa"/>
              <w:right w:w="20" w:type="dxa"/>
            </w:tcMar>
          </w:tcPr>
          <w:p w14:paraId="1F004E2A"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2B"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nil"/>
              <w:right w:val="nil"/>
            </w:tcBorders>
            <w:tcMar>
              <w:top w:w="0" w:type="dxa"/>
              <w:left w:w="20" w:type="dxa"/>
              <w:bottom w:w="0" w:type="dxa"/>
              <w:right w:w="20" w:type="dxa"/>
            </w:tcMar>
          </w:tcPr>
          <w:p w14:paraId="1F004E2C"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nil"/>
              <w:right w:val="nil"/>
            </w:tcBorders>
            <w:tcMar>
              <w:top w:w="0" w:type="dxa"/>
              <w:left w:w="20" w:type="dxa"/>
              <w:bottom w:w="0" w:type="dxa"/>
              <w:right w:w="20" w:type="dxa"/>
            </w:tcMar>
          </w:tcPr>
          <w:p w14:paraId="1F004E2D"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nil"/>
              <w:right w:val="nil"/>
            </w:tcBorders>
            <w:tcMar>
              <w:top w:w="0" w:type="dxa"/>
              <w:left w:w="20" w:type="dxa"/>
              <w:bottom w:w="0" w:type="dxa"/>
              <w:right w:w="20" w:type="dxa"/>
            </w:tcMar>
          </w:tcPr>
          <w:p w14:paraId="1F004E2E" w14:textId="77777777" w:rsidR="00140B5A" w:rsidRDefault="002771A1">
            <w:pPr>
              <w:adjustRightInd w:val="0"/>
              <w:spacing w:before="60" w:after="60"/>
              <w:jc w:val="center"/>
              <w:rPr>
                <w:color w:val="000000"/>
              </w:rPr>
            </w:pPr>
            <w:r>
              <w:rPr>
                <w:color w:val="000000"/>
              </w:rPr>
              <w:t>0</w:t>
            </w:r>
          </w:p>
        </w:tc>
      </w:tr>
      <w:tr w:rsidR="00140B5A" w14:paraId="1F004E37" w14:textId="77777777">
        <w:trPr>
          <w:cantSplit/>
        </w:trPr>
        <w:tc>
          <w:tcPr>
            <w:tcW w:w="1783" w:type="pct"/>
            <w:tcBorders>
              <w:top w:val="nil"/>
              <w:left w:val="nil"/>
              <w:bottom w:val="single" w:sz="4" w:space="0" w:color="auto"/>
              <w:right w:val="nil"/>
            </w:tcBorders>
            <w:tcMar>
              <w:top w:w="0" w:type="dxa"/>
              <w:left w:w="20" w:type="dxa"/>
              <w:bottom w:w="0" w:type="dxa"/>
              <w:right w:w="20" w:type="dxa"/>
            </w:tcMar>
          </w:tcPr>
          <w:p w14:paraId="1F004E30" w14:textId="77777777" w:rsidR="00140B5A" w:rsidRDefault="002771A1">
            <w:pPr>
              <w:adjustRightInd w:val="0"/>
              <w:spacing w:before="60" w:after="60"/>
              <w:rPr>
                <w:color w:val="000000"/>
              </w:rPr>
            </w:pPr>
            <w:r>
              <w:rPr>
                <w:color w:val="000000"/>
              </w:rPr>
              <w:t xml:space="preserve">    Keratitis</w:t>
            </w:r>
          </w:p>
        </w:tc>
        <w:tc>
          <w:tcPr>
            <w:tcW w:w="610" w:type="pct"/>
            <w:tcBorders>
              <w:top w:val="nil"/>
              <w:left w:val="nil"/>
              <w:bottom w:val="single" w:sz="4" w:space="0" w:color="auto"/>
              <w:right w:val="nil"/>
            </w:tcBorders>
            <w:tcMar>
              <w:top w:w="0" w:type="dxa"/>
              <w:left w:w="20" w:type="dxa"/>
              <w:bottom w:w="0" w:type="dxa"/>
              <w:right w:w="20" w:type="dxa"/>
            </w:tcMar>
          </w:tcPr>
          <w:p w14:paraId="1F004E31" w14:textId="77777777" w:rsidR="00140B5A" w:rsidRDefault="002771A1">
            <w:pPr>
              <w:adjustRightInd w:val="0"/>
              <w:spacing w:before="60" w:after="60"/>
              <w:jc w:val="center"/>
              <w:rPr>
                <w:color w:val="000000"/>
              </w:rPr>
            </w:pPr>
            <w:r>
              <w:rPr>
                <w:color w:val="000000"/>
              </w:rPr>
              <w:t>1 (0.8%)</w:t>
            </w:r>
          </w:p>
        </w:tc>
        <w:tc>
          <w:tcPr>
            <w:tcW w:w="501" w:type="pct"/>
            <w:tcBorders>
              <w:top w:val="nil"/>
              <w:left w:val="nil"/>
              <w:bottom w:val="single" w:sz="4" w:space="0" w:color="auto"/>
              <w:right w:val="nil"/>
            </w:tcBorders>
            <w:tcMar>
              <w:top w:w="0" w:type="dxa"/>
              <w:left w:w="20" w:type="dxa"/>
              <w:bottom w:w="0" w:type="dxa"/>
              <w:right w:w="20" w:type="dxa"/>
            </w:tcMar>
          </w:tcPr>
          <w:p w14:paraId="1F004E32"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single" w:sz="4" w:space="0" w:color="auto"/>
              <w:right w:val="nil"/>
            </w:tcBorders>
            <w:tcMar>
              <w:top w:w="0" w:type="dxa"/>
              <w:left w:w="20" w:type="dxa"/>
              <w:bottom w:w="0" w:type="dxa"/>
              <w:right w:w="20" w:type="dxa"/>
            </w:tcMar>
          </w:tcPr>
          <w:p w14:paraId="1F004E33" w14:textId="77777777" w:rsidR="00140B5A" w:rsidRDefault="002771A1">
            <w:pPr>
              <w:adjustRightInd w:val="0"/>
              <w:spacing w:before="60" w:after="60"/>
              <w:jc w:val="center"/>
              <w:rPr>
                <w:color w:val="000000"/>
              </w:rPr>
            </w:pPr>
            <w:r>
              <w:rPr>
                <w:color w:val="000000"/>
              </w:rPr>
              <w:t>1 (0.8%)</w:t>
            </w:r>
          </w:p>
        </w:tc>
        <w:tc>
          <w:tcPr>
            <w:tcW w:w="535" w:type="pct"/>
            <w:tcBorders>
              <w:top w:val="nil"/>
              <w:left w:val="nil"/>
              <w:bottom w:val="single" w:sz="4" w:space="0" w:color="auto"/>
              <w:right w:val="nil"/>
            </w:tcBorders>
            <w:tcMar>
              <w:top w:w="0" w:type="dxa"/>
              <w:left w:w="20" w:type="dxa"/>
              <w:bottom w:w="0" w:type="dxa"/>
              <w:right w:w="20" w:type="dxa"/>
            </w:tcMar>
          </w:tcPr>
          <w:p w14:paraId="1F004E34" w14:textId="77777777" w:rsidR="00140B5A" w:rsidRDefault="002771A1">
            <w:pPr>
              <w:adjustRightInd w:val="0"/>
              <w:spacing w:before="60" w:after="60"/>
              <w:jc w:val="center"/>
              <w:rPr>
                <w:color w:val="000000"/>
              </w:rPr>
            </w:pPr>
            <w:r>
              <w:rPr>
                <w:color w:val="000000"/>
              </w:rPr>
              <w:t>0</w:t>
            </w:r>
          </w:p>
        </w:tc>
        <w:tc>
          <w:tcPr>
            <w:tcW w:w="535" w:type="pct"/>
            <w:tcBorders>
              <w:top w:val="nil"/>
              <w:left w:val="nil"/>
              <w:bottom w:val="single" w:sz="4" w:space="0" w:color="auto"/>
              <w:right w:val="nil"/>
            </w:tcBorders>
            <w:tcMar>
              <w:top w:w="0" w:type="dxa"/>
              <w:left w:w="20" w:type="dxa"/>
              <w:bottom w:w="0" w:type="dxa"/>
              <w:right w:w="20" w:type="dxa"/>
            </w:tcMar>
          </w:tcPr>
          <w:p w14:paraId="1F004E35" w14:textId="77777777" w:rsidR="00140B5A" w:rsidRDefault="002771A1">
            <w:pPr>
              <w:adjustRightInd w:val="0"/>
              <w:spacing w:before="60" w:after="60"/>
              <w:jc w:val="center"/>
              <w:rPr>
                <w:color w:val="000000"/>
              </w:rPr>
            </w:pPr>
            <w:r>
              <w:rPr>
                <w:color w:val="000000"/>
              </w:rPr>
              <w:t>0</w:t>
            </w:r>
          </w:p>
        </w:tc>
        <w:tc>
          <w:tcPr>
            <w:tcW w:w="501" w:type="pct"/>
            <w:tcBorders>
              <w:top w:val="nil"/>
              <w:left w:val="nil"/>
              <w:bottom w:val="single" w:sz="4" w:space="0" w:color="auto"/>
              <w:right w:val="nil"/>
            </w:tcBorders>
            <w:tcMar>
              <w:top w:w="0" w:type="dxa"/>
              <w:left w:w="20" w:type="dxa"/>
              <w:bottom w:w="0" w:type="dxa"/>
              <w:right w:w="20" w:type="dxa"/>
            </w:tcMar>
          </w:tcPr>
          <w:p w14:paraId="1F004E36" w14:textId="77777777" w:rsidR="00140B5A" w:rsidRDefault="002771A1">
            <w:pPr>
              <w:adjustRightInd w:val="0"/>
              <w:spacing w:before="60" w:after="60"/>
              <w:jc w:val="center"/>
              <w:rPr>
                <w:color w:val="000000"/>
              </w:rPr>
            </w:pPr>
            <w:r>
              <w:rPr>
                <w:color w:val="000000"/>
              </w:rPr>
              <w:t>0</w:t>
            </w:r>
          </w:p>
        </w:tc>
      </w:tr>
    </w:tbl>
    <w:p w14:paraId="1F004E38" w14:textId="77777777" w:rsidR="00140B5A" w:rsidRDefault="00140B5A">
      <w:pPr>
        <w:pStyle w:val="1f5"/>
        <w:rPr>
          <w:rFonts w:ascii="Times New Roman" w:hAnsi="Times New Roman" w:cs="Times New Roman"/>
        </w:rPr>
      </w:pPr>
    </w:p>
    <w:p w14:paraId="1F004E39" w14:textId="77777777" w:rsidR="00140B5A" w:rsidRDefault="002771A1">
      <w:r>
        <w:br w:type="page"/>
      </w:r>
    </w:p>
    <w:p w14:paraId="1F004E3A" w14:textId="77777777" w:rsidR="00140B5A" w:rsidRDefault="002771A1">
      <w:pPr>
        <w:pStyle w:val="1"/>
        <w:numPr>
          <w:ilvl w:val="0"/>
          <w:numId w:val="0"/>
        </w:numPr>
        <w:ind w:left="432" w:hanging="432"/>
        <w:rPr>
          <w:rFonts w:eastAsia="Calibri"/>
        </w:rPr>
      </w:pPr>
      <w:bookmarkStart w:id="4" w:name="_Ref114654544"/>
      <w:bookmarkStart w:id="5" w:name="_Toc114840120"/>
      <w:bookmarkStart w:id="6" w:name="_Toc129963876"/>
      <w:r>
        <w:lastRenderedPageBreak/>
        <w:t xml:space="preserve">Table S4. </w:t>
      </w:r>
      <w:bookmarkEnd w:id="4"/>
      <w:bookmarkEnd w:id="5"/>
      <w:r>
        <w:t>Treatment-related adverse</w:t>
      </w:r>
      <w:r>
        <w:rPr>
          <w:rFonts w:eastAsia="Calibri"/>
        </w:rPr>
        <w:t xml:space="preserve"> events leading to study treatment </w:t>
      </w:r>
      <w:proofErr w:type="gramStart"/>
      <w:r>
        <w:t>interruption</w:t>
      </w:r>
      <w:bookmarkEnd w:id="6"/>
      <w:proofErr w:type="gramEnd"/>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465"/>
        <w:gridCol w:w="1232"/>
        <w:gridCol w:w="1049"/>
        <w:gridCol w:w="1049"/>
        <w:gridCol w:w="1049"/>
        <w:gridCol w:w="953"/>
        <w:gridCol w:w="949"/>
      </w:tblGrid>
      <w:tr w:rsidR="00140B5A" w14:paraId="1F004E3E" w14:textId="77777777">
        <w:trPr>
          <w:cantSplit/>
          <w:tblHeader/>
          <w:jc w:val="center"/>
        </w:trPr>
        <w:tc>
          <w:tcPr>
            <w:tcW w:w="1778" w:type="pct"/>
            <w:tcMar>
              <w:left w:w="20" w:type="dxa"/>
              <w:right w:w="20" w:type="dxa"/>
            </w:tcMar>
            <w:vAlign w:val="center"/>
          </w:tcPr>
          <w:p w14:paraId="1F004E3B" w14:textId="77777777" w:rsidR="00140B5A" w:rsidRDefault="00140B5A">
            <w:pPr>
              <w:adjustRightInd w:val="0"/>
              <w:spacing w:before="60" w:after="60"/>
              <w:jc w:val="both"/>
              <w:rPr>
                <w:b/>
                <w:bCs/>
              </w:rPr>
            </w:pPr>
          </w:p>
        </w:tc>
        <w:tc>
          <w:tcPr>
            <w:tcW w:w="632" w:type="pct"/>
            <w:tcBorders>
              <w:top w:val="single" w:sz="4" w:space="0" w:color="auto"/>
              <w:bottom w:val="single" w:sz="4" w:space="0" w:color="auto"/>
            </w:tcBorders>
            <w:tcMar>
              <w:left w:w="20" w:type="dxa"/>
              <w:right w:w="20" w:type="dxa"/>
            </w:tcMar>
            <w:vAlign w:val="center"/>
          </w:tcPr>
          <w:p w14:paraId="1F004E3C" w14:textId="77777777" w:rsidR="00140B5A" w:rsidRDefault="00140B5A">
            <w:pPr>
              <w:adjustRightInd w:val="0"/>
              <w:spacing w:before="60" w:after="60"/>
              <w:jc w:val="center"/>
              <w:rPr>
                <w:b/>
                <w:bCs/>
              </w:rPr>
            </w:pPr>
          </w:p>
        </w:tc>
        <w:tc>
          <w:tcPr>
            <w:tcW w:w="2590" w:type="pct"/>
            <w:gridSpan w:val="5"/>
            <w:tcBorders>
              <w:top w:val="single" w:sz="4" w:space="0" w:color="auto"/>
              <w:bottom w:val="single" w:sz="4" w:space="0" w:color="auto"/>
            </w:tcBorders>
            <w:tcMar>
              <w:left w:w="20" w:type="dxa"/>
              <w:right w:w="20" w:type="dxa"/>
            </w:tcMar>
            <w:vAlign w:val="center"/>
          </w:tcPr>
          <w:p w14:paraId="1F004E3D" w14:textId="77777777" w:rsidR="00140B5A" w:rsidRDefault="002771A1">
            <w:pPr>
              <w:adjustRightInd w:val="0"/>
              <w:spacing w:before="60" w:after="60"/>
              <w:jc w:val="center"/>
              <w:rPr>
                <w:b/>
                <w:bCs/>
              </w:rPr>
            </w:pPr>
            <w:r>
              <w:rPr>
                <w:b/>
                <w:bCs/>
              </w:rPr>
              <w:t>N = 123</w:t>
            </w:r>
          </w:p>
        </w:tc>
      </w:tr>
      <w:tr w:rsidR="00140B5A" w14:paraId="1F004E46" w14:textId="77777777">
        <w:trPr>
          <w:cantSplit/>
          <w:tblHeader/>
          <w:jc w:val="center"/>
        </w:trPr>
        <w:tc>
          <w:tcPr>
            <w:tcW w:w="1778" w:type="pct"/>
            <w:tcBorders>
              <w:top w:val="nil"/>
              <w:bottom w:val="single" w:sz="4" w:space="0" w:color="auto"/>
            </w:tcBorders>
            <w:tcMar>
              <w:left w:w="20" w:type="dxa"/>
              <w:right w:w="20" w:type="dxa"/>
            </w:tcMar>
            <w:vAlign w:val="center"/>
          </w:tcPr>
          <w:p w14:paraId="1F004E3F" w14:textId="77777777" w:rsidR="00140B5A" w:rsidRDefault="00140B5A">
            <w:pPr>
              <w:adjustRightInd w:val="0"/>
              <w:spacing w:before="60" w:after="60"/>
              <w:jc w:val="both"/>
              <w:rPr>
                <w:b/>
                <w:bCs/>
              </w:rPr>
            </w:pPr>
          </w:p>
        </w:tc>
        <w:tc>
          <w:tcPr>
            <w:tcW w:w="632" w:type="pct"/>
            <w:tcBorders>
              <w:top w:val="single" w:sz="4" w:space="0" w:color="auto"/>
              <w:bottom w:val="single" w:sz="4" w:space="0" w:color="auto"/>
            </w:tcBorders>
            <w:tcMar>
              <w:left w:w="20" w:type="dxa"/>
              <w:right w:w="20" w:type="dxa"/>
            </w:tcMar>
            <w:vAlign w:val="center"/>
          </w:tcPr>
          <w:p w14:paraId="1F004E40" w14:textId="77777777" w:rsidR="00140B5A" w:rsidRDefault="002771A1">
            <w:pPr>
              <w:adjustRightInd w:val="0"/>
              <w:spacing w:before="60" w:after="60"/>
              <w:jc w:val="center"/>
              <w:rPr>
                <w:b/>
                <w:bCs/>
              </w:rPr>
            </w:pPr>
            <w:r>
              <w:rPr>
                <w:b/>
                <w:bCs/>
              </w:rPr>
              <w:t>A</w:t>
            </w:r>
            <w:r>
              <w:rPr>
                <w:rFonts w:hint="eastAsia"/>
                <w:b/>
                <w:bCs/>
              </w:rPr>
              <w:t>ny</w:t>
            </w:r>
            <w:r>
              <w:rPr>
                <w:b/>
                <w:bCs/>
              </w:rPr>
              <w:t xml:space="preserve"> grade</w:t>
            </w:r>
            <w:r>
              <w:rPr>
                <w:b/>
                <w:bCs/>
              </w:rPr>
              <w:br/>
              <w:t>n (%)</w:t>
            </w:r>
          </w:p>
        </w:tc>
        <w:tc>
          <w:tcPr>
            <w:tcW w:w="538" w:type="pct"/>
            <w:tcBorders>
              <w:top w:val="single" w:sz="4" w:space="0" w:color="auto"/>
              <w:bottom w:val="single" w:sz="4" w:space="0" w:color="auto"/>
            </w:tcBorders>
            <w:tcMar>
              <w:left w:w="20" w:type="dxa"/>
              <w:right w:w="20" w:type="dxa"/>
            </w:tcMar>
            <w:vAlign w:val="center"/>
          </w:tcPr>
          <w:p w14:paraId="1F004E41" w14:textId="77777777" w:rsidR="00140B5A" w:rsidRDefault="002771A1">
            <w:pPr>
              <w:adjustRightInd w:val="0"/>
              <w:spacing w:before="60" w:after="60"/>
              <w:jc w:val="center"/>
              <w:rPr>
                <w:b/>
                <w:bCs/>
              </w:rPr>
            </w:pPr>
            <w:r>
              <w:rPr>
                <w:b/>
                <w:bCs/>
                <w:sz w:val="20"/>
                <w:szCs w:val="20"/>
              </w:rPr>
              <w:t>Grade1</w:t>
            </w:r>
            <w:r>
              <w:rPr>
                <w:b/>
                <w:bCs/>
              </w:rPr>
              <w:br/>
              <w:t>n (%)</w:t>
            </w:r>
          </w:p>
        </w:tc>
        <w:tc>
          <w:tcPr>
            <w:tcW w:w="538" w:type="pct"/>
            <w:tcBorders>
              <w:top w:val="single" w:sz="4" w:space="0" w:color="auto"/>
              <w:bottom w:val="single" w:sz="4" w:space="0" w:color="auto"/>
            </w:tcBorders>
            <w:tcMar>
              <w:left w:w="20" w:type="dxa"/>
              <w:right w:w="20" w:type="dxa"/>
            </w:tcMar>
            <w:vAlign w:val="center"/>
          </w:tcPr>
          <w:p w14:paraId="1F004E42" w14:textId="77777777" w:rsidR="00140B5A" w:rsidRDefault="002771A1">
            <w:pPr>
              <w:adjustRightInd w:val="0"/>
              <w:spacing w:before="60" w:after="60"/>
              <w:jc w:val="center"/>
              <w:rPr>
                <w:b/>
                <w:bCs/>
              </w:rPr>
            </w:pPr>
            <w:r>
              <w:rPr>
                <w:b/>
                <w:bCs/>
                <w:sz w:val="20"/>
                <w:szCs w:val="20"/>
              </w:rPr>
              <w:t>Grade2</w:t>
            </w:r>
            <w:r>
              <w:rPr>
                <w:b/>
                <w:bCs/>
              </w:rPr>
              <w:br/>
              <w:t>n (%)</w:t>
            </w:r>
          </w:p>
        </w:tc>
        <w:tc>
          <w:tcPr>
            <w:tcW w:w="538" w:type="pct"/>
            <w:tcBorders>
              <w:top w:val="single" w:sz="4" w:space="0" w:color="auto"/>
              <w:bottom w:val="single" w:sz="4" w:space="0" w:color="auto"/>
            </w:tcBorders>
            <w:tcMar>
              <w:left w:w="20" w:type="dxa"/>
              <w:right w:w="20" w:type="dxa"/>
            </w:tcMar>
            <w:vAlign w:val="center"/>
          </w:tcPr>
          <w:p w14:paraId="1F004E43" w14:textId="77777777" w:rsidR="00140B5A" w:rsidRDefault="002771A1">
            <w:pPr>
              <w:adjustRightInd w:val="0"/>
              <w:spacing w:before="60" w:after="60"/>
              <w:jc w:val="center"/>
              <w:rPr>
                <w:b/>
                <w:bCs/>
              </w:rPr>
            </w:pPr>
            <w:r>
              <w:rPr>
                <w:b/>
                <w:bCs/>
                <w:sz w:val="20"/>
                <w:szCs w:val="20"/>
              </w:rPr>
              <w:t>Grade3</w:t>
            </w:r>
            <w:r>
              <w:rPr>
                <w:b/>
                <w:bCs/>
              </w:rPr>
              <w:br/>
              <w:t>n (%)</w:t>
            </w:r>
          </w:p>
        </w:tc>
        <w:tc>
          <w:tcPr>
            <w:tcW w:w="489" w:type="pct"/>
            <w:tcBorders>
              <w:top w:val="single" w:sz="4" w:space="0" w:color="auto"/>
              <w:bottom w:val="single" w:sz="4" w:space="0" w:color="auto"/>
            </w:tcBorders>
            <w:tcMar>
              <w:left w:w="20" w:type="dxa"/>
              <w:right w:w="20" w:type="dxa"/>
            </w:tcMar>
            <w:vAlign w:val="center"/>
          </w:tcPr>
          <w:p w14:paraId="1F004E44" w14:textId="77777777" w:rsidR="00140B5A" w:rsidRDefault="002771A1">
            <w:pPr>
              <w:adjustRightInd w:val="0"/>
              <w:spacing w:before="60" w:after="60"/>
              <w:jc w:val="center"/>
              <w:rPr>
                <w:b/>
                <w:bCs/>
              </w:rPr>
            </w:pPr>
            <w:r>
              <w:rPr>
                <w:b/>
                <w:bCs/>
                <w:sz w:val="20"/>
                <w:szCs w:val="20"/>
              </w:rPr>
              <w:t>Grade4</w:t>
            </w:r>
            <w:r>
              <w:rPr>
                <w:b/>
                <w:bCs/>
              </w:rPr>
              <w:br/>
              <w:t>n (%)</w:t>
            </w:r>
          </w:p>
        </w:tc>
        <w:tc>
          <w:tcPr>
            <w:tcW w:w="487" w:type="pct"/>
            <w:tcBorders>
              <w:top w:val="single" w:sz="4" w:space="0" w:color="auto"/>
              <w:bottom w:val="single" w:sz="4" w:space="0" w:color="auto"/>
            </w:tcBorders>
            <w:tcMar>
              <w:left w:w="20" w:type="dxa"/>
              <w:right w:w="20" w:type="dxa"/>
            </w:tcMar>
            <w:vAlign w:val="center"/>
          </w:tcPr>
          <w:p w14:paraId="1F004E45" w14:textId="77777777" w:rsidR="00140B5A" w:rsidRDefault="002771A1">
            <w:pPr>
              <w:adjustRightInd w:val="0"/>
              <w:spacing w:before="60" w:after="60"/>
              <w:jc w:val="center"/>
              <w:rPr>
                <w:b/>
                <w:bCs/>
              </w:rPr>
            </w:pPr>
            <w:r>
              <w:rPr>
                <w:b/>
                <w:bCs/>
                <w:sz w:val="20"/>
                <w:szCs w:val="20"/>
              </w:rPr>
              <w:t>Grade5</w:t>
            </w:r>
            <w:r>
              <w:rPr>
                <w:b/>
                <w:bCs/>
              </w:rPr>
              <w:br/>
              <w:t>n (%)</w:t>
            </w:r>
          </w:p>
        </w:tc>
      </w:tr>
      <w:tr w:rsidR="00140B5A" w14:paraId="1F004E4E" w14:textId="77777777">
        <w:trPr>
          <w:cantSplit/>
          <w:jc w:val="center"/>
        </w:trPr>
        <w:tc>
          <w:tcPr>
            <w:tcW w:w="1778" w:type="pct"/>
            <w:tcBorders>
              <w:top w:val="single" w:sz="4" w:space="0" w:color="auto"/>
            </w:tcBorders>
            <w:tcMar>
              <w:left w:w="20" w:type="dxa"/>
              <w:right w:w="20" w:type="dxa"/>
            </w:tcMar>
            <w:vAlign w:val="center"/>
          </w:tcPr>
          <w:p w14:paraId="1F004E47" w14:textId="77777777" w:rsidR="00140B5A" w:rsidRDefault="002771A1">
            <w:pPr>
              <w:adjustRightInd w:val="0"/>
              <w:spacing w:before="60" w:after="60"/>
              <w:jc w:val="both"/>
              <w:rPr>
                <w:color w:val="000000"/>
              </w:rPr>
            </w:pPr>
            <w:r>
              <w:rPr>
                <w:rFonts w:hint="eastAsia"/>
                <w:color w:val="000000"/>
              </w:rPr>
              <w:t>Any</w:t>
            </w:r>
            <w:r>
              <w:rPr>
                <w:color w:val="000000"/>
              </w:rPr>
              <w:t xml:space="preserve"> *</w:t>
            </w:r>
          </w:p>
        </w:tc>
        <w:tc>
          <w:tcPr>
            <w:tcW w:w="632" w:type="pct"/>
            <w:tcBorders>
              <w:top w:val="single" w:sz="4" w:space="0" w:color="auto"/>
            </w:tcBorders>
            <w:tcMar>
              <w:left w:w="20" w:type="dxa"/>
              <w:right w:w="20" w:type="dxa"/>
            </w:tcMar>
            <w:vAlign w:val="center"/>
          </w:tcPr>
          <w:p w14:paraId="1F004E48" w14:textId="77777777" w:rsidR="00140B5A" w:rsidRDefault="002771A1">
            <w:pPr>
              <w:adjustRightInd w:val="0"/>
              <w:spacing w:before="60" w:after="60"/>
              <w:jc w:val="center"/>
              <w:rPr>
                <w:color w:val="000000"/>
              </w:rPr>
            </w:pPr>
            <w:r>
              <w:rPr>
                <w:color w:val="000000"/>
              </w:rPr>
              <w:t>17 (13.8%)</w:t>
            </w:r>
          </w:p>
        </w:tc>
        <w:tc>
          <w:tcPr>
            <w:tcW w:w="538" w:type="pct"/>
            <w:tcBorders>
              <w:top w:val="single" w:sz="4" w:space="0" w:color="auto"/>
            </w:tcBorders>
            <w:tcMar>
              <w:left w:w="20" w:type="dxa"/>
              <w:right w:w="20" w:type="dxa"/>
            </w:tcMar>
            <w:vAlign w:val="center"/>
          </w:tcPr>
          <w:p w14:paraId="1F004E49" w14:textId="77777777" w:rsidR="00140B5A" w:rsidRDefault="002771A1">
            <w:pPr>
              <w:adjustRightInd w:val="0"/>
              <w:spacing w:before="60" w:after="60"/>
              <w:jc w:val="center"/>
              <w:rPr>
                <w:color w:val="000000"/>
              </w:rPr>
            </w:pPr>
            <w:r>
              <w:rPr>
                <w:color w:val="000000"/>
              </w:rPr>
              <w:t>2 (1.6%)</w:t>
            </w:r>
          </w:p>
        </w:tc>
        <w:tc>
          <w:tcPr>
            <w:tcW w:w="538" w:type="pct"/>
            <w:tcBorders>
              <w:top w:val="single" w:sz="4" w:space="0" w:color="auto"/>
            </w:tcBorders>
            <w:tcMar>
              <w:left w:w="20" w:type="dxa"/>
              <w:right w:w="20" w:type="dxa"/>
            </w:tcMar>
            <w:vAlign w:val="center"/>
          </w:tcPr>
          <w:p w14:paraId="1F004E4A" w14:textId="77777777" w:rsidR="00140B5A" w:rsidRDefault="002771A1">
            <w:pPr>
              <w:adjustRightInd w:val="0"/>
              <w:spacing w:before="60" w:after="60"/>
              <w:jc w:val="center"/>
              <w:rPr>
                <w:color w:val="000000"/>
              </w:rPr>
            </w:pPr>
            <w:r>
              <w:rPr>
                <w:color w:val="000000"/>
              </w:rPr>
              <w:t>10(8.1%)</w:t>
            </w:r>
          </w:p>
        </w:tc>
        <w:tc>
          <w:tcPr>
            <w:tcW w:w="538" w:type="pct"/>
            <w:tcBorders>
              <w:top w:val="single" w:sz="4" w:space="0" w:color="auto"/>
            </w:tcBorders>
            <w:tcMar>
              <w:left w:w="20" w:type="dxa"/>
              <w:right w:w="20" w:type="dxa"/>
            </w:tcMar>
            <w:vAlign w:val="center"/>
          </w:tcPr>
          <w:p w14:paraId="1F004E4B" w14:textId="77777777" w:rsidR="00140B5A" w:rsidRDefault="002771A1">
            <w:pPr>
              <w:adjustRightInd w:val="0"/>
              <w:spacing w:before="60" w:after="60"/>
              <w:jc w:val="center"/>
              <w:rPr>
                <w:color w:val="000000"/>
              </w:rPr>
            </w:pPr>
            <w:r>
              <w:rPr>
                <w:color w:val="000000"/>
              </w:rPr>
              <w:t>5 (4.1%)</w:t>
            </w:r>
          </w:p>
        </w:tc>
        <w:tc>
          <w:tcPr>
            <w:tcW w:w="489" w:type="pct"/>
            <w:tcBorders>
              <w:top w:val="single" w:sz="4" w:space="0" w:color="auto"/>
            </w:tcBorders>
            <w:tcMar>
              <w:left w:w="20" w:type="dxa"/>
              <w:right w:w="20" w:type="dxa"/>
            </w:tcMar>
            <w:vAlign w:val="center"/>
          </w:tcPr>
          <w:p w14:paraId="1F004E4C" w14:textId="77777777" w:rsidR="00140B5A" w:rsidRDefault="002771A1">
            <w:pPr>
              <w:adjustRightInd w:val="0"/>
              <w:spacing w:before="60" w:after="60"/>
              <w:jc w:val="center"/>
              <w:rPr>
                <w:color w:val="000000"/>
              </w:rPr>
            </w:pPr>
            <w:r>
              <w:rPr>
                <w:color w:val="000000"/>
              </w:rPr>
              <w:t>0</w:t>
            </w:r>
          </w:p>
        </w:tc>
        <w:tc>
          <w:tcPr>
            <w:tcW w:w="487" w:type="pct"/>
            <w:tcBorders>
              <w:top w:val="single" w:sz="4" w:space="0" w:color="auto"/>
            </w:tcBorders>
            <w:tcMar>
              <w:left w:w="20" w:type="dxa"/>
              <w:right w:w="20" w:type="dxa"/>
            </w:tcMar>
            <w:vAlign w:val="center"/>
          </w:tcPr>
          <w:p w14:paraId="1F004E4D" w14:textId="77777777" w:rsidR="00140B5A" w:rsidRDefault="002771A1">
            <w:pPr>
              <w:adjustRightInd w:val="0"/>
              <w:spacing w:before="60" w:after="60"/>
              <w:jc w:val="center"/>
              <w:rPr>
                <w:color w:val="000000"/>
              </w:rPr>
            </w:pPr>
            <w:r>
              <w:rPr>
                <w:color w:val="000000"/>
              </w:rPr>
              <w:t>0</w:t>
            </w:r>
          </w:p>
        </w:tc>
      </w:tr>
      <w:tr w:rsidR="00140B5A" w14:paraId="1F004E56" w14:textId="77777777">
        <w:trPr>
          <w:cantSplit/>
          <w:jc w:val="center"/>
        </w:trPr>
        <w:tc>
          <w:tcPr>
            <w:tcW w:w="1778" w:type="pct"/>
            <w:tcMar>
              <w:left w:w="20" w:type="dxa"/>
              <w:right w:w="20" w:type="dxa"/>
            </w:tcMar>
            <w:vAlign w:val="center"/>
          </w:tcPr>
          <w:p w14:paraId="1F004E4F" w14:textId="77777777" w:rsidR="00140B5A" w:rsidRDefault="002771A1">
            <w:pPr>
              <w:adjustRightInd w:val="0"/>
              <w:spacing w:before="60" w:after="60"/>
              <w:jc w:val="both"/>
              <w:rPr>
                <w:color w:val="000000"/>
              </w:rPr>
            </w:pPr>
            <w:r>
              <w:rPr>
                <w:color w:val="000000"/>
              </w:rPr>
              <w:t>Endocrine</w:t>
            </w:r>
          </w:p>
        </w:tc>
        <w:tc>
          <w:tcPr>
            <w:tcW w:w="632" w:type="pct"/>
            <w:tcMar>
              <w:left w:w="20" w:type="dxa"/>
              <w:right w:w="20" w:type="dxa"/>
            </w:tcMar>
            <w:vAlign w:val="center"/>
          </w:tcPr>
          <w:p w14:paraId="1F004E50" w14:textId="77777777" w:rsidR="00140B5A" w:rsidRDefault="002771A1">
            <w:pPr>
              <w:adjustRightInd w:val="0"/>
              <w:spacing w:before="60" w:after="60"/>
              <w:jc w:val="center"/>
              <w:rPr>
                <w:color w:val="000000"/>
              </w:rPr>
            </w:pPr>
            <w:r>
              <w:rPr>
                <w:color w:val="000000"/>
              </w:rPr>
              <w:t>9 (7.3%)</w:t>
            </w:r>
          </w:p>
        </w:tc>
        <w:tc>
          <w:tcPr>
            <w:tcW w:w="538" w:type="pct"/>
            <w:tcMar>
              <w:left w:w="20" w:type="dxa"/>
              <w:right w:w="20" w:type="dxa"/>
            </w:tcMar>
            <w:vAlign w:val="center"/>
          </w:tcPr>
          <w:p w14:paraId="1F004E51"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52" w14:textId="77777777" w:rsidR="00140B5A" w:rsidRDefault="002771A1">
            <w:pPr>
              <w:adjustRightInd w:val="0"/>
              <w:spacing w:before="60" w:after="60"/>
              <w:jc w:val="center"/>
              <w:rPr>
                <w:color w:val="000000"/>
              </w:rPr>
            </w:pPr>
            <w:r>
              <w:rPr>
                <w:color w:val="000000"/>
              </w:rPr>
              <w:t>7 (5.7%)</w:t>
            </w:r>
          </w:p>
        </w:tc>
        <w:tc>
          <w:tcPr>
            <w:tcW w:w="538" w:type="pct"/>
            <w:tcMar>
              <w:left w:w="20" w:type="dxa"/>
              <w:right w:w="20" w:type="dxa"/>
            </w:tcMar>
            <w:vAlign w:val="center"/>
          </w:tcPr>
          <w:p w14:paraId="1F004E5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5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55" w14:textId="77777777" w:rsidR="00140B5A" w:rsidRDefault="002771A1">
            <w:pPr>
              <w:adjustRightInd w:val="0"/>
              <w:spacing w:before="60" w:after="60"/>
              <w:jc w:val="center"/>
              <w:rPr>
                <w:color w:val="000000"/>
              </w:rPr>
            </w:pPr>
            <w:r>
              <w:rPr>
                <w:color w:val="000000"/>
              </w:rPr>
              <w:t>0</w:t>
            </w:r>
          </w:p>
        </w:tc>
      </w:tr>
      <w:tr w:rsidR="00140B5A" w14:paraId="1F004E5E" w14:textId="77777777">
        <w:trPr>
          <w:cantSplit/>
          <w:jc w:val="center"/>
        </w:trPr>
        <w:tc>
          <w:tcPr>
            <w:tcW w:w="1778" w:type="pct"/>
            <w:tcMar>
              <w:left w:w="20" w:type="dxa"/>
              <w:right w:w="20" w:type="dxa"/>
            </w:tcMar>
            <w:vAlign w:val="center"/>
          </w:tcPr>
          <w:p w14:paraId="1F004E57" w14:textId="77777777" w:rsidR="00140B5A" w:rsidRDefault="002771A1">
            <w:pPr>
              <w:adjustRightInd w:val="0"/>
              <w:spacing w:before="60" w:after="60"/>
              <w:ind w:left="210" w:hangingChars="100" w:hanging="210"/>
              <w:rPr>
                <w:color w:val="000000"/>
              </w:rPr>
            </w:pPr>
            <w:r>
              <w:rPr>
                <w:color w:val="000000"/>
              </w:rPr>
              <w:t xml:space="preserve">    </w:t>
            </w:r>
            <w:r>
              <w:rPr>
                <w:rFonts w:hint="eastAsia"/>
                <w:color w:val="000000"/>
              </w:rPr>
              <w:t>H</w:t>
            </w:r>
            <w:r>
              <w:rPr>
                <w:color w:val="000000"/>
              </w:rPr>
              <w:t>ypothyroidism</w:t>
            </w:r>
          </w:p>
        </w:tc>
        <w:tc>
          <w:tcPr>
            <w:tcW w:w="632" w:type="pct"/>
            <w:tcMar>
              <w:left w:w="20" w:type="dxa"/>
              <w:right w:w="20" w:type="dxa"/>
            </w:tcMar>
            <w:vAlign w:val="center"/>
          </w:tcPr>
          <w:p w14:paraId="1F004E58" w14:textId="77777777" w:rsidR="00140B5A" w:rsidRDefault="002771A1">
            <w:pPr>
              <w:adjustRightInd w:val="0"/>
              <w:spacing w:before="60" w:after="60"/>
              <w:jc w:val="center"/>
              <w:rPr>
                <w:color w:val="000000"/>
              </w:rPr>
            </w:pPr>
            <w:r>
              <w:rPr>
                <w:color w:val="000000"/>
              </w:rPr>
              <w:t>6 (4.9%)</w:t>
            </w:r>
          </w:p>
        </w:tc>
        <w:tc>
          <w:tcPr>
            <w:tcW w:w="538" w:type="pct"/>
            <w:tcMar>
              <w:left w:w="20" w:type="dxa"/>
              <w:right w:w="20" w:type="dxa"/>
            </w:tcMar>
            <w:vAlign w:val="center"/>
          </w:tcPr>
          <w:p w14:paraId="1F004E59"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5A" w14:textId="77777777" w:rsidR="00140B5A" w:rsidRDefault="002771A1">
            <w:pPr>
              <w:adjustRightInd w:val="0"/>
              <w:spacing w:before="60" w:after="60"/>
              <w:jc w:val="center"/>
              <w:rPr>
                <w:color w:val="000000"/>
              </w:rPr>
            </w:pPr>
            <w:r>
              <w:rPr>
                <w:color w:val="000000"/>
              </w:rPr>
              <w:t>4 (3.3%)</w:t>
            </w:r>
          </w:p>
        </w:tc>
        <w:tc>
          <w:tcPr>
            <w:tcW w:w="538" w:type="pct"/>
            <w:tcMar>
              <w:left w:w="20" w:type="dxa"/>
              <w:right w:w="20" w:type="dxa"/>
            </w:tcMar>
            <w:vAlign w:val="center"/>
          </w:tcPr>
          <w:p w14:paraId="1F004E5B"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5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5D" w14:textId="77777777" w:rsidR="00140B5A" w:rsidRDefault="002771A1">
            <w:pPr>
              <w:adjustRightInd w:val="0"/>
              <w:spacing w:before="60" w:after="60"/>
              <w:jc w:val="center"/>
              <w:rPr>
                <w:color w:val="000000"/>
              </w:rPr>
            </w:pPr>
            <w:r>
              <w:rPr>
                <w:color w:val="000000"/>
              </w:rPr>
              <w:t>0</w:t>
            </w:r>
          </w:p>
        </w:tc>
      </w:tr>
      <w:tr w:rsidR="00140B5A" w14:paraId="1F004E66" w14:textId="77777777">
        <w:trPr>
          <w:cantSplit/>
          <w:jc w:val="center"/>
        </w:trPr>
        <w:tc>
          <w:tcPr>
            <w:tcW w:w="1778" w:type="pct"/>
            <w:tcMar>
              <w:left w:w="20" w:type="dxa"/>
              <w:right w:w="20" w:type="dxa"/>
            </w:tcMar>
            <w:vAlign w:val="center"/>
          </w:tcPr>
          <w:p w14:paraId="1F004E5F" w14:textId="77777777" w:rsidR="00140B5A" w:rsidRDefault="002771A1">
            <w:pPr>
              <w:adjustRightInd w:val="0"/>
              <w:spacing w:before="60" w:after="60"/>
              <w:ind w:left="210" w:hangingChars="100" w:hanging="210"/>
              <w:rPr>
                <w:color w:val="000000"/>
              </w:rPr>
            </w:pPr>
            <w:r>
              <w:rPr>
                <w:color w:val="000000"/>
              </w:rPr>
              <w:t xml:space="preserve">    Hyperthyroidism</w:t>
            </w:r>
          </w:p>
        </w:tc>
        <w:tc>
          <w:tcPr>
            <w:tcW w:w="632" w:type="pct"/>
            <w:tcMar>
              <w:left w:w="20" w:type="dxa"/>
              <w:right w:w="20" w:type="dxa"/>
            </w:tcMar>
            <w:vAlign w:val="center"/>
          </w:tcPr>
          <w:p w14:paraId="1F004E60" w14:textId="77777777" w:rsidR="00140B5A" w:rsidRDefault="002771A1">
            <w:pPr>
              <w:adjustRightInd w:val="0"/>
              <w:spacing w:before="60" w:after="60"/>
              <w:jc w:val="center"/>
              <w:rPr>
                <w:color w:val="000000"/>
              </w:rPr>
            </w:pPr>
            <w:r>
              <w:rPr>
                <w:color w:val="000000"/>
              </w:rPr>
              <w:t>3 (2.4%)</w:t>
            </w:r>
          </w:p>
        </w:tc>
        <w:tc>
          <w:tcPr>
            <w:tcW w:w="538" w:type="pct"/>
            <w:tcMar>
              <w:left w:w="20" w:type="dxa"/>
              <w:right w:w="20" w:type="dxa"/>
            </w:tcMar>
            <w:vAlign w:val="center"/>
          </w:tcPr>
          <w:p w14:paraId="1F004E6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62" w14:textId="77777777" w:rsidR="00140B5A" w:rsidRDefault="002771A1">
            <w:pPr>
              <w:adjustRightInd w:val="0"/>
              <w:spacing w:before="60" w:after="60"/>
              <w:jc w:val="center"/>
              <w:rPr>
                <w:color w:val="000000"/>
              </w:rPr>
            </w:pPr>
            <w:r>
              <w:rPr>
                <w:color w:val="000000"/>
              </w:rPr>
              <w:t>3 (2.4%)</w:t>
            </w:r>
          </w:p>
        </w:tc>
        <w:tc>
          <w:tcPr>
            <w:tcW w:w="538" w:type="pct"/>
            <w:tcMar>
              <w:left w:w="20" w:type="dxa"/>
              <w:right w:w="20" w:type="dxa"/>
            </w:tcMar>
            <w:vAlign w:val="center"/>
          </w:tcPr>
          <w:p w14:paraId="1F004E63"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6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65" w14:textId="77777777" w:rsidR="00140B5A" w:rsidRDefault="002771A1">
            <w:pPr>
              <w:adjustRightInd w:val="0"/>
              <w:spacing w:before="60" w:after="60"/>
              <w:jc w:val="center"/>
              <w:rPr>
                <w:color w:val="000000"/>
              </w:rPr>
            </w:pPr>
            <w:r>
              <w:rPr>
                <w:color w:val="000000"/>
              </w:rPr>
              <w:t>0</w:t>
            </w:r>
          </w:p>
        </w:tc>
      </w:tr>
      <w:tr w:rsidR="00140B5A" w14:paraId="1F004E6E" w14:textId="77777777">
        <w:trPr>
          <w:cantSplit/>
          <w:jc w:val="center"/>
        </w:trPr>
        <w:tc>
          <w:tcPr>
            <w:tcW w:w="1778" w:type="pct"/>
            <w:tcMar>
              <w:left w:w="20" w:type="dxa"/>
              <w:right w:w="20" w:type="dxa"/>
            </w:tcMar>
            <w:vAlign w:val="center"/>
          </w:tcPr>
          <w:p w14:paraId="1F004E67" w14:textId="77777777" w:rsidR="00140B5A" w:rsidRDefault="002771A1">
            <w:pPr>
              <w:adjustRightInd w:val="0"/>
              <w:spacing w:before="60" w:after="60"/>
              <w:jc w:val="both"/>
              <w:rPr>
                <w:color w:val="000000"/>
              </w:rPr>
            </w:pPr>
            <w:r>
              <w:rPr>
                <w:color w:val="000000"/>
              </w:rPr>
              <w:t xml:space="preserve">Hepatobiliary </w:t>
            </w:r>
          </w:p>
        </w:tc>
        <w:tc>
          <w:tcPr>
            <w:tcW w:w="632" w:type="pct"/>
            <w:tcMar>
              <w:left w:w="20" w:type="dxa"/>
              <w:right w:w="20" w:type="dxa"/>
            </w:tcMar>
            <w:vAlign w:val="center"/>
          </w:tcPr>
          <w:p w14:paraId="1F004E68" w14:textId="77777777" w:rsidR="00140B5A" w:rsidRDefault="002771A1">
            <w:pPr>
              <w:adjustRightInd w:val="0"/>
              <w:spacing w:before="60" w:after="60"/>
              <w:jc w:val="center"/>
              <w:rPr>
                <w:color w:val="000000"/>
              </w:rPr>
            </w:pPr>
            <w:r>
              <w:rPr>
                <w:color w:val="000000"/>
              </w:rPr>
              <w:t>2 (1.6%)</w:t>
            </w:r>
          </w:p>
        </w:tc>
        <w:tc>
          <w:tcPr>
            <w:tcW w:w="538" w:type="pct"/>
            <w:tcMar>
              <w:left w:w="20" w:type="dxa"/>
              <w:right w:w="20" w:type="dxa"/>
            </w:tcMar>
            <w:vAlign w:val="center"/>
          </w:tcPr>
          <w:p w14:paraId="1F004E6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6A"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6B"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6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6D" w14:textId="77777777" w:rsidR="00140B5A" w:rsidRDefault="002771A1">
            <w:pPr>
              <w:adjustRightInd w:val="0"/>
              <w:spacing w:before="60" w:after="60"/>
              <w:jc w:val="center"/>
              <w:rPr>
                <w:color w:val="000000"/>
              </w:rPr>
            </w:pPr>
            <w:r>
              <w:rPr>
                <w:color w:val="000000"/>
              </w:rPr>
              <w:t>0</w:t>
            </w:r>
          </w:p>
        </w:tc>
      </w:tr>
      <w:tr w:rsidR="00140B5A" w14:paraId="1F004E76" w14:textId="77777777">
        <w:trPr>
          <w:cantSplit/>
          <w:jc w:val="center"/>
        </w:trPr>
        <w:tc>
          <w:tcPr>
            <w:tcW w:w="1778" w:type="pct"/>
            <w:tcMar>
              <w:left w:w="20" w:type="dxa"/>
              <w:right w:w="20" w:type="dxa"/>
            </w:tcMar>
            <w:vAlign w:val="center"/>
          </w:tcPr>
          <w:p w14:paraId="1F004E6F" w14:textId="77777777" w:rsidR="00140B5A" w:rsidRDefault="002771A1">
            <w:pPr>
              <w:adjustRightInd w:val="0"/>
              <w:spacing w:before="60" w:after="60"/>
              <w:rPr>
                <w:color w:val="000000"/>
              </w:rPr>
            </w:pPr>
            <w:r>
              <w:rPr>
                <w:color w:val="000000"/>
              </w:rPr>
              <w:t xml:space="preserve">    Abnormal liver function</w:t>
            </w:r>
          </w:p>
        </w:tc>
        <w:tc>
          <w:tcPr>
            <w:tcW w:w="632" w:type="pct"/>
            <w:tcMar>
              <w:left w:w="20" w:type="dxa"/>
              <w:right w:w="20" w:type="dxa"/>
            </w:tcMar>
            <w:vAlign w:val="center"/>
          </w:tcPr>
          <w:p w14:paraId="1F004E7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7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72"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7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7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75" w14:textId="77777777" w:rsidR="00140B5A" w:rsidRDefault="002771A1">
            <w:pPr>
              <w:adjustRightInd w:val="0"/>
              <w:spacing w:before="60" w:after="60"/>
              <w:jc w:val="center"/>
              <w:rPr>
                <w:color w:val="000000"/>
              </w:rPr>
            </w:pPr>
            <w:r>
              <w:rPr>
                <w:color w:val="000000"/>
              </w:rPr>
              <w:t>0</w:t>
            </w:r>
          </w:p>
        </w:tc>
      </w:tr>
      <w:tr w:rsidR="00140B5A" w14:paraId="1F004E7E" w14:textId="77777777">
        <w:trPr>
          <w:cantSplit/>
          <w:jc w:val="center"/>
        </w:trPr>
        <w:tc>
          <w:tcPr>
            <w:tcW w:w="1778" w:type="pct"/>
            <w:tcMar>
              <w:left w:w="20" w:type="dxa"/>
              <w:right w:w="20" w:type="dxa"/>
            </w:tcMar>
            <w:vAlign w:val="center"/>
          </w:tcPr>
          <w:p w14:paraId="1F004E77" w14:textId="77777777" w:rsidR="00140B5A" w:rsidRDefault="002771A1">
            <w:pPr>
              <w:adjustRightInd w:val="0"/>
              <w:spacing w:before="60" w:after="60"/>
              <w:jc w:val="both"/>
              <w:rPr>
                <w:color w:val="000000"/>
              </w:rPr>
            </w:pPr>
            <w:r>
              <w:rPr>
                <w:color w:val="000000"/>
              </w:rPr>
              <w:t xml:space="preserve">    Hepatitis</w:t>
            </w:r>
          </w:p>
        </w:tc>
        <w:tc>
          <w:tcPr>
            <w:tcW w:w="632" w:type="pct"/>
            <w:tcMar>
              <w:left w:w="20" w:type="dxa"/>
              <w:right w:w="20" w:type="dxa"/>
            </w:tcMar>
            <w:vAlign w:val="center"/>
          </w:tcPr>
          <w:p w14:paraId="1F004E78"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7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7A"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7B"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7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7D" w14:textId="77777777" w:rsidR="00140B5A" w:rsidRDefault="002771A1">
            <w:pPr>
              <w:adjustRightInd w:val="0"/>
              <w:spacing w:before="60" w:after="60"/>
              <w:jc w:val="center"/>
              <w:rPr>
                <w:color w:val="000000"/>
              </w:rPr>
            </w:pPr>
            <w:r>
              <w:rPr>
                <w:color w:val="000000"/>
              </w:rPr>
              <w:t>0</w:t>
            </w:r>
          </w:p>
        </w:tc>
      </w:tr>
      <w:tr w:rsidR="00140B5A" w14:paraId="1F004E86" w14:textId="77777777">
        <w:trPr>
          <w:cantSplit/>
          <w:trHeight w:val="510"/>
          <w:jc w:val="center"/>
        </w:trPr>
        <w:tc>
          <w:tcPr>
            <w:tcW w:w="1778" w:type="pct"/>
            <w:tcMar>
              <w:left w:w="20" w:type="dxa"/>
              <w:right w:w="20" w:type="dxa"/>
            </w:tcMar>
            <w:vAlign w:val="center"/>
          </w:tcPr>
          <w:p w14:paraId="1F004E7F" w14:textId="77777777" w:rsidR="00140B5A" w:rsidRDefault="002771A1">
            <w:pPr>
              <w:adjustRightInd w:val="0"/>
              <w:spacing w:before="60" w:after="60"/>
              <w:rPr>
                <w:color w:val="000000"/>
              </w:rPr>
            </w:pPr>
            <w:r>
              <w:rPr>
                <w:color w:val="000000"/>
              </w:rPr>
              <w:t>Injuries, poisoning and operational complications</w:t>
            </w:r>
          </w:p>
        </w:tc>
        <w:tc>
          <w:tcPr>
            <w:tcW w:w="632" w:type="pct"/>
            <w:tcMar>
              <w:left w:w="20" w:type="dxa"/>
              <w:right w:w="20" w:type="dxa"/>
            </w:tcMar>
            <w:vAlign w:val="center"/>
          </w:tcPr>
          <w:p w14:paraId="1F004E80" w14:textId="77777777" w:rsidR="00140B5A" w:rsidRDefault="002771A1">
            <w:pPr>
              <w:adjustRightInd w:val="0"/>
              <w:spacing w:before="60" w:after="60"/>
              <w:jc w:val="center"/>
              <w:rPr>
                <w:color w:val="000000"/>
              </w:rPr>
            </w:pPr>
            <w:r>
              <w:rPr>
                <w:color w:val="000000"/>
              </w:rPr>
              <w:t>2 (1.6%)</w:t>
            </w:r>
          </w:p>
        </w:tc>
        <w:tc>
          <w:tcPr>
            <w:tcW w:w="538" w:type="pct"/>
            <w:tcMar>
              <w:left w:w="20" w:type="dxa"/>
              <w:right w:w="20" w:type="dxa"/>
            </w:tcMar>
            <w:vAlign w:val="center"/>
          </w:tcPr>
          <w:p w14:paraId="1F004E8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82" w14:textId="77777777" w:rsidR="00140B5A" w:rsidRDefault="002771A1">
            <w:pPr>
              <w:adjustRightInd w:val="0"/>
              <w:spacing w:before="60" w:after="60"/>
              <w:jc w:val="center"/>
              <w:rPr>
                <w:color w:val="000000"/>
              </w:rPr>
            </w:pPr>
            <w:r>
              <w:rPr>
                <w:color w:val="000000"/>
              </w:rPr>
              <w:t>2 (1.6%)</w:t>
            </w:r>
          </w:p>
        </w:tc>
        <w:tc>
          <w:tcPr>
            <w:tcW w:w="538" w:type="pct"/>
            <w:tcMar>
              <w:left w:w="20" w:type="dxa"/>
              <w:right w:w="20" w:type="dxa"/>
            </w:tcMar>
            <w:vAlign w:val="center"/>
          </w:tcPr>
          <w:p w14:paraId="1F004E83"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8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85" w14:textId="77777777" w:rsidR="00140B5A" w:rsidRDefault="002771A1">
            <w:pPr>
              <w:adjustRightInd w:val="0"/>
              <w:spacing w:before="60" w:after="60"/>
              <w:jc w:val="center"/>
              <w:rPr>
                <w:color w:val="000000"/>
              </w:rPr>
            </w:pPr>
            <w:r>
              <w:rPr>
                <w:color w:val="000000"/>
              </w:rPr>
              <w:t>0</w:t>
            </w:r>
          </w:p>
        </w:tc>
      </w:tr>
      <w:tr w:rsidR="00140B5A" w14:paraId="1F004E8E" w14:textId="77777777">
        <w:trPr>
          <w:cantSplit/>
          <w:jc w:val="center"/>
        </w:trPr>
        <w:tc>
          <w:tcPr>
            <w:tcW w:w="1778" w:type="pct"/>
            <w:tcMar>
              <w:left w:w="20" w:type="dxa"/>
              <w:right w:w="20" w:type="dxa"/>
            </w:tcMar>
            <w:vAlign w:val="center"/>
          </w:tcPr>
          <w:p w14:paraId="1F004E87" w14:textId="77777777" w:rsidR="00140B5A" w:rsidRDefault="002771A1">
            <w:pPr>
              <w:adjustRightInd w:val="0"/>
              <w:spacing w:before="60" w:after="60"/>
              <w:rPr>
                <w:color w:val="000000"/>
              </w:rPr>
            </w:pPr>
            <w:r>
              <w:rPr>
                <w:color w:val="000000"/>
              </w:rPr>
              <w:t xml:space="preserve">    Radiation gastroenteritis</w:t>
            </w:r>
          </w:p>
        </w:tc>
        <w:tc>
          <w:tcPr>
            <w:tcW w:w="632" w:type="pct"/>
            <w:tcMar>
              <w:left w:w="20" w:type="dxa"/>
              <w:right w:w="20" w:type="dxa"/>
            </w:tcMar>
            <w:vAlign w:val="center"/>
          </w:tcPr>
          <w:p w14:paraId="1F004E88"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8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8A"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8B"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8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8D" w14:textId="77777777" w:rsidR="00140B5A" w:rsidRDefault="002771A1">
            <w:pPr>
              <w:adjustRightInd w:val="0"/>
              <w:spacing w:before="60" w:after="60"/>
              <w:jc w:val="center"/>
              <w:rPr>
                <w:color w:val="000000"/>
              </w:rPr>
            </w:pPr>
            <w:r>
              <w:rPr>
                <w:color w:val="000000"/>
              </w:rPr>
              <w:t>0</w:t>
            </w:r>
          </w:p>
        </w:tc>
      </w:tr>
      <w:tr w:rsidR="00140B5A" w14:paraId="1F004E96" w14:textId="77777777">
        <w:trPr>
          <w:cantSplit/>
          <w:jc w:val="center"/>
        </w:trPr>
        <w:tc>
          <w:tcPr>
            <w:tcW w:w="1778" w:type="pct"/>
            <w:tcMar>
              <w:left w:w="20" w:type="dxa"/>
              <w:right w:w="20" w:type="dxa"/>
            </w:tcMar>
            <w:vAlign w:val="center"/>
          </w:tcPr>
          <w:p w14:paraId="1F004E8F" w14:textId="77777777" w:rsidR="00140B5A" w:rsidRDefault="002771A1">
            <w:pPr>
              <w:adjustRightInd w:val="0"/>
              <w:spacing w:before="60" w:after="60"/>
              <w:jc w:val="both"/>
              <w:rPr>
                <w:color w:val="000000"/>
              </w:rPr>
            </w:pPr>
            <w:r>
              <w:rPr>
                <w:color w:val="000000"/>
              </w:rPr>
              <w:t xml:space="preserve">    Infusion-related reactions</w:t>
            </w:r>
          </w:p>
        </w:tc>
        <w:tc>
          <w:tcPr>
            <w:tcW w:w="632" w:type="pct"/>
            <w:tcMar>
              <w:left w:w="20" w:type="dxa"/>
              <w:right w:w="20" w:type="dxa"/>
            </w:tcMar>
            <w:vAlign w:val="center"/>
          </w:tcPr>
          <w:p w14:paraId="1F004E9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9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92"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93"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9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95" w14:textId="77777777" w:rsidR="00140B5A" w:rsidRDefault="002771A1">
            <w:pPr>
              <w:adjustRightInd w:val="0"/>
              <w:spacing w:before="60" w:after="60"/>
              <w:jc w:val="center"/>
              <w:rPr>
                <w:color w:val="000000"/>
              </w:rPr>
            </w:pPr>
            <w:r>
              <w:rPr>
                <w:color w:val="000000"/>
              </w:rPr>
              <w:t>0</w:t>
            </w:r>
          </w:p>
        </w:tc>
      </w:tr>
      <w:tr w:rsidR="00140B5A" w14:paraId="1F004E9E" w14:textId="77777777">
        <w:trPr>
          <w:cantSplit/>
          <w:jc w:val="center"/>
        </w:trPr>
        <w:tc>
          <w:tcPr>
            <w:tcW w:w="1778" w:type="pct"/>
            <w:tcMar>
              <w:left w:w="20" w:type="dxa"/>
              <w:right w:w="20" w:type="dxa"/>
            </w:tcMar>
            <w:vAlign w:val="center"/>
          </w:tcPr>
          <w:p w14:paraId="1F004E97" w14:textId="77777777" w:rsidR="00140B5A" w:rsidRDefault="002771A1">
            <w:pPr>
              <w:adjustRightInd w:val="0"/>
              <w:spacing w:before="60" w:after="60"/>
              <w:jc w:val="both"/>
              <w:rPr>
                <w:color w:val="000000"/>
              </w:rPr>
            </w:pPr>
            <w:r>
              <w:rPr>
                <w:color w:val="000000"/>
              </w:rPr>
              <w:t>General disorders and administration site conditions</w:t>
            </w:r>
          </w:p>
        </w:tc>
        <w:tc>
          <w:tcPr>
            <w:tcW w:w="632" w:type="pct"/>
            <w:tcMar>
              <w:left w:w="20" w:type="dxa"/>
              <w:right w:w="20" w:type="dxa"/>
            </w:tcMar>
            <w:vAlign w:val="center"/>
          </w:tcPr>
          <w:p w14:paraId="1F004E98" w14:textId="77777777" w:rsidR="00140B5A" w:rsidRDefault="002771A1">
            <w:pPr>
              <w:adjustRightInd w:val="0"/>
              <w:spacing w:before="60" w:after="60"/>
              <w:jc w:val="center"/>
              <w:rPr>
                <w:color w:val="000000"/>
              </w:rPr>
            </w:pPr>
            <w:r>
              <w:rPr>
                <w:color w:val="000000"/>
              </w:rPr>
              <w:t>2 (1.6%)</w:t>
            </w:r>
          </w:p>
        </w:tc>
        <w:tc>
          <w:tcPr>
            <w:tcW w:w="538" w:type="pct"/>
            <w:tcMar>
              <w:left w:w="20" w:type="dxa"/>
              <w:right w:w="20" w:type="dxa"/>
            </w:tcMar>
            <w:vAlign w:val="center"/>
          </w:tcPr>
          <w:p w14:paraId="1F004E99"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9A"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9B"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9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9D" w14:textId="77777777" w:rsidR="00140B5A" w:rsidRDefault="002771A1">
            <w:pPr>
              <w:adjustRightInd w:val="0"/>
              <w:spacing w:before="60" w:after="60"/>
              <w:jc w:val="center"/>
              <w:rPr>
                <w:color w:val="000000"/>
              </w:rPr>
            </w:pPr>
            <w:r>
              <w:rPr>
                <w:color w:val="000000"/>
              </w:rPr>
              <w:t>0</w:t>
            </w:r>
          </w:p>
        </w:tc>
      </w:tr>
      <w:tr w:rsidR="00140B5A" w14:paraId="1F004EA6" w14:textId="77777777">
        <w:trPr>
          <w:cantSplit/>
          <w:jc w:val="center"/>
        </w:trPr>
        <w:tc>
          <w:tcPr>
            <w:tcW w:w="1778" w:type="pct"/>
            <w:tcMar>
              <w:left w:w="20" w:type="dxa"/>
              <w:right w:w="20" w:type="dxa"/>
            </w:tcMar>
            <w:vAlign w:val="center"/>
          </w:tcPr>
          <w:p w14:paraId="1F004E9F" w14:textId="77777777" w:rsidR="00140B5A" w:rsidRDefault="002771A1">
            <w:pPr>
              <w:adjustRightInd w:val="0"/>
              <w:spacing w:before="60" w:after="60"/>
              <w:jc w:val="both"/>
              <w:rPr>
                <w:color w:val="000000"/>
              </w:rPr>
            </w:pPr>
            <w:r>
              <w:rPr>
                <w:color w:val="000000"/>
              </w:rPr>
              <w:t xml:space="preserve">    Fever</w:t>
            </w:r>
          </w:p>
        </w:tc>
        <w:tc>
          <w:tcPr>
            <w:tcW w:w="632" w:type="pct"/>
            <w:tcMar>
              <w:left w:w="20" w:type="dxa"/>
              <w:right w:w="20" w:type="dxa"/>
            </w:tcMar>
            <w:vAlign w:val="center"/>
          </w:tcPr>
          <w:p w14:paraId="1F004EA0" w14:textId="77777777" w:rsidR="00140B5A" w:rsidRDefault="002771A1">
            <w:pPr>
              <w:adjustRightInd w:val="0"/>
              <w:spacing w:before="60" w:after="60"/>
              <w:jc w:val="center"/>
              <w:rPr>
                <w:color w:val="000000"/>
              </w:rPr>
            </w:pPr>
            <w:r>
              <w:rPr>
                <w:color w:val="000000"/>
              </w:rPr>
              <w:t>2 (1.6%)</w:t>
            </w:r>
          </w:p>
        </w:tc>
        <w:tc>
          <w:tcPr>
            <w:tcW w:w="538" w:type="pct"/>
            <w:tcMar>
              <w:left w:w="20" w:type="dxa"/>
              <w:right w:w="20" w:type="dxa"/>
            </w:tcMar>
            <w:vAlign w:val="center"/>
          </w:tcPr>
          <w:p w14:paraId="1F004EA1"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A2"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A3"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A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A5" w14:textId="77777777" w:rsidR="00140B5A" w:rsidRDefault="002771A1">
            <w:pPr>
              <w:adjustRightInd w:val="0"/>
              <w:spacing w:before="60" w:after="60"/>
              <w:jc w:val="center"/>
              <w:rPr>
                <w:color w:val="000000"/>
              </w:rPr>
            </w:pPr>
            <w:r>
              <w:rPr>
                <w:color w:val="000000"/>
              </w:rPr>
              <w:t>0</w:t>
            </w:r>
          </w:p>
        </w:tc>
      </w:tr>
      <w:tr w:rsidR="00140B5A" w14:paraId="1F004EAE" w14:textId="77777777">
        <w:trPr>
          <w:cantSplit/>
          <w:jc w:val="center"/>
        </w:trPr>
        <w:tc>
          <w:tcPr>
            <w:tcW w:w="1778" w:type="pct"/>
            <w:tcMar>
              <w:left w:w="20" w:type="dxa"/>
              <w:right w:w="20" w:type="dxa"/>
            </w:tcMar>
            <w:vAlign w:val="center"/>
          </w:tcPr>
          <w:p w14:paraId="1F004EA7" w14:textId="77777777" w:rsidR="00140B5A" w:rsidRDefault="002771A1">
            <w:pPr>
              <w:adjustRightInd w:val="0"/>
              <w:spacing w:before="60" w:after="60"/>
              <w:jc w:val="both"/>
              <w:rPr>
                <w:color w:val="000000"/>
                <w:lang w:val="en-GB"/>
              </w:rPr>
            </w:pPr>
            <w:r>
              <w:rPr>
                <w:color w:val="000000"/>
              </w:rPr>
              <w:t xml:space="preserve">    Weak</w:t>
            </w:r>
          </w:p>
        </w:tc>
        <w:tc>
          <w:tcPr>
            <w:tcW w:w="632" w:type="pct"/>
            <w:tcMar>
              <w:left w:w="20" w:type="dxa"/>
              <w:right w:w="20" w:type="dxa"/>
            </w:tcMar>
            <w:vAlign w:val="center"/>
          </w:tcPr>
          <w:p w14:paraId="1F004EA8"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A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AA"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AB"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A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AD" w14:textId="77777777" w:rsidR="00140B5A" w:rsidRDefault="002771A1">
            <w:pPr>
              <w:adjustRightInd w:val="0"/>
              <w:spacing w:before="60" w:after="60"/>
              <w:jc w:val="center"/>
              <w:rPr>
                <w:color w:val="000000"/>
              </w:rPr>
            </w:pPr>
            <w:r>
              <w:rPr>
                <w:color w:val="000000"/>
              </w:rPr>
              <w:t>0</w:t>
            </w:r>
          </w:p>
        </w:tc>
      </w:tr>
      <w:tr w:rsidR="00140B5A" w14:paraId="1F004EB6" w14:textId="77777777">
        <w:trPr>
          <w:cantSplit/>
          <w:jc w:val="center"/>
        </w:trPr>
        <w:tc>
          <w:tcPr>
            <w:tcW w:w="1778" w:type="pct"/>
            <w:tcMar>
              <w:left w:w="20" w:type="dxa"/>
              <w:right w:w="20" w:type="dxa"/>
            </w:tcMar>
            <w:vAlign w:val="center"/>
          </w:tcPr>
          <w:p w14:paraId="1F004EAF" w14:textId="77777777" w:rsidR="00140B5A" w:rsidRDefault="002771A1">
            <w:pPr>
              <w:adjustRightInd w:val="0"/>
              <w:spacing w:before="60" w:after="60"/>
              <w:jc w:val="both"/>
              <w:rPr>
                <w:color w:val="000000"/>
              </w:rPr>
            </w:pPr>
            <w:r>
              <w:rPr>
                <w:color w:val="000000"/>
              </w:rPr>
              <w:t>Reproductive system and breast</w:t>
            </w:r>
          </w:p>
        </w:tc>
        <w:tc>
          <w:tcPr>
            <w:tcW w:w="632" w:type="pct"/>
            <w:tcMar>
              <w:left w:w="20" w:type="dxa"/>
              <w:right w:w="20" w:type="dxa"/>
            </w:tcMar>
            <w:vAlign w:val="center"/>
          </w:tcPr>
          <w:p w14:paraId="1F004EB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B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B2"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B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B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B5" w14:textId="77777777" w:rsidR="00140B5A" w:rsidRDefault="002771A1">
            <w:pPr>
              <w:adjustRightInd w:val="0"/>
              <w:spacing w:before="60" w:after="60"/>
              <w:jc w:val="center"/>
              <w:rPr>
                <w:color w:val="000000"/>
              </w:rPr>
            </w:pPr>
            <w:r>
              <w:rPr>
                <w:color w:val="000000"/>
              </w:rPr>
              <w:t>0</w:t>
            </w:r>
          </w:p>
        </w:tc>
      </w:tr>
      <w:tr w:rsidR="00140B5A" w14:paraId="1F004EBE" w14:textId="77777777">
        <w:trPr>
          <w:cantSplit/>
          <w:jc w:val="center"/>
        </w:trPr>
        <w:tc>
          <w:tcPr>
            <w:tcW w:w="1778" w:type="pct"/>
            <w:tcMar>
              <w:left w:w="20" w:type="dxa"/>
              <w:right w:w="20" w:type="dxa"/>
            </w:tcMar>
            <w:vAlign w:val="center"/>
          </w:tcPr>
          <w:p w14:paraId="1F004EB7" w14:textId="77777777" w:rsidR="00140B5A" w:rsidRDefault="002771A1">
            <w:pPr>
              <w:adjustRightInd w:val="0"/>
              <w:spacing w:before="60" w:after="60"/>
              <w:jc w:val="both"/>
              <w:rPr>
                <w:color w:val="000000"/>
              </w:rPr>
            </w:pPr>
            <w:r>
              <w:rPr>
                <w:color w:val="000000"/>
              </w:rPr>
              <w:t xml:space="preserve">    Vaginal bleeding</w:t>
            </w:r>
          </w:p>
        </w:tc>
        <w:tc>
          <w:tcPr>
            <w:tcW w:w="632" w:type="pct"/>
            <w:tcMar>
              <w:left w:w="20" w:type="dxa"/>
              <w:right w:w="20" w:type="dxa"/>
            </w:tcMar>
            <w:vAlign w:val="center"/>
          </w:tcPr>
          <w:p w14:paraId="1F004EB8"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B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BA"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BB"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B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BD" w14:textId="77777777" w:rsidR="00140B5A" w:rsidRDefault="002771A1">
            <w:pPr>
              <w:adjustRightInd w:val="0"/>
              <w:spacing w:before="60" w:after="60"/>
              <w:jc w:val="center"/>
              <w:rPr>
                <w:color w:val="000000"/>
              </w:rPr>
            </w:pPr>
            <w:r>
              <w:rPr>
                <w:color w:val="000000"/>
              </w:rPr>
              <w:t>0</w:t>
            </w:r>
          </w:p>
        </w:tc>
      </w:tr>
      <w:tr w:rsidR="00140B5A" w14:paraId="1F004EC6" w14:textId="77777777">
        <w:trPr>
          <w:cantSplit/>
          <w:jc w:val="center"/>
        </w:trPr>
        <w:tc>
          <w:tcPr>
            <w:tcW w:w="1778" w:type="pct"/>
            <w:tcMar>
              <w:left w:w="20" w:type="dxa"/>
              <w:right w:w="20" w:type="dxa"/>
            </w:tcMar>
            <w:vAlign w:val="center"/>
          </w:tcPr>
          <w:p w14:paraId="1F004EBF" w14:textId="77777777" w:rsidR="00140B5A" w:rsidRDefault="002771A1">
            <w:pPr>
              <w:adjustRightInd w:val="0"/>
              <w:spacing w:before="60" w:after="60"/>
              <w:jc w:val="both"/>
              <w:rPr>
                <w:color w:val="000000"/>
              </w:rPr>
            </w:pPr>
            <w:r>
              <w:rPr>
                <w:color w:val="000000"/>
              </w:rPr>
              <w:t>Gastrointestinal system</w:t>
            </w:r>
          </w:p>
        </w:tc>
        <w:tc>
          <w:tcPr>
            <w:tcW w:w="632" w:type="pct"/>
            <w:tcMar>
              <w:left w:w="20" w:type="dxa"/>
              <w:right w:w="20" w:type="dxa"/>
            </w:tcMar>
            <w:vAlign w:val="center"/>
          </w:tcPr>
          <w:p w14:paraId="1F004EC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C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C2"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C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C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C5" w14:textId="77777777" w:rsidR="00140B5A" w:rsidRDefault="002771A1">
            <w:pPr>
              <w:adjustRightInd w:val="0"/>
              <w:spacing w:before="60" w:after="60"/>
              <w:jc w:val="center"/>
              <w:rPr>
                <w:color w:val="000000"/>
              </w:rPr>
            </w:pPr>
            <w:r>
              <w:rPr>
                <w:color w:val="000000"/>
              </w:rPr>
              <w:t>0</w:t>
            </w:r>
          </w:p>
        </w:tc>
      </w:tr>
      <w:tr w:rsidR="00140B5A" w14:paraId="1F004ECE" w14:textId="77777777">
        <w:trPr>
          <w:cantSplit/>
          <w:jc w:val="center"/>
        </w:trPr>
        <w:tc>
          <w:tcPr>
            <w:tcW w:w="1778" w:type="pct"/>
            <w:tcMar>
              <w:left w:w="20" w:type="dxa"/>
              <w:right w:w="20" w:type="dxa"/>
            </w:tcMar>
            <w:vAlign w:val="center"/>
          </w:tcPr>
          <w:p w14:paraId="1F004EC7" w14:textId="77777777" w:rsidR="00140B5A" w:rsidRDefault="002771A1">
            <w:pPr>
              <w:adjustRightInd w:val="0"/>
              <w:spacing w:before="60" w:after="60"/>
              <w:jc w:val="both"/>
              <w:rPr>
                <w:color w:val="000000"/>
              </w:rPr>
            </w:pPr>
            <w:r>
              <w:rPr>
                <w:color w:val="000000"/>
              </w:rPr>
              <w:t xml:space="preserve">    Blood in stool</w:t>
            </w:r>
          </w:p>
        </w:tc>
        <w:tc>
          <w:tcPr>
            <w:tcW w:w="632" w:type="pct"/>
            <w:tcMar>
              <w:left w:w="20" w:type="dxa"/>
              <w:right w:w="20" w:type="dxa"/>
            </w:tcMar>
            <w:vAlign w:val="center"/>
          </w:tcPr>
          <w:p w14:paraId="1F004EC8"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C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CA"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CB"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C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CD" w14:textId="77777777" w:rsidR="00140B5A" w:rsidRDefault="002771A1">
            <w:pPr>
              <w:adjustRightInd w:val="0"/>
              <w:spacing w:before="60" w:after="60"/>
              <w:jc w:val="center"/>
              <w:rPr>
                <w:color w:val="000000"/>
              </w:rPr>
            </w:pPr>
            <w:r>
              <w:rPr>
                <w:color w:val="000000"/>
              </w:rPr>
              <w:t>0</w:t>
            </w:r>
          </w:p>
        </w:tc>
      </w:tr>
      <w:tr w:rsidR="00140B5A" w14:paraId="1F004ED6" w14:textId="77777777">
        <w:trPr>
          <w:cantSplit/>
          <w:jc w:val="center"/>
        </w:trPr>
        <w:tc>
          <w:tcPr>
            <w:tcW w:w="1778" w:type="pct"/>
            <w:tcMar>
              <w:left w:w="20" w:type="dxa"/>
              <w:right w:w="20" w:type="dxa"/>
            </w:tcMar>
            <w:vAlign w:val="center"/>
          </w:tcPr>
          <w:p w14:paraId="1F004ECF" w14:textId="77777777" w:rsidR="00140B5A" w:rsidRDefault="002771A1">
            <w:pPr>
              <w:adjustRightInd w:val="0"/>
              <w:spacing w:before="60" w:after="60"/>
              <w:jc w:val="both"/>
              <w:rPr>
                <w:color w:val="000000"/>
              </w:rPr>
            </w:pPr>
            <w:r>
              <w:rPr>
                <w:color w:val="000000"/>
              </w:rPr>
              <w:t xml:space="preserve">    Diarrhea</w:t>
            </w:r>
          </w:p>
        </w:tc>
        <w:tc>
          <w:tcPr>
            <w:tcW w:w="632" w:type="pct"/>
            <w:tcMar>
              <w:left w:w="20" w:type="dxa"/>
              <w:right w:w="20" w:type="dxa"/>
            </w:tcMar>
            <w:vAlign w:val="center"/>
          </w:tcPr>
          <w:p w14:paraId="1F004ED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D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D2"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D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D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D5" w14:textId="77777777" w:rsidR="00140B5A" w:rsidRDefault="002771A1">
            <w:pPr>
              <w:adjustRightInd w:val="0"/>
              <w:spacing w:before="60" w:after="60"/>
              <w:jc w:val="center"/>
              <w:rPr>
                <w:color w:val="000000"/>
              </w:rPr>
            </w:pPr>
            <w:r>
              <w:rPr>
                <w:color w:val="000000"/>
              </w:rPr>
              <w:t>0</w:t>
            </w:r>
          </w:p>
        </w:tc>
      </w:tr>
      <w:tr w:rsidR="00140B5A" w14:paraId="1F004EDE" w14:textId="77777777">
        <w:trPr>
          <w:cantSplit/>
          <w:jc w:val="center"/>
        </w:trPr>
        <w:tc>
          <w:tcPr>
            <w:tcW w:w="1778" w:type="pct"/>
            <w:tcMar>
              <w:left w:w="20" w:type="dxa"/>
              <w:right w:w="20" w:type="dxa"/>
            </w:tcMar>
            <w:vAlign w:val="center"/>
          </w:tcPr>
          <w:p w14:paraId="1F004ED7" w14:textId="77777777" w:rsidR="00140B5A" w:rsidRDefault="002771A1">
            <w:pPr>
              <w:adjustRightInd w:val="0"/>
              <w:spacing w:before="60" w:after="60"/>
              <w:jc w:val="both"/>
              <w:rPr>
                <w:color w:val="000000"/>
              </w:rPr>
            </w:pPr>
            <w:r>
              <w:rPr>
                <w:color w:val="000000"/>
              </w:rPr>
              <w:t>Cardiac</w:t>
            </w:r>
          </w:p>
        </w:tc>
        <w:tc>
          <w:tcPr>
            <w:tcW w:w="632" w:type="pct"/>
            <w:tcMar>
              <w:left w:w="20" w:type="dxa"/>
              <w:right w:w="20" w:type="dxa"/>
            </w:tcMar>
            <w:vAlign w:val="center"/>
          </w:tcPr>
          <w:p w14:paraId="1F004ED8"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D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DA"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DB"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D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DD" w14:textId="77777777" w:rsidR="00140B5A" w:rsidRDefault="002771A1">
            <w:pPr>
              <w:adjustRightInd w:val="0"/>
              <w:spacing w:before="60" w:after="60"/>
              <w:jc w:val="center"/>
              <w:rPr>
                <w:color w:val="000000"/>
              </w:rPr>
            </w:pPr>
            <w:r>
              <w:rPr>
                <w:color w:val="000000"/>
              </w:rPr>
              <w:t>0</w:t>
            </w:r>
          </w:p>
        </w:tc>
      </w:tr>
      <w:tr w:rsidR="00140B5A" w14:paraId="1F004EE6" w14:textId="77777777">
        <w:trPr>
          <w:cantSplit/>
          <w:jc w:val="center"/>
        </w:trPr>
        <w:tc>
          <w:tcPr>
            <w:tcW w:w="1778" w:type="pct"/>
            <w:tcMar>
              <w:left w:w="20" w:type="dxa"/>
              <w:right w:w="20" w:type="dxa"/>
            </w:tcMar>
            <w:vAlign w:val="center"/>
          </w:tcPr>
          <w:p w14:paraId="1F004EDF" w14:textId="77777777" w:rsidR="00140B5A" w:rsidRDefault="002771A1">
            <w:pPr>
              <w:adjustRightInd w:val="0"/>
              <w:spacing w:before="60" w:after="60"/>
              <w:jc w:val="both"/>
              <w:rPr>
                <w:color w:val="000000"/>
              </w:rPr>
            </w:pPr>
            <w:r>
              <w:rPr>
                <w:color w:val="000000"/>
              </w:rPr>
              <w:t xml:space="preserve">    Supraventricular tachycardia</w:t>
            </w:r>
          </w:p>
        </w:tc>
        <w:tc>
          <w:tcPr>
            <w:tcW w:w="632" w:type="pct"/>
            <w:tcMar>
              <w:left w:w="20" w:type="dxa"/>
              <w:right w:w="20" w:type="dxa"/>
            </w:tcMar>
            <w:vAlign w:val="center"/>
          </w:tcPr>
          <w:p w14:paraId="1F004EE0" w14:textId="77777777" w:rsidR="00140B5A" w:rsidRDefault="002771A1">
            <w:pPr>
              <w:adjustRightInd w:val="0"/>
              <w:spacing w:before="60" w:after="60"/>
              <w:jc w:val="center"/>
              <w:rPr>
                <w:color w:val="000000"/>
              </w:rPr>
            </w:pPr>
            <w:r>
              <w:rPr>
                <w:color w:val="000000"/>
              </w:rPr>
              <w:t>1 (0.8%)</w:t>
            </w:r>
          </w:p>
        </w:tc>
        <w:tc>
          <w:tcPr>
            <w:tcW w:w="538" w:type="pct"/>
            <w:tcMar>
              <w:left w:w="20" w:type="dxa"/>
              <w:right w:w="20" w:type="dxa"/>
            </w:tcMar>
            <w:vAlign w:val="center"/>
          </w:tcPr>
          <w:p w14:paraId="1F004EE1"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E2"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E3" w14:textId="77777777" w:rsidR="00140B5A" w:rsidRDefault="002771A1">
            <w:pPr>
              <w:adjustRightInd w:val="0"/>
              <w:spacing w:before="60" w:after="60"/>
              <w:jc w:val="center"/>
              <w:rPr>
                <w:color w:val="000000"/>
              </w:rPr>
            </w:pPr>
            <w:r>
              <w:rPr>
                <w:color w:val="000000"/>
              </w:rPr>
              <w:t>1 (0.8%)</w:t>
            </w:r>
          </w:p>
        </w:tc>
        <w:tc>
          <w:tcPr>
            <w:tcW w:w="489" w:type="pct"/>
            <w:tcMar>
              <w:left w:w="20" w:type="dxa"/>
              <w:right w:w="20" w:type="dxa"/>
            </w:tcMar>
            <w:vAlign w:val="center"/>
          </w:tcPr>
          <w:p w14:paraId="1F004EE4"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E5" w14:textId="77777777" w:rsidR="00140B5A" w:rsidRDefault="002771A1">
            <w:pPr>
              <w:adjustRightInd w:val="0"/>
              <w:spacing w:before="60" w:after="60"/>
              <w:jc w:val="center"/>
              <w:rPr>
                <w:color w:val="000000"/>
              </w:rPr>
            </w:pPr>
            <w:r>
              <w:rPr>
                <w:color w:val="000000"/>
              </w:rPr>
              <w:t>0</w:t>
            </w:r>
          </w:p>
        </w:tc>
      </w:tr>
      <w:tr w:rsidR="00140B5A" w14:paraId="1F004EEE" w14:textId="77777777">
        <w:trPr>
          <w:cantSplit/>
          <w:jc w:val="center"/>
        </w:trPr>
        <w:tc>
          <w:tcPr>
            <w:tcW w:w="1778" w:type="pct"/>
            <w:tcMar>
              <w:left w:w="20" w:type="dxa"/>
              <w:right w:w="20" w:type="dxa"/>
            </w:tcMar>
            <w:vAlign w:val="center"/>
          </w:tcPr>
          <w:p w14:paraId="1F004EE7" w14:textId="77777777" w:rsidR="00140B5A" w:rsidRDefault="002771A1">
            <w:pPr>
              <w:adjustRightInd w:val="0"/>
              <w:spacing w:before="60" w:after="60"/>
              <w:jc w:val="both"/>
              <w:rPr>
                <w:color w:val="000000"/>
              </w:rPr>
            </w:pPr>
            <w:r>
              <w:rPr>
                <w:color w:val="000000"/>
              </w:rPr>
              <w:t xml:space="preserve">    Atrial tachycardia</w:t>
            </w:r>
          </w:p>
        </w:tc>
        <w:tc>
          <w:tcPr>
            <w:tcW w:w="632" w:type="pct"/>
            <w:tcMar>
              <w:left w:w="20" w:type="dxa"/>
              <w:right w:w="20" w:type="dxa"/>
            </w:tcMar>
            <w:vAlign w:val="center"/>
          </w:tcPr>
          <w:p w14:paraId="1F004EE8"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E9"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EA" w14:textId="77777777" w:rsidR="00140B5A" w:rsidRDefault="002771A1">
            <w:pPr>
              <w:adjustRightInd w:val="0"/>
              <w:spacing w:before="60" w:after="60"/>
              <w:jc w:val="center"/>
              <w:rPr>
                <w:color w:val="000000"/>
              </w:rPr>
            </w:pPr>
            <w:r>
              <w:rPr>
                <w:color w:val="000000"/>
              </w:rPr>
              <w:t>0</w:t>
            </w:r>
          </w:p>
        </w:tc>
        <w:tc>
          <w:tcPr>
            <w:tcW w:w="538" w:type="pct"/>
            <w:tcMar>
              <w:left w:w="20" w:type="dxa"/>
              <w:right w:w="20" w:type="dxa"/>
            </w:tcMar>
            <w:vAlign w:val="center"/>
          </w:tcPr>
          <w:p w14:paraId="1F004EEB" w14:textId="77777777" w:rsidR="00140B5A" w:rsidRDefault="002771A1">
            <w:pPr>
              <w:adjustRightInd w:val="0"/>
              <w:spacing w:before="60" w:after="60"/>
              <w:jc w:val="center"/>
              <w:rPr>
                <w:color w:val="000000"/>
              </w:rPr>
            </w:pPr>
            <w:r>
              <w:rPr>
                <w:color w:val="000000"/>
              </w:rPr>
              <w:t>0</w:t>
            </w:r>
          </w:p>
        </w:tc>
        <w:tc>
          <w:tcPr>
            <w:tcW w:w="489" w:type="pct"/>
            <w:tcMar>
              <w:left w:w="20" w:type="dxa"/>
              <w:right w:w="20" w:type="dxa"/>
            </w:tcMar>
            <w:vAlign w:val="center"/>
          </w:tcPr>
          <w:p w14:paraId="1F004EEC" w14:textId="77777777" w:rsidR="00140B5A" w:rsidRDefault="002771A1">
            <w:pPr>
              <w:adjustRightInd w:val="0"/>
              <w:spacing w:before="60" w:after="60"/>
              <w:jc w:val="center"/>
              <w:rPr>
                <w:color w:val="000000"/>
              </w:rPr>
            </w:pPr>
            <w:r>
              <w:rPr>
                <w:color w:val="000000"/>
              </w:rPr>
              <w:t>0</w:t>
            </w:r>
          </w:p>
        </w:tc>
        <w:tc>
          <w:tcPr>
            <w:tcW w:w="487" w:type="pct"/>
            <w:tcMar>
              <w:left w:w="20" w:type="dxa"/>
              <w:right w:w="20" w:type="dxa"/>
            </w:tcMar>
            <w:vAlign w:val="center"/>
          </w:tcPr>
          <w:p w14:paraId="1F004EED" w14:textId="77777777" w:rsidR="00140B5A" w:rsidRDefault="002771A1">
            <w:pPr>
              <w:adjustRightInd w:val="0"/>
              <w:spacing w:before="60" w:after="60"/>
              <w:jc w:val="center"/>
              <w:rPr>
                <w:color w:val="000000"/>
              </w:rPr>
            </w:pPr>
            <w:r>
              <w:rPr>
                <w:color w:val="000000"/>
              </w:rPr>
              <w:t>0</w:t>
            </w:r>
          </w:p>
        </w:tc>
      </w:tr>
      <w:tr w:rsidR="00140B5A" w14:paraId="1F004EF6" w14:textId="77777777">
        <w:trPr>
          <w:cantSplit/>
          <w:jc w:val="center"/>
        </w:trPr>
        <w:tc>
          <w:tcPr>
            <w:tcW w:w="1778" w:type="pct"/>
            <w:tcBorders>
              <w:bottom w:val="nil"/>
            </w:tcBorders>
            <w:tcMar>
              <w:left w:w="20" w:type="dxa"/>
              <w:right w:w="20" w:type="dxa"/>
            </w:tcMar>
            <w:vAlign w:val="center"/>
          </w:tcPr>
          <w:p w14:paraId="1F004EEF" w14:textId="77777777" w:rsidR="00140B5A" w:rsidRDefault="002771A1">
            <w:pPr>
              <w:adjustRightInd w:val="0"/>
              <w:spacing w:before="60" w:after="60"/>
              <w:jc w:val="both"/>
              <w:rPr>
                <w:color w:val="000000"/>
              </w:rPr>
            </w:pPr>
            <w:r>
              <w:rPr>
                <w:color w:val="000000"/>
              </w:rPr>
              <w:t>Blood and Lymphatic system</w:t>
            </w:r>
          </w:p>
        </w:tc>
        <w:tc>
          <w:tcPr>
            <w:tcW w:w="632" w:type="pct"/>
            <w:tcBorders>
              <w:bottom w:val="nil"/>
            </w:tcBorders>
            <w:tcMar>
              <w:left w:w="20" w:type="dxa"/>
              <w:right w:w="20" w:type="dxa"/>
            </w:tcMar>
            <w:vAlign w:val="center"/>
          </w:tcPr>
          <w:p w14:paraId="1F004EF0" w14:textId="77777777" w:rsidR="00140B5A" w:rsidRDefault="002771A1">
            <w:pPr>
              <w:adjustRightInd w:val="0"/>
              <w:spacing w:before="60" w:after="60"/>
              <w:jc w:val="center"/>
              <w:rPr>
                <w:color w:val="000000"/>
              </w:rPr>
            </w:pPr>
            <w:r>
              <w:rPr>
                <w:color w:val="000000"/>
              </w:rPr>
              <w:t>1 (0.8%)</w:t>
            </w:r>
          </w:p>
        </w:tc>
        <w:tc>
          <w:tcPr>
            <w:tcW w:w="538" w:type="pct"/>
            <w:tcBorders>
              <w:bottom w:val="nil"/>
            </w:tcBorders>
            <w:tcMar>
              <w:left w:w="20" w:type="dxa"/>
              <w:right w:w="20" w:type="dxa"/>
            </w:tcMar>
            <w:vAlign w:val="center"/>
          </w:tcPr>
          <w:p w14:paraId="1F004EF1" w14:textId="77777777" w:rsidR="00140B5A" w:rsidRDefault="002771A1">
            <w:pPr>
              <w:adjustRightInd w:val="0"/>
              <w:spacing w:before="60" w:after="60"/>
              <w:jc w:val="center"/>
              <w:rPr>
                <w:color w:val="000000"/>
              </w:rPr>
            </w:pPr>
            <w:r>
              <w:rPr>
                <w:color w:val="000000"/>
              </w:rPr>
              <w:t>0</w:t>
            </w:r>
          </w:p>
        </w:tc>
        <w:tc>
          <w:tcPr>
            <w:tcW w:w="538" w:type="pct"/>
            <w:tcBorders>
              <w:bottom w:val="nil"/>
            </w:tcBorders>
            <w:tcMar>
              <w:left w:w="20" w:type="dxa"/>
              <w:right w:w="20" w:type="dxa"/>
            </w:tcMar>
            <w:vAlign w:val="center"/>
          </w:tcPr>
          <w:p w14:paraId="1F004EF2" w14:textId="77777777" w:rsidR="00140B5A" w:rsidRDefault="002771A1">
            <w:pPr>
              <w:adjustRightInd w:val="0"/>
              <w:spacing w:before="60" w:after="60"/>
              <w:jc w:val="center"/>
              <w:rPr>
                <w:color w:val="000000"/>
              </w:rPr>
            </w:pPr>
            <w:r>
              <w:rPr>
                <w:color w:val="000000"/>
              </w:rPr>
              <w:t>0</w:t>
            </w:r>
          </w:p>
        </w:tc>
        <w:tc>
          <w:tcPr>
            <w:tcW w:w="538" w:type="pct"/>
            <w:tcBorders>
              <w:bottom w:val="nil"/>
            </w:tcBorders>
            <w:tcMar>
              <w:left w:w="20" w:type="dxa"/>
              <w:right w:w="20" w:type="dxa"/>
            </w:tcMar>
            <w:vAlign w:val="center"/>
          </w:tcPr>
          <w:p w14:paraId="1F004EF3" w14:textId="77777777" w:rsidR="00140B5A" w:rsidRDefault="002771A1">
            <w:pPr>
              <w:adjustRightInd w:val="0"/>
              <w:spacing w:before="60" w:after="60"/>
              <w:jc w:val="center"/>
              <w:rPr>
                <w:color w:val="000000"/>
              </w:rPr>
            </w:pPr>
            <w:r>
              <w:rPr>
                <w:color w:val="000000"/>
              </w:rPr>
              <w:t>1 (0.8%)</w:t>
            </w:r>
          </w:p>
        </w:tc>
        <w:tc>
          <w:tcPr>
            <w:tcW w:w="489" w:type="pct"/>
            <w:tcBorders>
              <w:bottom w:val="nil"/>
            </w:tcBorders>
            <w:tcMar>
              <w:left w:w="20" w:type="dxa"/>
              <w:right w:w="20" w:type="dxa"/>
            </w:tcMar>
            <w:vAlign w:val="center"/>
          </w:tcPr>
          <w:p w14:paraId="1F004EF4" w14:textId="77777777" w:rsidR="00140B5A" w:rsidRDefault="002771A1">
            <w:pPr>
              <w:adjustRightInd w:val="0"/>
              <w:spacing w:before="60" w:after="60"/>
              <w:jc w:val="center"/>
              <w:rPr>
                <w:color w:val="000000"/>
              </w:rPr>
            </w:pPr>
            <w:r>
              <w:rPr>
                <w:color w:val="000000"/>
              </w:rPr>
              <w:t>0</w:t>
            </w:r>
          </w:p>
        </w:tc>
        <w:tc>
          <w:tcPr>
            <w:tcW w:w="487" w:type="pct"/>
            <w:tcBorders>
              <w:bottom w:val="nil"/>
            </w:tcBorders>
            <w:tcMar>
              <w:left w:w="20" w:type="dxa"/>
              <w:right w:w="20" w:type="dxa"/>
            </w:tcMar>
            <w:vAlign w:val="center"/>
          </w:tcPr>
          <w:p w14:paraId="1F004EF5" w14:textId="77777777" w:rsidR="00140B5A" w:rsidRDefault="002771A1">
            <w:pPr>
              <w:adjustRightInd w:val="0"/>
              <w:spacing w:before="60" w:after="60"/>
              <w:jc w:val="center"/>
              <w:rPr>
                <w:color w:val="000000"/>
              </w:rPr>
            </w:pPr>
            <w:r>
              <w:rPr>
                <w:color w:val="000000"/>
              </w:rPr>
              <w:t>0</w:t>
            </w:r>
          </w:p>
        </w:tc>
      </w:tr>
      <w:tr w:rsidR="00140B5A" w14:paraId="1F004EFE" w14:textId="77777777">
        <w:trPr>
          <w:cantSplit/>
          <w:jc w:val="center"/>
        </w:trPr>
        <w:tc>
          <w:tcPr>
            <w:tcW w:w="1778" w:type="pct"/>
            <w:tcBorders>
              <w:top w:val="nil"/>
              <w:bottom w:val="single" w:sz="4" w:space="0" w:color="auto"/>
            </w:tcBorders>
            <w:tcMar>
              <w:left w:w="20" w:type="dxa"/>
              <w:right w:w="20" w:type="dxa"/>
            </w:tcMar>
            <w:vAlign w:val="center"/>
          </w:tcPr>
          <w:p w14:paraId="1F004EF7" w14:textId="77777777" w:rsidR="00140B5A" w:rsidRDefault="002771A1">
            <w:pPr>
              <w:adjustRightInd w:val="0"/>
              <w:spacing w:before="60" w:after="60"/>
              <w:jc w:val="both"/>
              <w:rPr>
                <w:color w:val="000000"/>
              </w:rPr>
            </w:pPr>
            <w:r>
              <w:rPr>
                <w:color w:val="000000"/>
              </w:rPr>
              <w:t xml:space="preserve">    Anemia</w:t>
            </w:r>
          </w:p>
        </w:tc>
        <w:tc>
          <w:tcPr>
            <w:tcW w:w="632" w:type="pct"/>
            <w:tcBorders>
              <w:top w:val="nil"/>
              <w:bottom w:val="single" w:sz="4" w:space="0" w:color="auto"/>
            </w:tcBorders>
            <w:tcMar>
              <w:left w:w="20" w:type="dxa"/>
              <w:right w:w="20" w:type="dxa"/>
            </w:tcMar>
            <w:vAlign w:val="center"/>
          </w:tcPr>
          <w:p w14:paraId="1F004EF8" w14:textId="77777777" w:rsidR="00140B5A" w:rsidRDefault="002771A1">
            <w:pPr>
              <w:adjustRightInd w:val="0"/>
              <w:spacing w:before="60" w:after="60"/>
              <w:jc w:val="center"/>
              <w:rPr>
                <w:color w:val="000000"/>
              </w:rPr>
            </w:pPr>
            <w:r>
              <w:rPr>
                <w:color w:val="000000"/>
              </w:rPr>
              <w:t>1 (0.8%)</w:t>
            </w:r>
          </w:p>
        </w:tc>
        <w:tc>
          <w:tcPr>
            <w:tcW w:w="538" w:type="pct"/>
            <w:tcBorders>
              <w:top w:val="nil"/>
              <w:bottom w:val="single" w:sz="4" w:space="0" w:color="auto"/>
            </w:tcBorders>
            <w:tcMar>
              <w:left w:w="20" w:type="dxa"/>
              <w:right w:w="20" w:type="dxa"/>
            </w:tcMar>
            <w:vAlign w:val="center"/>
          </w:tcPr>
          <w:p w14:paraId="1F004EF9" w14:textId="77777777" w:rsidR="00140B5A" w:rsidRDefault="002771A1">
            <w:pPr>
              <w:adjustRightInd w:val="0"/>
              <w:spacing w:before="60" w:after="60"/>
              <w:jc w:val="center"/>
              <w:rPr>
                <w:color w:val="000000"/>
              </w:rPr>
            </w:pPr>
            <w:r>
              <w:rPr>
                <w:color w:val="000000"/>
              </w:rPr>
              <w:t>0</w:t>
            </w:r>
          </w:p>
        </w:tc>
        <w:tc>
          <w:tcPr>
            <w:tcW w:w="538" w:type="pct"/>
            <w:tcBorders>
              <w:top w:val="nil"/>
              <w:bottom w:val="single" w:sz="4" w:space="0" w:color="auto"/>
            </w:tcBorders>
            <w:tcMar>
              <w:left w:w="20" w:type="dxa"/>
              <w:right w:w="20" w:type="dxa"/>
            </w:tcMar>
            <w:vAlign w:val="center"/>
          </w:tcPr>
          <w:p w14:paraId="1F004EFA" w14:textId="77777777" w:rsidR="00140B5A" w:rsidRDefault="002771A1">
            <w:pPr>
              <w:adjustRightInd w:val="0"/>
              <w:spacing w:before="60" w:after="60"/>
              <w:jc w:val="center"/>
              <w:rPr>
                <w:color w:val="000000"/>
              </w:rPr>
            </w:pPr>
            <w:r>
              <w:rPr>
                <w:color w:val="000000"/>
              </w:rPr>
              <w:t>0</w:t>
            </w:r>
          </w:p>
        </w:tc>
        <w:tc>
          <w:tcPr>
            <w:tcW w:w="538" w:type="pct"/>
            <w:tcBorders>
              <w:top w:val="nil"/>
              <w:bottom w:val="single" w:sz="4" w:space="0" w:color="auto"/>
            </w:tcBorders>
            <w:tcMar>
              <w:left w:w="20" w:type="dxa"/>
              <w:right w:w="20" w:type="dxa"/>
            </w:tcMar>
            <w:vAlign w:val="center"/>
          </w:tcPr>
          <w:p w14:paraId="1F004EFB" w14:textId="77777777" w:rsidR="00140B5A" w:rsidRDefault="002771A1">
            <w:pPr>
              <w:adjustRightInd w:val="0"/>
              <w:spacing w:before="60" w:after="60"/>
              <w:jc w:val="center"/>
              <w:rPr>
                <w:color w:val="000000"/>
              </w:rPr>
            </w:pPr>
            <w:r>
              <w:rPr>
                <w:color w:val="000000"/>
              </w:rPr>
              <w:t>1 (0.8%)</w:t>
            </w:r>
          </w:p>
        </w:tc>
        <w:tc>
          <w:tcPr>
            <w:tcW w:w="489" w:type="pct"/>
            <w:tcBorders>
              <w:top w:val="nil"/>
              <w:bottom w:val="single" w:sz="4" w:space="0" w:color="auto"/>
            </w:tcBorders>
            <w:tcMar>
              <w:left w:w="20" w:type="dxa"/>
              <w:right w:w="20" w:type="dxa"/>
            </w:tcMar>
            <w:vAlign w:val="center"/>
          </w:tcPr>
          <w:p w14:paraId="1F004EFC" w14:textId="77777777" w:rsidR="00140B5A" w:rsidRDefault="002771A1">
            <w:pPr>
              <w:adjustRightInd w:val="0"/>
              <w:spacing w:before="60" w:after="60"/>
              <w:jc w:val="center"/>
              <w:rPr>
                <w:color w:val="000000"/>
              </w:rPr>
            </w:pPr>
            <w:r>
              <w:rPr>
                <w:color w:val="000000"/>
              </w:rPr>
              <w:t>0</w:t>
            </w:r>
          </w:p>
        </w:tc>
        <w:tc>
          <w:tcPr>
            <w:tcW w:w="487" w:type="pct"/>
            <w:tcBorders>
              <w:top w:val="nil"/>
              <w:bottom w:val="single" w:sz="4" w:space="0" w:color="auto"/>
            </w:tcBorders>
            <w:tcMar>
              <w:left w:w="20" w:type="dxa"/>
              <w:right w:w="20" w:type="dxa"/>
            </w:tcMar>
            <w:vAlign w:val="center"/>
          </w:tcPr>
          <w:p w14:paraId="1F004EFD" w14:textId="77777777" w:rsidR="00140B5A" w:rsidRDefault="002771A1">
            <w:pPr>
              <w:adjustRightInd w:val="0"/>
              <w:spacing w:before="60" w:after="60"/>
              <w:jc w:val="center"/>
              <w:rPr>
                <w:color w:val="000000"/>
              </w:rPr>
            </w:pPr>
            <w:r>
              <w:rPr>
                <w:color w:val="000000"/>
              </w:rPr>
              <w:t>0</w:t>
            </w:r>
          </w:p>
        </w:tc>
      </w:tr>
    </w:tbl>
    <w:p w14:paraId="1F004EFF" w14:textId="77777777" w:rsidR="00140B5A" w:rsidRDefault="002771A1">
      <w:r>
        <w:br w:type="page"/>
      </w:r>
    </w:p>
    <w:p w14:paraId="1F004F00" w14:textId="77777777" w:rsidR="00140B5A" w:rsidRDefault="002771A1">
      <w:pPr>
        <w:pStyle w:val="1"/>
        <w:numPr>
          <w:ilvl w:val="0"/>
          <w:numId w:val="0"/>
        </w:numPr>
        <w:ind w:left="432" w:hanging="432"/>
      </w:pPr>
      <w:bookmarkStart w:id="7" w:name="_Toc129963877"/>
      <w:r>
        <w:lastRenderedPageBreak/>
        <w:t>Table S5. Treatment-related deaths</w:t>
      </w:r>
      <w:bookmarkEnd w:id="7"/>
      <w:r>
        <w:t xml:space="preserve"> </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732"/>
        <w:gridCol w:w="1103"/>
        <w:gridCol w:w="906"/>
        <w:gridCol w:w="906"/>
        <w:gridCol w:w="998"/>
        <w:gridCol w:w="998"/>
        <w:gridCol w:w="1103"/>
      </w:tblGrid>
      <w:tr w:rsidR="00140B5A" w14:paraId="1F004F03" w14:textId="77777777">
        <w:trPr>
          <w:cantSplit/>
          <w:jc w:val="center"/>
        </w:trPr>
        <w:tc>
          <w:tcPr>
            <w:tcW w:w="1914" w:type="pct"/>
            <w:tcBorders>
              <w:top w:val="single" w:sz="4" w:space="0" w:color="auto"/>
              <w:left w:val="nil"/>
              <w:bottom w:val="nil"/>
              <w:right w:val="nil"/>
            </w:tcBorders>
            <w:tcMar>
              <w:top w:w="0" w:type="dxa"/>
              <w:left w:w="20" w:type="dxa"/>
              <w:bottom w:w="0" w:type="dxa"/>
              <w:right w:w="20" w:type="dxa"/>
            </w:tcMar>
          </w:tcPr>
          <w:p w14:paraId="1F004F01" w14:textId="77777777" w:rsidR="00140B5A" w:rsidRDefault="00140B5A">
            <w:pPr>
              <w:adjustRightInd w:val="0"/>
              <w:spacing w:before="60" w:after="60"/>
              <w:rPr>
                <w:color w:val="000000"/>
              </w:rPr>
            </w:pPr>
          </w:p>
        </w:tc>
        <w:tc>
          <w:tcPr>
            <w:tcW w:w="3086" w:type="pct"/>
            <w:gridSpan w:val="6"/>
            <w:tcBorders>
              <w:top w:val="single" w:sz="4" w:space="0" w:color="auto"/>
              <w:left w:val="nil"/>
              <w:bottom w:val="single" w:sz="4" w:space="0" w:color="auto"/>
              <w:right w:val="nil"/>
            </w:tcBorders>
            <w:tcMar>
              <w:top w:w="0" w:type="dxa"/>
              <w:left w:w="20" w:type="dxa"/>
              <w:bottom w:w="0" w:type="dxa"/>
              <w:right w:w="20" w:type="dxa"/>
            </w:tcMar>
          </w:tcPr>
          <w:p w14:paraId="1F004F02" w14:textId="77777777" w:rsidR="00140B5A" w:rsidRDefault="002771A1">
            <w:pPr>
              <w:adjustRightInd w:val="0"/>
              <w:spacing w:before="60" w:after="60"/>
              <w:jc w:val="center"/>
              <w:rPr>
                <w:color w:val="000000"/>
              </w:rPr>
            </w:pPr>
            <w:r>
              <w:rPr>
                <w:color w:val="000000"/>
              </w:rPr>
              <w:t>N=123</w:t>
            </w:r>
          </w:p>
        </w:tc>
      </w:tr>
      <w:tr w:rsidR="00140B5A" w14:paraId="1F004F0B" w14:textId="77777777">
        <w:trPr>
          <w:cantSplit/>
          <w:jc w:val="center"/>
        </w:trPr>
        <w:tc>
          <w:tcPr>
            <w:tcW w:w="1914" w:type="pct"/>
            <w:tcBorders>
              <w:top w:val="nil"/>
              <w:left w:val="nil"/>
              <w:bottom w:val="single" w:sz="4" w:space="0" w:color="auto"/>
              <w:right w:val="nil"/>
            </w:tcBorders>
            <w:tcMar>
              <w:top w:w="0" w:type="dxa"/>
              <w:left w:w="20" w:type="dxa"/>
              <w:bottom w:w="0" w:type="dxa"/>
              <w:right w:w="20" w:type="dxa"/>
            </w:tcMar>
          </w:tcPr>
          <w:p w14:paraId="1F004F04" w14:textId="77777777" w:rsidR="00140B5A" w:rsidRDefault="00140B5A">
            <w:pPr>
              <w:adjustRightInd w:val="0"/>
              <w:spacing w:before="60" w:after="60"/>
              <w:rPr>
                <w:color w:val="000000"/>
              </w:rPr>
            </w:pPr>
          </w:p>
        </w:tc>
        <w:tc>
          <w:tcPr>
            <w:tcW w:w="566" w:type="pct"/>
            <w:tcBorders>
              <w:top w:val="nil"/>
              <w:left w:val="nil"/>
              <w:bottom w:val="single" w:sz="4" w:space="0" w:color="auto"/>
              <w:right w:val="nil"/>
            </w:tcBorders>
            <w:tcMar>
              <w:top w:w="0" w:type="dxa"/>
              <w:left w:w="20" w:type="dxa"/>
              <w:bottom w:w="0" w:type="dxa"/>
              <w:right w:w="20" w:type="dxa"/>
            </w:tcMar>
            <w:vAlign w:val="center"/>
          </w:tcPr>
          <w:p w14:paraId="1F004F05" w14:textId="77777777" w:rsidR="00140B5A" w:rsidRDefault="002771A1">
            <w:pPr>
              <w:adjustRightInd w:val="0"/>
              <w:spacing w:before="60" w:after="60"/>
              <w:jc w:val="center"/>
              <w:rPr>
                <w:color w:val="000000"/>
              </w:rPr>
            </w:pPr>
            <w:r>
              <w:rPr>
                <w:b/>
                <w:bCs/>
              </w:rPr>
              <w:t>A</w:t>
            </w:r>
            <w:r>
              <w:rPr>
                <w:rFonts w:hint="eastAsia"/>
                <w:b/>
                <w:bCs/>
              </w:rPr>
              <w:t>ny</w:t>
            </w:r>
            <w:r>
              <w:rPr>
                <w:b/>
                <w:bCs/>
              </w:rPr>
              <w:t xml:space="preserve"> grade</w:t>
            </w:r>
            <w:r>
              <w:rPr>
                <w:b/>
                <w:bCs/>
              </w:rPr>
              <w:br/>
              <w:t>n (%)</w:t>
            </w:r>
          </w:p>
        </w:tc>
        <w:tc>
          <w:tcPr>
            <w:tcW w:w="465" w:type="pct"/>
            <w:tcBorders>
              <w:top w:val="nil"/>
              <w:left w:val="nil"/>
              <w:bottom w:val="single" w:sz="4" w:space="0" w:color="auto"/>
              <w:right w:val="nil"/>
            </w:tcBorders>
            <w:tcMar>
              <w:top w:w="0" w:type="dxa"/>
              <w:left w:w="20" w:type="dxa"/>
              <w:bottom w:w="0" w:type="dxa"/>
              <w:right w:w="20" w:type="dxa"/>
            </w:tcMar>
            <w:vAlign w:val="center"/>
          </w:tcPr>
          <w:p w14:paraId="1F004F06" w14:textId="77777777" w:rsidR="00140B5A" w:rsidRDefault="002771A1">
            <w:pPr>
              <w:adjustRightInd w:val="0"/>
              <w:spacing w:before="60" w:after="60"/>
              <w:jc w:val="center"/>
              <w:rPr>
                <w:color w:val="000000"/>
              </w:rPr>
            </w:pPr>
            <w:r>
              <w:rPr>
                <w:b/>
                <w:bCs/>
                <w:sz w:val="20"/>
                <w:szCs w:val="20"/>
              </w:rPr>
              <w:t>Grade1</w:t>
            </w:r>
            <w:r>
              <w:rPr>
                <w:b/>
                <w:bCs/>
              </w:rPr>
              <w:br/>
              <w:t>n (%)</w:t>
            </w:r>
          </w:p>
        </w:tc>
        <w:tc>
          <w:tcPr>
            <w:tcW w:w="465" w:type="pct"/>
            <w:tcBorders>
              <w:top w:val="nil"/>
              <w:left w:val="nil"/>
              <w:bottom w:val="single" w:sz="4" w:space="0" w:color="auto"/>
              <w:right w:val="nil"/>
            </w:tcBorders>
            <w:tcMar>
              <w:top w:w="0" w:type="dxa"/>
              <w:left w:w="20" w:type="dxa"/>
              <w:bottom w:w="0" w:type="dxa"/>
              <w:right w:w="20" w:type="dxa"/>
            </w:tcMar>
            <w:vAlign w:val="center"/>
          </w:tcPr>
          <w:p w14:paraId="1F004F07" w14:textId="77777777" w:rsidR="00140B5A" w:rsidRDefault="002771A1">
            <w:pPr>
              <w:adjustRightInd w:val="0"/>
              <w:spacing w:before="60" w:after="60"/>
              <w:jc w:val="center"/>
              <w:rPr>
                <w:color w:val="000000"/>
              </w:rPr>
            </w:pPr>
            <w:r>
              <w:rPr>
                <w:b/>
                <w:bCs/>
                <w:sz w:val="20"/>
                <w:szCs w:val="20"/>
              </w:rPr>
              <w:t>Grade2</w:t>
            </w:r>
            <w:r>
              <w:rPr>
                <w:b/>
                <w:bCs/>
              </w:rPr>
              <w:br/>
              <w:t>n (%)</w:t>
            </w:r>
          </w:p>
        </w:tc>
        <w:tc>
          <w:tcPr>
            <w:tcW w:w="512" w:type="pct"/>
            <w:tcBorders>
              <w:top w:val="nil"/>
              <w:left w:val="nil"/>
              <w:bottom w:val="single" w:sz="4" w:space="0" w:color="auto"/>
              <w:right w:val="nil"/>
            </w:tcBorders>
            <w:tcMar>
              <w:top w:w="0" w:type="dxa"/>
              <w:left w:w="20" w:type="dxa"/>
              <w:bottom w:w="0" w:type="dxa"/>
              <w:right w:w="20" w:type="dxa"/>
            </w:tcMar>
            <w:vAlign w:val="center"/>
          </w:tcPr>
          <w:p w14:paraId="1F004F08" w14:textId="77777777" w:rsidR="00140B5A" w:rsidRDefault="002771A1">
            <w:pPr>
              <w:adjustRightInd w:val="0"/>
              <w:spacing w:before="60" w:after="60"/>
              <w:jc w:val="center"/>
              <w:rPr>
                <w:color w:val="000000"/>
              </w:rPr>
            </w:pPr>
            <w:r>
              <w:rPr>
                <w:b/>
                <w:bCs/>
                <w:sz w:val="20"/>
                <w:szCs w:val="20"/>
              </w:rPr>
              <w:t>Grade3</w:t>
            </w:r>
            <w:r>
              <w:rPr>
                <w:b/>
                <w:bCs/>
              </w:rPr>
              <w:br/>
              <w:t>n (%)</w:t>
            </w:r>
          </w:p>
        </w:tc>
        <w:tc>
          <w:tcPr>
            <w:tcW w:w="512" w:type="pct"/>
            <w:tcBorders>
              <w:top w:val="nil"/>
              <w:left w:val="nil"/>
              <w:bottom w:val="single" w:sz="4" w:space="0" w:color="auto"/>
              <w:right w:val="nil"/>
            </w:tcBorders>
            <w:tcMar>
              <w:top w:w="0" w:type="dxa"/>
              <w:left w:w="20" w:type="dxa"/>
              <w:bottom w:w="0" w:type="dxa"/>
              <w:right w:w="20" w:type="dxa"/>
            </w:tcMar>
            <w:vAlign w:val="center"/>
          </w:tcPr>
          <w:p w14:paraId="1F004F09" w14:textId="77777777" w:rsidR="00140B5A" w:rsidRDefault="002771A1">
            <w:pPr>
              <w:adjustRightInd w:val="0"/>
              <w:spacing w:before="60" w:after="60"/>
              <w:jc w:val="center"/>
              <w:rPr>
                <w:color w:val="000000"/>
              </w:rPr>
            </w:pPr>
            <w:r>
              <w:rPr>
                <w:b/>
                <w:bCs/>
                <w:sz w:val="20"/>
                <w:szCs w:val="20"/>
              </w:rPr>
              <w:t>Grade4</w:t>
            </w:r>
            <w:r>
              <w:rPr>
                <w:b/>
                <w:bCs/>
              </w:rPr>
              <w:br/>
              <w:t>n (%)</w:t>
            </w:r>
          </w:p>
        </w:tc>
        <w:tc>
          <w:tcPr>
            <w:tcW w:w="566" w:type="pct"/>
            <w:tcBorders>
              <w:top w:val="nil"/>
              <w:left w:val="nil"/>
              <w:bottom w:val="single" w:sz="4" w:space="0" w:color="auto"/>
              <w:right w:val="nil"/>
            </w:tcBorders>
            <w:tcMar>
              <w:top w:w="0" w:type="dxa"/>
              <w:left w:w="20" w:type="dxa"/>
              <w:bottom w:w="0" w:type="dxa"/>
              <w:right w:w="20" w:type="dxa"/>
            </w:tcMar>
            <w:vAlign w:val="center"/>
          </w:tcPr>
          <w:p w14:paraId="1F004F0A" w14:textId="77777777" w:rsidR="00140B5A" w:rsidRDefault="002771A1">
            <w:pPr>
              <w:adjustRightInd w:val="0"/>
              <w:spacing w:before="60" w:after="60"/>
              <w:jc w:val="center"/>
              <w:rPr>
                <w:color w:val="000000"/>
              </w:rPr>
            </w:pPr>
            <w:r>
              <w:rPr>
                <w:b/>
                <w:bCs/>
                <w:sz w:val="20"/>
                <w:szCs w:val="20"/>
              </w:rPr>
              <w:t>Grade5</w:t>
            </w:r>
            <w:r>
              <w:rPr>
                <w:b/>
                <w:bCs/>
              </w:rPr>
              <w:br/>
              <w:t>n (%)</w:t>
            </w:r>
          </w:p>
        </w:tc>
      </w:tr>
      <w:tr w:rsidR="00140B5A" w14:paraId="1F004F13" w14:textId="77777777">
        <w:trPr>
          <w:cantSplit/>
          <w:jc w:val="center"/>
        </w:trPr>
        <w:tc>
          <w:tcPr>
            <w:tcW w:w="1914" w:type="pct"/>
            <w:tcBorders>
              <w:top w:val="single" w:sz="4" w:space="0" w:color="auto"/>
              <w:left w:val="nil"/>
              <w:bottom w:val="nil"/>
              <w:right w:val="nil"/>
            </w:tcBorders>
            <w:tcMar>
              <w:top w:w="0" w:type="dxa"/>
              <w:left w:w="20" w:type="dxa"/>
              <w:bottom w:w="0" w:type="dxa"/>
              <w:right w:w="20" w:type="dxa"/>
            </w:tcMar>
          </w:tcPr>
          <w:p w14:paraId="1F004F0C" w14:textId="77777777" w:rsidR="00140B5A" w:rsidRDefault="002771A1">
            <w:pPr>
              <w:adjustRightInd w:val="0"/>
              <w:spacing w:before="60" w:after="60"/>
              <w:rPr>
                <w:color w:val="000000"/>
              </w:rPr>
            </w:pPr>
            <w:r>
              <w:rPr>
                <w:rFonts w:hint="eastAsia"/>
                <w:color w:val="000000"/>
              </w:rPr>
              <w:t>Any</w:t>
            </w:r>
          </w:p>
        </w:tc>
        <w:tc>
          <w:tcPr>
            <w:tcW w:w="566" w:type="pct"/>
            <w:tcBorders>
              <w:top w:val="single" w:sz="4" w:space="0" w:color="auto"/>
              <w:left w:val="nil"/>
              <w:bottom w:val="nil"/>
              <w:right w:val="nil"/>
            </w:tcBorders>
            <w:tcMar>
              <w:top w:w="0" w:type="dxa"/>
              <w:left w:w="20" w:type="dxa"/>
              <w:bottom w:w="0" w:type="dxa"/>
              <w:right w:w="20" w:type="dxa"/>
            </w:tcMar>
          </w:tcPr>
          <w:p w14:paraId="1F004F0D" w14:textId="77777777" w:rsidR="00140B5A" w:rsidRDefault="002771A1">
            <w:pPr>
              <w:adjustRightInd w:val="0"/>
              <w:spacing w:before="60" w:after="60"/>
              <w:jc w:val="center"/>
              <w:rPr>
                <w:color w:val="000000"/>
              </w:rPr>
            </w:pPr>
            <w:r>
              <w:rPr>
                <w:color w:val="000000"/>
              </w:rPr>
              <w:t>3 (2.4%)</w:t>
            </w:r>
          </w:p>
        </w:tc>
        <w:tc>
          <w:tcPr>
            <w:tcW w:w="465" w:type="pct"/>
            <w:tcBorders>
              <w:top w:val="single" w:sz="4" w:space="0" w:color="auto"/>
              <w:left w:val="nil"/>
              <w:bottom w:val="nil"/>
              <w:right w:val="nil"/>
            </w:tcBorders>
            <w:tcMar>
              <w:top w:w="0" w:type="dxa"/>
              <w:left w:w="20" w:type="dxa"/>
              <w:bottom w:w="0" w:type="dxa"/>
              <w:right w:w="20" w:type="dxa"/>
            </w:tcMar>
          </w:tcPr>
          <w:p w14:paraId="1F004F0E" w14:textId="77777777" w:rsidR="00140B5A" w:rsidRDefault="002771A1">
            <w:pPr>
              <w:adjustRightInd w:val="0"/>
              <w:spacing w:before="60" w:after="60"/>
              <w:jc w:val="center"/>
              <w:rPr>
                <w:color w:val="000000"/>
              </w:rPr>
            </w:pPr>
            <w:r>
              <w:rPr>
                <w:color w:val="000000"/>
              </w:rPr>
              <w:t>0</w:t>
            </w:r>
          </w:p>
        </w:tc>
        <w:tc>
          <w:tcPr>
            <w:tcW w:w="465" w:type="pct"/>
            <w:tcBorders>
              <w:top w:val="single" w:sz="4" w:space="0" w:color="auto"/>
              <w:left w:val="nil"/>
              <w:bottom w:val="nil"/>
              <w:right w:val="nil"/>
            </w:tcBorders>
            <w:tcMar>
              <w:top w:w="0" w:type="dxa"/>
              <w:left w:w="20" w:type="dxa"/>
              <w:bottom w:w="0" w:type="dxa"/>
              <w:right w:w="20" w:type="dxa"/>
            </w:tcMar>
          </w:tcPr>
          <w:p w14:paraId="1F004F0F" w14:textId="77777777" w:rsidR="00140B5A" w:rsidRDefault="002771A1">
            <w:pPr>
              <w:adjustRightInd w:val="0"/>
              <w:spacing w:before="60" w:after="60"/>
              <w:jc w:val="center"/>
              <w:rPr>
                <w:color w:val="000000"/>
              </w:rPr>
            </w:pPr>
            <w:r>
              <w:rPr>
                <w:color w:val="000000"/>
              </w:rPr>
              <w:t>0</w:t>
            </w:r>
          </w:p>
        </w:tc>
        <w:tc>
          <w:tcPr>
            <w:tcW w:w="512" w:type="pct"/>
            <w:tcBorders>
              <w:top w:val="single" w:sz="4" w:space="0" w:color="auto"/>
              <w:left w:val="nil"/>
              <w:bottom w:val="nil"/>
              <w:right w:val="nil"/>
            </w:tcBorders>
            <w:tcMar>
              <w:top w:w="0" w:type="dxa"/>
              <w:left w:w="20" w:type="dxa"/>
              <w:bottom w:w="0" w:type="dxa"/>
              <w:right w:w="20" w:type="dxa"/>
            </w:tcMar>
          </w:tcPr>
          <w:p w14:paraId="1F004F10" w14:textId="77777777" w:rsidR="00140B5A" w:rsidRDefault="002771A1">
            <w:pPr>
              <w:adjustRightInd w:val="0"/>
              <w:spacing w:before="60" w:after="60"/>
              <w:jc w:val="center"/>
              <w:rPr>
                <w:color w:val="000000"/>
              </w:rPr>
            </w:pPr>
            <w:r>
              <w:rPr>
                <w:color w:val="000000"/>
              </w:rPr>
              <w:t>0</w:t>
            </w:r>
          </w:p>
        </w:tc>
        <w:tc>
          <w:tcPr>
            <w:tcW w:w="512" w:type="pct"/>
            <w:tcBorders>
              <w:top w:val="single" w:sz="4" w:space="0" w:color="auto"/>
              <w:left w:val="nil"/>
              <w:bottom w:val="nil"/>
              <w:right w:val="nil"/>
            </w:tcBorders>
            <w:tcMar>
              <w:top w:w="0" w:type="dxa"/>
              <w:left w:w="20" w:type="dxa"/>
              <w:bottom w:w="0" w:type="dxa"/>
              <w:right w:w="20" w:type="dxa"/>
            </w:tcMar>
          </w:tcPr>
          <w:p w14:paraId="1F004F11" w14:textId="77777777" w:rsidR="00140B5A" w:rsidRDefault="002771A1">
            <w:pPr>
              <w:adjustRightInd w:val="0"/>
              <w:spacing w:before="60" w:after="60"/>
              <w:jc w:val="center"/>
              <w:rPr>
                <w:color w:val="000000"/>
              </w:rPr>
            </w:pPr>
            <w:r>
              <w:rPr>
                <w:color w:val="000000"/>
              </w:rPr>
              <w:t>0</w:t>
            </w:r>
          </w:p>
        </w:tc>
        <w:tc>
          <w:tcPr>
            <w:tcW w:w="566" w:type="pct"/>
            <w:tcBorders>
              <w:top w:val="single" w:sz="4" w:space="0" w:color="auto"/>
              <w:left w:val="nil"/>
              <w:bottom w:val="nil"/>
              <w:right w:val="nil"/>
            </w:tcBorders>
            <w:tcMar>
              <w:top w:w="0" w:type="dxa"/>
              <w:left w:w="20" w:type="dxa"/>
              <w:bottom w:w="0" w:type="dxa"/>
              <w:right w:w="20" w:type="dxa"/>
            </w:tcMar>
          </w:tcPr>
          <w:p w14:paraId="1F004F12" w14:textId="77777777" w:rsidR="00140B5A" w:rsidRDefault="002771A1">
            <w:pPr>
              <w:adjustRightInd w:val="0"/>
              <w:spacing w:before="60" w:after="60"/>
              <w:jc w:val="center"/>
              <w:rPr>
                <w:color w:val="000000"/>
              </w:rPr>
            </w:pPr>
            <w:r>
              <w:rPr>
                <w:color w:val="000000"/>
              </w:rPr>
              <w:t>3 (2.4%)</w:t>
            </w:r>
          </w:p>
        </w:tc>
      </w:tr>
      <w:tr w:rsidR="00140B5A" w14:paraId="1F004F1B" w14:textId="77777777">
        <w:trPr>
          <w:cantSplit/>
          <w:jc w:val="center"/>
        </w:trPr>
        <w:tc>
          <w:tcPr>
            <w:tcW w:w="1914" w:type="pct"/>
            <w:tcBorders>
              <w:top w:val="nil"/>
              <w:left w:val="nil"/>
              <w:bottom w:val="nil"/>
              <w:right w:val="nil"/>
            </w:tcBorders>
            <w:tcMar>
              <w:top w:w="0" w:type="dxa"/>
              <w:left w:w="20" w:type="dxa"/>
              <w:bottom w:w="0" w:type="dxa"/>
              <w:right w:w="20" w:type="dxa"/>
            </w:tcMar>
          </w:tcPr>
          <w:p w14:paraId="1F004F14" w14:textId="77777777" w:rsidR="00140B5A" w:rsidRDefault="002771A1">
            <w:pPr>
              <w:adjustRightInd w:val="0"/>
              <w:spacing w:before="60" w:after="60"/>
              <w:rPr>
                <w:color w:val="000000"/>
              </w:rPr>
            </w:pPr>
            <w:r>
              <w:rPr>
                <w:color w:val="000000"/>
              </w:rPr>
              <w:t xml:space="preserve">   Suicide</w:t>
            </w:r>
          </w:p>
        </w:tc>
        <w:tc>
          <w:tcPr>
            <w:tcW w:w="566" w:type="pct"/>
            <w:tcBorders>
              <w:top w:val="nil"/>
              <w:left w:val="nil"/>
              <w:bottom w:val="nil"/>
              <w:right w:val="nil"/>
            </w:tcBorders>
            <w:tcMar>
              <w:top w:w="0" w:type="dxa"/>
              <w:left w:w="20" w:type="dxa"/>
              <w:bottom w:w="0" w:type="dxa"/>
              <w:right w:w="20" w:type="dxa"/>
            </w:tcMar>
          </w:tcPr>
          <w:p w14:paraId="1F004F15" w14:textId="77777777" w:rsidR="00140B5A" w:rsidRDefault="002771A1">
            <w:pPr>
              <w:adjustRightInd w:val="0"/>
              <w:spacing w:before="60" w:after="60"/>
              <w:jc w:val="center"/>
              <w:rPr>
                <w:color w:val="000000"/>
              </w:rPr>
            </w:pPr>
            <w:r>
              <w:rPr>
                <w:color w:val="000000"/>
              </w:rPr>
              <w:t>1 (0.8%)</w:t>
            </w:r>
          </w:p>
        </w:tc>
        <w:tc>
          <w:tcPr>
            <w:tcW w:w="465" w:type="pct"/>
            <w:tcBorders>
              <w:top w:val="nil"/>
              <w:left w:val="nil"/>
              <w:bottom w:val="nil"/>
              <w:right w:val="nil"/>
            </w:tcBorders>
            <w:tcMar>
              <w:top w:w="0" w:type="dxa"/>
              <w:left w:w="20" w:type="dxa"/>
              <w:bottom w:w="0" w:type="dxa"/>
              <w:right w:w="20" w:type="dxa"/>
            </w:tcMar>
          </w:tcPr>
          <w:p w14:paraId="1F004F16" w14:textId="77777777" w:rsidR="00140B5A" w:rsidRDefault="002771A1">
            <w:pPr>
              <w:adjustRightInd w:val="0"/>
              <w:spacing w:before="60" w:after="60"/>
              <w:jc w:val="center"/>
              <w:rPr>
                <w:color w:val="000000"/>
              </w:rPr>
            </w:pPr>
            <w:r>
              <w:rPr>
                <w:color w:val="000000"/>
              </w:rPr>
              <w:t>0</w:t>
            </w:r>
          </w:p>
        </w:tc>
        <w:tc>
          <w:tcPr>
            <w:tcW w:w="465" w:type="pct"/>
            <w:tcBorders>
              <w:top w:val="nil"/>
              <w:left w:val="nil"/>
              <w:bottom w:val="nil"/>
              <w:right w:val="nil"/>
            </w:tcBorders>
            <w:tcMar>
              <w:top w:w="0" w:type="dxa"/>
              <w:left w:w="20" w:type="dxa"/>
              <w:bottom w:w="0" w:type="dxa"/>
              <w:right w:w="20" w:type="dxa"/>
            </w:tcMar>
          </w:tcPr>
          <w:p w14:paraId="1F004F17"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nil"/>
              <w:right w:val="nil"/>
            </w:tcBorders>
            <w:tcMar>
              <w:top w:w="0" w:type="dxa"/>
              <w:left w:w="20" w:type="dxa"/>
              <w:bottom w:w="0" w:type="dxa"/>
              <w:right w:w="20" w:type="dxa"/>
            </w:tcMar>
          </w:tcPr>
          <w:p w14:paraId="1F004F18"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nil"/>
              <w:right w:val="nil"/>
            </w:tcBorders>
            <w:tcMar>
              <w:top w:w="0" w:type="dxa"/>
              <w:left w:w="20" w:type="dxa"/>
              <w:bottom w:w="0" w:type="dxa"/>
              <w:right w:w="20" w:type="dxa"/>
            </w:tcMar>
          </w:tcPr>
          <w:p w14:paraId="1F004F19" w14:textId="77777777" w:rsidR="00140B5A" w:rsidRDefault="002771A1">
            <w:pPr>
              <w:adjustRightInd w:val="0"/>
              <w:spacing w:before="60" w:after="60"/>
              <w:jc w:val="center"/>
              <w:rPr>
                <w:color w:val="000000"/>
              </w:rPr>
            </w:pPr>
            <w:r>
              <w:rPr>
                <w:color w:val="000000"/>
              </w:rPr>
              <w:t>0</w:t>
            </w:r>
          </w:p>
        </w:tc>
        <w:tc>
          <w:tcPr>
            <w:tcW w:w="566" w:type="pct"/>
            <w:tcBorders>
              <w:top w:val="nil"/>
              <w:left w:val="nil"/>
              <w:bottom w:val="nil"/>
              <w:right w:val="nil"/>
            </w:tcBorders>
            <w:tcMar>
              <w:top w:w="0" w:type="dxa"/>
              <w:left w:w="20" w:type="dxa"/>
              <w:bottom w:w="0" w:type="dxa"/>
              <w:right w:w="20" w:type="dxa"/>
            </w:tcMar>
          </w:tcPr>
          <w:p w14:paraId="1F004F1A" w14:textId="77777777" w:rsidR="00140B5A" w:rsidRDefault="002771A1">
            <w:pPr>
              <w:adjustRightInd w:val="0"/>
              <w:spacing w:before="60" w:after="60"/>
              <w:jc w:val="center"/>
              <w:rPr>
                <w:color w:val="000000"/>
              </w:rPr>
            </w:pPr>
            <w:r>
              <w:rPr>
                <w:color w:val="000000"/>
              </w:rPr>
              <w:t>1 (0.8%)</w:t>
            </w:r>
          </w:p>
        </w:tc>
      </w:tr>
      <w:tr w:rsidR="00140B5A" w14:paraId="1F004F23" w14:textId="77777777">
        <w:trPr>
          <w:cantSplit/>
          <w:jc w:val="center"/>
        </w:trPr>
        <w:tc>
          <w:tcPr>
            <w:tcW w:w="1914" w:type="pct"/>
            <w:tcBorders>
              <w:top w:val="nil"/>
              <w:left w:val="nil"/>
              <w:bottom w:val="nil"/>
              <w:right w:val="nil"/>
            </w:tcBorders>
            <w:tcMar>
              <w:top w:w="0" w:type="dxa"/>
              <w:left w:w="20" w:type="dxa"/>
              <w:bottom w:w="0" w:type="dxa"/>
              <w:right w:w="20" w:type="dxa"/>
            </w:tcMar>
          </w:tcPr>
          <w:p w14:paraId="1F004F1C" w14:textId="77777777" w:rsidR="00140B5A" w:rsidRDefault="002771A1">
            <w:pPr>
              <w:adjustRightInd w:val="0"/>
              <w:spacing w:before="60" w:after="60"/>
              <w:rPr>
                <w:color w:val="000000"/>
              </w:rPr>
            </w:pPr>
            <w:r>
              <w:rPr>
                <w:color w:val="000000"/>
              </w:rPr>
              <w:t xml:space="preserve">   Death</w:t>
            </w:r>
          </w:p>
        </w:tc>
        <w:tc>
          <w:tcPr>
            <w:tcW w:w="566" w:type="pct"/>
            <w:tcBorders>
              <w:top w:val="nil"/>
              <w:left w:val="nil"/>
              <w:bottom w:val="nil"/>
              <w:right w:val="nil"/>
            </w:tcBorders>
            <w:tcMar>
              <w:top w:w="0" w:type="dxa"/>
              <w:left w:w="20" w:type="dxa"/>
              <w:bottom w:w="0" w:type="dxa"/>
              <w:right w:w="20" w:type="dxa"/>
            </w:tcMar>
          </w:tcPr>
          <w:p w14:paraId="1F004F1D" w14:textId="77777777" w:rsidR="00140B5A" w:rsidRDefault="002771A1">
            <w:pPr>
              <w:adjustRightInd w:val="0"/>
              <w:spacing w:before="60" w:after="60"/>
              <w:jc w:val="center"/>
              <w:rPr>
                <w:color w:val="000000"/>
              </w:rPr>
            </w:pPr>
            <w:r>
              <w:rPr>
                <w:color w:val="000000"/>
              </w:rPr>
              <w:t>1 (0.8%)</w:t>
            </w:r>
          </w:p>
        </w:tc>
        <w:tc>
          <w:tcPr>
            <w:tcW w:w="465" w:type="pct"/>
            <w:tcBorders>
              <w:top w:val="nil"/>
              <w:left w:val="nil"/>
              <w:bottom w:val="nil"/>
              <w:right w:val="nil"/>
            </w:tcBorders>
            <w:tcMar>
              <w:top w:w="0" w:type="dxa"/>
              <w:left w:w="20" w:type="dxa"/>
              <w:bottom w:w="0" w:type="dxa"/>
              <w:right w:w="20" w:type="dxa"/>
            </w:tcMar>
          </w:tcPr>
          <w:p w14:paraId="1F004F1E" w14:textId="77777777" w:rsidR="00140B5A" w:rsidRDefault="002771A1">
            <w:pPr>
              <w:adjustRightInd w:val="0"/>
              <w:spacing w:before="60" w:after="60"/>
              <w:jc w:val="center"/>
              <w:rPr>
                <w:color w:val="000000"/>
              </w:rPr>
            </w:pPr>
            <w:r>
              <w:rPr>
                <w:color w:val="000000"/>
              </w:rPr>
              <w:t>0</w:t>
            </w:r>
          </w:p>
        </w:tc>
        <w:tc>
          <w:tcPr>
            <w:tcW w:w="465" w:type="pct"/>
            <w:tcBorders>
              <w:top w:val="nil"/>
              <w:left w:val="nil"/>
              <w:bottom w:val="nil"/>
              <w:right w:val="nil"/>
            </w:tcBorders>
            <w:tcMar>
              <w:top w:w="0" w:type="dxa"/>
              <w:left w:w="20" w:type="dxa"/>
              <w:bottom w:w="0" w:type="dxa"/>
              <w:right w:w="20" w:type="dxa"/>
            </w:tcMar>
          </w:tcPr>
          <w:p w14:paraId="1F004F1F"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nil"/>
              <w:right w:val="nil"/>
            </w:tcBorders>
            <w:tcMar>
              <w:top w:w="0" w:type="dxa"/>
              <w:left w:w="20" w:type="dxa"/>
              <w:bottom w:w="0" w:type="dxa"/>
              <w:right w:w="20" w:type="dxa"/>
            </w:tcMar>
          </w:tcPr>
          <w:p w14:paraId="1F004F20"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nil"/>
              <w:right w:val="nil"/>
            </w:tcBorders>
            <w:tcMar>
              <w:top w:w="0" w:type="dxa"/>
              <w:left w:w="20" w:type="dxa"/>
              <w:bottom w:w="0" w:type="dxa"/>
              <w:right w:w="20" w:type="dxa"/>
            </w:tcMar>
          </w:tcPr>
          <w:p w14:paraId="1F004F21" w14:textId="77777777" w:rsidR="00140B5A" w:rsidRDefault="002771A1">
            <w:pPr>
              <w:adjustRightInd w:val="0"/>
              <w:spacing w:before="60" w:after="60"/>
              <w:jc w:val="center"/>
              <w:rPr>
                <w:color w:val="000000"/>
              </w:rPr>
            </w:pPr>
            <w:r>
              <w:rPr>
                <w:color w:val="000000"/>
              </w:rPr>
              <w:t>0</w:t>
            </w:r>
          </w:p>
        </w:tc>
        <w:tc>
          <w:tcPr>
            <w:tcW w:w="566" w:type="pct"/>
            <w:tcBorders>
              <w:top w:val="nil"/>
              <w:left w:val="nil"/>
              <w:bottom w:val="nil"/>
              <w:right w:val="nil"/>
            </w:tcBorders>
            <w:tcMar>
              <w:top w:w="0" w:type="dxa"/>
              <w:left w:w="20" w:type="dxa"/>
              <w:bottom w:w="0" w:type="dxa"/>
              <w:right w:w="20" w:type="dxa"/>
            </w:tcMar>
          </w:tcPr>
          <w:p w14:paraId="1F004F22" w14:textId="77777777" w:rsidR="00140B5A" w:rsidRDefault="002771A1">
            <w:pPr>
              <w:adjustRightInd w:val="0"/>
              <w:spacing w:before="60" w:after="60"/>
              <w:jc w:val="center"/>
              <w:rPr>
                <w:color w:val="000000"/>
              </w:rPr>
            </w:pPr>
            <w:r>
              <w:rPr>
                <w:color w:val="000000"/>
              </w:rPr>
              <w:t>1 (0.8%)</w:t>
            </w:r>
          </w:p>
        </w:tc>
      </w:tr>
      <w:tr w:rsidR="00140B5A" w14:paraId="1F004F2B" w14:textId="77777777">
        <w:trPr>
          <w:cantSplit/>
          <w:jc w:val="center"/>
        </w:trPr>
        <w:tc>
          <w:tcPr>
            <w:tcW w:w="1914" w:type="pct"/>
            <w:tcBorders>
              <w:top w:val="nil"/>
              <w:left w:val="nil"/>
              <w:bottom w:val="single" w:sz="4" w:space="0" w:color="auto"/>
              <w:right w:val="nil"/>
            </w:tcBorders>
            <w:tcMar>
              <w:top w:w="0" w:type="dxa"/>
              <w:left w:w="20" w:type="dxa"/>
              <w:bottom w:w="0" w:type="dxa"/>
              <w:right w:w="20" w:type="dxa"/>
            </w:tcMar>
          </w:tcPr>
          <w:p w14:paraId="1F004F24" w14:textId="77777777" w:rsidR="00140B5A" w:rsidRDefault="002771A1">
            <w:pPr>
              <w:adjustRightInd w:val="0"/>
              <w:spacing w:before="60" w:after="60"/>
              <w:rPr>
                <w:color w:val="000000" w:themeColor="text1"/>
              </w:rPr>
            </w:pPr>
            <w:r>
              <w:rPr>
                <w:color w:val="000000" w:themeColor="text1"/>
              </w:rPr>
              <w:t xml:space="preserve">   Disseminated intravascular coagulation</w:t>
            </w:r>
          </w:p>
        </w:tc>
        <w:tc>
          <w:tcPr>
            <w:tcW w:w="566" w:type="pct"/>
            <w:tcBorders>
              <w:top w:val="nil"/>
              <w:left w:val="nil"/>
              <w:bottom w:val="single" w:sz="4" w:space="0" w:color="auto"/>
              <w:right w:val="nil"/>
            </w:tcBorders>
            <w:tcMar>
              <w:top w:w="0" w:type="dxa"/>
              <w:left w:w="20" w:type="dxa"/>
              <w:bottom w:w="0" w:type="dxa"/>
              <w:right w:w="20" w:type="dxa"/>
            </w:tcMar>
          </w:tcPr>
          <w:p w14:paraId="1F004F25" w14:textId="77777777" w:rsidR="00140B5A" w:rsidRDefault="002771A1">
            <w:pPr>
              <w:adjustRightInd w:val="0"/>
              <w:spacing w:before="60" w:after="60"/>
              <w:jc w:val="center"/>
              <w:rPr>
                <w:color w:val="000000"/>
              </w:rPr>
            </w:pPr>
            <w:r>
              <w:rPr>
                <w:color w:val="000000"/>
              </w:rPr>
              <w:t>1 (0.8%)</w:t>
            </w:r>
          </w:p>
        </w:tc>
        <w:tc>
          <w:tcPr>
            <w:tcW w:w="465" w:type="pct"/>
            <w:tcBorders>
              <w:top w:val="nil"/>
              <w:left w:val="nil"/>
              <w:bottom w:val="single" w:sz="4" w:space="0" w:color="auto"/>
              <w:right w:val="nil"/>
            </w:tcBorders>
            <w:tcMar>
              <w:top w:w="0" w:type="dxa"/>
              <w:left w:w="20" w:type="dxa"/>
              <w:bottom w:w="0" w:type="dxa"/>
              <w:right w:w="20" w:type="dxa"/>
            </w:tcMar>
          </w:tcPr>
          <w:p w14:paraId="1F004F26" w14:textId="77777777" w:rsidR="00140B5A" w:rsidRDefault="002771A1">
            <w:pPr>
              <w:adjustRightInd w:val="0"/>
              <w:spacing w:before="60" w:after="60"/>
              <w:jc w:val="center"/>
              <w:rPr>
                <w:color w:val="000000"/>
              </w:rPr>
            </w:pPr>
            <w:r>
              <w:rPr>
                <w:color w:val="000000"/>
              </w:rPr>
              <w:t>0</w:t>
            </w:r>
          </w:p>
        </w:tc>
        <w:tc>
          <w:tcPr>
            <w:tcW w:w="465" w:type="pct"/>
            <w:tcBorders>
              <w:top w:val="nil"/>
              <w:left w:val="nil"/>
              <w:bottom w:val="single" w:sz="4" w:space="0" w:color="auto"/>
              <w:right w:val="nil"/>
            </w:tcBorders>
            <w:tcMar>
              <w:top w:w="0" w:type="dxa"/>
              <w:left w:w="20" w:type="dxa"/>
              <w:bottom w:w="0" w:type="dxa"/>
              <w:right w:w="20" w:type="dxa"/>
            </w:tcMar>
          </w:tcPr>
          <w:p w14:paraId="1F004F27"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single" w:sz="4" w:space="0" w:color="auto"/>
              <w:right w:val="nil"/>
            </w:tcBorders>
            <w:tcMar>
              <w:top w:w="0" w:type="dxa"/>
              <w:left w:w="20" w:type="dxa"/>
              <w:bottom w:w="0" w:type="dxa"/>
              <w:right w:w="20" w:type="dxa"/>
            </w:tcMar>
          </w:tcPr>
          <w:p w14:paraId="1F004F28" w14:textId="77777777" w:rsidR="00140B5A" w:rsidRDefault="002771A1">
            <w:pPr>
              <w:adjustRightInd w:val="0"/>
              <w:spacing w:before="60" w:after="60"/>
              <w:jc w:val="center"/>
              <w:rPr>
                <w:color w:val="000000"/>
              </w:rPr>
            </w:pPr>
            <w:r>
              <w:rPr>
                <w:color w:val="000000"/>
              </w:rPr>
              <w:t>0</w:t>
            </w:r>
          </w:p>
        </w:tc>
        <w:tc>
          <w:tcPr>
            <w:tcW w:w="512" w:type="pct"/>
            <w:tcBorders>
              <w:top w:val="nil"/>
              <w:left w:val="nil"/>
              <w:bottom w:val="single" w:sz="4" w:space="0" w:color="auto"/>
              <w:right w:val="nil"/>
            </w:tcBorders>
            <w:tcMar>
              <w:top w:w="0" w:type="dxa"/>
              <w:left w:w="20" w:type="dxa"/>
              <w:bottom w:w="0" w:type="dxa"/>
              <w:right w:w="20" w:type="dxa"/>
            </w:tcMar>
          </w:tcPr>
          <w:p w14:paraId="1F004F29" w14:textId="77777777" w:rsidR="00140B5A" w:rsidRDefault="002771A1">
            <w:pPr>
              <w:adjustRightInd w:val="0"/>
              <w:spacing w:before="60" w:after="60"/>
              <w:jc w:val="center"/>
              <w:rPr>
                <w:color w:val="000000"/>
              </w:rPr>
            </w:pPr>
            <w:r>
              <w:rPr>
                <w:color w:val="000000"/>
              </w:rPr>
              <w:t>0</w:t>
            </w:r>
          </w:p>
        </w:tc>
        <w:tc>
          <w:tcPr>
            <w:tcW w:w="566" w:type="pct"/>
            <w:tcBorders>
              <w:top w:val="nil"/>
              <w:left w:val="nil"/>
              <w:bottom w:val="single" w:sz="4" w:space="0" w:color="auto"/>
              <w:right w:val="nil"/>
            </w:tcBorders>
            <w:tcMar>
              <w:top w:w="0" w:type="dxa"/>
              <w:left w:w="20" w:type="dxa"/>
              <w:bottom w:w="0" w:type="dxa"/>
              <w:right w:w="20" w:type="dxa"/>
            </w:tcMar>
          </w:tcPr>
          <w:p w14:paraId="1F004F2A" w14:textId="77777777" w:rsidR="00140B5A" w:rsidRDefault="002771A1">
            <w:pPr>
              <w:adjustRightInd w:val="0"/>
              <w:spacing w:before="60" w:after="60"/>
              <w:jc w:val="center"/>
              <w:rPr>
                <w:color w:val="000000"/>
              </w:rPr>
            </w:pPr>
            <w:r>
              <w:rPr>
                <w:color w:val="000000"/>
              </w:rPr>
              <w:t>1 (0.8%)</w:t>
            </w:r>
          </w:p>
        </w:tc>
      </w:tr>
    </w:tbl>
    <w:p w14:paraId="1F004F2C" w14:textId="77777777" w:rsidR="00140B5A" w:rsidRDefault="00140B5A">
      <w:pPr>
        <w:pStyle w:val="1f5"/>
        <w:rPr>
          <w:rFonts w:ascii="Times New Roman" w:hAnsi="Times New Roman" w:cs="Times New Roman"/>
        </w:rPr>
      </w:pPr>
    </w:p>
    <w:p w14:paraId="1F004F2D" w14:textId="77777777" w:rsidR="00140B5A" w:rsidRDefault="002771A1">
      <w:r>
        <w:br w:type="page"/>
      </w:r>
    </w:p>
    <w:p w14:paraId="1F004F2E" w14:textId="12E78428" w:rsidR="00140B5A" w:rsidRPr="004131B4" w:rsidRDefault="002771A1">
      <w:pPr>
        <w:pStyle w:val="1"/>
        <w:numPr>
          <w:ilvl w:val="0"/>
          <w:numId w:val="0"/>
        </w:numPr>
        <w:ind w:left="432" w:hanging="432"/>
        <w:rPr>
          <w:szCs w:val="24"/>
        </w:rPr>
      </w:pPr>
      <w:bookmarkStart w:id="8" w:name="_Toc129963878"/>
      <w:r>
        <w:rPr>
          <w:rFonts w:hint="eastAsia"/>
        </w:rPr>
        <w:lastRenderedPageBreak/>
        <w:t>T</w:t>
      </w:r>
      <w:r>
        <w:t>able S6</w:t>
      </w:r>
      <w:r w:rsidR="00DB2629">
        <w:t>.</w:t>
      </w:r>
      <w:r>
        <w:t xml:space="preserve"> </w:t>
      </w:r>
      <w:r w:rsidR="00E96A12" w:rsidRPr="004131B4">
        <w:rPr>
          <w:szCs w:val="24"/>
        </w:rPr>
        <w:t xml:space="preserve">Criteria for inclusion and </w:t>
      </w:r>
      <w:r w:rsidR="00E96A12" w:rsidRPr="004131B4">
        <w:rPr>
          <w:rFonts w:ascii="TimesNewRomanPS-BoldMT" w:eastAsia="TimesNewRomanPS-BoldMT" w:hAnsi="TimesNewRomanPS-BoldMT" w:cs="TimesNewRomanPS-BoldMT" w:hint="eastAsia"/>
          <w:color w:val="000000"/>
          <w:kern w:val="0"/>
          <w:szCs w:val="24"/>
          <w:lang w:bidi="ar"/>
        </w:rPr>
        <w:t>e</w:t>
      </w:r>
      <w:r w:rsidR="00E96A12" w:rsidRPr="004131B4">
        <w:rPr>
          <w:rFonts w:ascii="TimesNewRomanPS-BoldMT" w:eastAsia="TimesNewRomanPS-BoldMT" w:hAnsi="TimesNewRomanPS-BoldMT" w:cs="TimesNewRomanPS-BoldMT"/>
          <w:color w:val="000000"/>
          <w:kern w:val="0"/>
          <w:szCs w:val="24"/>
          <w:lang w:bidi="ar"/>
        </w:rPr>
        <w:t>xclusion</w:t>
      </w:r>
      <w:bookmarkEnd w:id="8"/>
    </w:p>
    <w:tbl>
      <w:tblPr>
        <w:tblStyle w:val="affa"/>
        <w:tblW w:w="0" w:type="auto"/>
        <w:tblLook w:val="04A0" w:firstRow="1" w:lastRow="0" w:firstColumn="1" w:lastColumn="0" w:noHBand="0" w:noVBand="1"/>
      </w:tblPr>
      <w:tblGrid>
        <w:gridCol w:w="9736"/>
      </w:tblGrid>
      <w:tr w:rsidR="00140B5A" w14:paraId="1F004F88" w14:textId="77777777">
        <w:tc>
          <w:tcPr>
            <w:tcW w:w="14174" w:type="dxa"/>
          </w:tcPr>
          <w:p w14:paraId="1F004F2F" w14:textId="185D14A0" w:rsidR="00140B5A" w:rsidRPr="00E96A12" w:rsidRDefault="00347607" w:rsidP="00E96A12">
            <w:pPr>
              <w:widowControl/>
              <w:jc w:val="left"/>
            </w:pPr>
            <w:r w:rsidRPr="00347607">
              <w:rPr>
                <w:b/>
                <w:bCs/>
              </w:rPr>
              <w:t>Criteria for inclusion</w:t>
            </w:r>
            <w:r w:rsidR="00E96A12">
              <w:rPr>
                <w:b/>
                <w:bCs/>
              </w:rPr>
              <w:t xml:space="preserve"> </w:t>
            </w:r>
          </w:p>
          <w:p w14:paraId="1F004F30" w14:textId="77777777" w:rsidR="00140B5A" w:rsidRDefault="002771A1">
            <w:r>
              <w:t xml:space="preserve">Subjects who meet </w:t>
            </w:r>
            <w:proofErr w:type="gramStart"/>
            <w:r>
              <w:t>all of</w:t>
            </w:r>
            <w:proofErr w:type="gramEnd"/>
            <w:r>
              <w:t xml:space="preserve"> the following criteria are included in the study:</w:t>
            </w:r>
          </w:p>
          <w:p w14:paraId="1F004F31" w14:textId="77777777" w:rsidR="00140B5A" w:rsidRDefault="002771A1">
            <w:pPr>
              <w:numPr>
                <w:ilvl w:val="0"/>
                <w:numId w:val="3"/>
              </w:numPr>
            </w:pPr>
            <w:r>
              <w:t xml:space="preserve">Age ≥ 18 </w:t>
            </w:r>
            <w:proofErr w:type="gramStart"/>
            <w:r>
              <w:t>years;</w:t>
            </w:r>
            <w:proofErr w:type="gramEnd"/>
          </w:p>
          <w:p w14:paraId="1F004F32" w14:textId="77777777" w:rsidR="00140B5A" w:rsidRDefault="002771A1">
            <w:pPr>
              <w:numPr>
                <w:ilvl w:val="0"/>
                <w:numId w:val="3"/>
              </w:numPr>
            </w:pPr>
            <w:r>
              <w:t xml:space="preserve">Understand the study procedures and contents, and voluntarily sign the written informed consent </w:t>
            </w:r>
            <w:proofErr w:type="gramStart"/>
            <w:r>
              <w:t>form;</w:t>
            </w:r>
            <w:proofErr w:type="gramEnd"/>
          </w:p>
          <w:p w14:paraId="1F004F33" w14:textId="77777777" w:rsidR="00140B5A" w:rsidRDefault="002771A1">
            <w:pPr>
              <w:numPr>
                <w:ilvl w:val="0"/>
                <w:numId w:val="3"/>
              </w:numPr>
            </w:pPr>
            <w:r>
              <w:t xml:space="preserve">Histologically or cytologically confirmed cervical </w:t>
            </w:r>
            <w:proofErr w:type="gramStart"/>
            <w:r>
              <w:t>cancer;</w:t>
            </w:r>
            <w:proofErr w:type="gramEnd"/>
          </w:p>
          <w:p w14:paraId="1F004F34" w14:textId="77777777" w:rsidR="00140B5A" w:rsidRDefault="002771A1">
            <w:pPr>
              <w:numPr>
                <w:ilvl w:val="0"/>
                <w:numId w:val="3"/>
              </w:numPr>
            </w:pPr>
            <w:r>
              <w:t>Patients with recurrent or metastatic cervical cancer who meet any of the following criteria and cannot receive radiotherapy again or radical surgery: (1) patients with recurrent or metastatic cervical cancer treated with platinum-based regimen who have progressive disease (PD) during treatment, or patients who have responded to platinum-based regimen (CR/PR/SD) and have progressive disease after receiving treatment for ≥ 4 cycles, or patients who have intolerable toxicity caused by platinum after/completion of treatment during treatment and are not suitable for continued platinum-based regimen. (2) Progressive disease during or within 6 months of completion of platinum-based neoadjuvant or adjuvant chemotherapy (≥ 4 cycles).</w:t>
            </w:r>
          </w:p>
          <w:p w14:paraId="1F004F35" w14:textId="77777777" w:rsidR="00140B5A" w:rsidRDefault="002771A1">
            <w:pPr>
              <w:numPr>
                <w:ilvl w:val="0"/>
                <w:numId w:val="3"/>
              </w:numPr>
            </w:pPr>
            <w:r>
              <w:t xml:space="preserve">Subjects must have at least 1 measurable target lesion (lesion with the longest diameter ≥ 10 mm or lymph nodes with short diameter ≥ 15 mm) by CT or MRI per RECIST 1.1 </w:t>
            </w:r>
            <w:proofErr w:type="gramStart"/>
            <w:r>
              <w:t>criteria;</w:t>
            </w:r>
            <w:proofErr w:type="gramEnd"/>
          </w:p>
          <w:p w14:paraId="1F004F36" w14:textId="77777777" w:rsidR="00140B5A" w:rsidRDefault="002771A1">
            <w:pPr>
              <w:numPr>
                <w:ilvl w:val="0"/>
                <w:numId w:val="3"/>
              </w:numPr>
            </w:pPr>
            <w:r>
              <w:t xml:space="preserve">Expected survival ≥ 3 </w:t>
            </w:r>
            <w:proofErr w:type="gramStart"/>
            <w:r>
              <w:t>months;</w:t>
            </w:r>
            <w:proofErr w:type="gramEnd"/>
          </w:p>
          <w:p w14:paraId="1F004F37" w14:textId="77777777" w:rsidR="00140B5A" w:rsidRDefault="002771A1">
            <w:pPr>
              <w:numPr>
                <w:ilvl w:val="0"/>
                <w:numId w:val="3"/>
              </w:numPr>
            </w:pPr>
            <w:r>
              <w:t xml:space="preserve">ECOG score </w:t>
            </w:r>
            <w:proofErr w:type="gramStart"/>
            <w:r>
              <w:t>0-1;</w:t>
            </w:r>
            <w:proofErr w:type="gramEnd"/>
          </w:p>
          <w:p w14:paraId="1F004F38" w14:textId="77777777" w:rsidR="00140B5A" w:rsidRDefault="002771A1">
            <w:pPr>
              <w:numPr>
                <w:ilvl w:val="0"/>
                <w:numId w:val="3"/>
              </w:numPr>
            </w:pPr>
            <w:r>
              <w:t xml:space="preserve">Subjects are required to provide sufficient formalin-fixed paraffin-embedded (FFPE) specimens or sections (not less than 4 sections) prepared from archival or fresh tumor tissue that meet the criteria for testing and are willing to undergo tumor biopsy for PD-L1 testing if needed. Archival tissues must be representative tumor specimens within five years. If unstained serial sections (not less than 4 sections) prepared from FFPE specimens are provided, the preparation time shall be within half a year, and relevant pathology reports of the above specimens shall also be provided. Fresh tissue specimens will be obtained by surgical excision and biopsy. Biopsies will be obtained by core needle biopsy, endoscopic resection, or forceps biopsy </w:t>
            </w:r>
            <w:proofErr w:type="gramStart"/>
            <w:r>
              <w:t>( &gt;</w:t>
            </w:r>
            <w:proofErr w:type="gramEnd"/>
            <w:r>
              <w:t xml:space="preserve"> 100 sufficient tumor cells are to be ensured); fine needle aspiration and </w:t>
            </w:r>
            <w:proofErr w:type="spellStart"/>
            <w:r>
              <w:t>thinprep</w:t>
            </w:r>
            <w:proofErr w:type="spellEnd"/>
            <w:r>
              <w:t xml:space="preserve"> cytologic test (TCT) samples are not accepted (i.e., samples lacking complete tissue architecture to provide only cell suspension and/or cell smear); and decalcified bone metastasis tumor tissue samples are not accepted. For core biopsy specimens, a minimum of 3 single paraffin-embedded needle biopsy specimens will be submitted for evaluation. For patients who are PD-L1-negative in the initial archival tumor tissue sample, a biopsy may be performed at screening to provide paraffin blocks or sections prepared fresh from the tissue for retesting PD-L1 status, and any tumor tissue sample with a positive result is eligible for this study upon obtaining patient's </w:t>
            </w:r>
            <w:proofErr w:type="gramStart"/>
            <w:r>
              <w:t>consent;</w:t>
            </w:r>
            <w:proofErr w:type="gramEnd"/>
          </w:p>
          <w:p w14:paraId="1F004F39" w14:textId="77777777" w:rsidR="00140B5A" w:rsidRDefault="002771A1">
            <w:pPr>
              <w:numPr>
                <w:ilvl w:val="0"/>
                <w:numId w:val="3"/>
              </w:numPr>
            </w:pPr>
            <w:r>
              <w:t>Screening laboratory values must meet the following criteria:</w:t>
            </w:r>
          </w:p>
          <w:p w14:paraId="1F004F3A" w14:textId="77777777" w:rsidR="00140B5A" w:rsidRDefault="002771A1">
            <w:pPr>
              <w:numPr>
                <w:ilvl w:val="0"/>
                <w:numId w:val="4"/>
              </w:numPr>
            </w:pPr>
            <w:r>
              <w:t>Blood routine test (no blood transfusion, no G-CSF or no drug correction within 14 days before the test):</w:t>
            </w:r>
          </w:p>
          <w:p w14:paraId="1F004F3B" w14:textId="77777777" w:rsidR="00140B5A" w:rsidRDefault="002771A1">
            <w:pPr>
              <w:numPr>
                <w:ilvl w:val="0"/>
                <w:numId w:val="5"/>
              </w:numPr>
            </w:pPr>
            <w:r>
              <w:t>Hemoglobin (HGB) ≥ 90 g/</w:t>
            </w:r>
            <w:proofErr w:type="gramStart"/>
            <w:r>
              <w:t>L;</w:t>
            </w:r>
            <w:proofErr w:type="gramEnd"/>
          </w:p>
          <w:p w14:paraId="1F004F3C" w14:textId="77777777" w:rsidR="00140B5A" w:rsidRDefault="002771A1">
            <w:pPr>
              <w:numPr>
                <w:ilvl w:val="0"/>
                <w:numId w:val="5"/>
              </w:numPr>
            </w:pPr>
            <w:r>
              <w:t>Absolute neutrophil count (ANC) ≥ 1.5 x 10</w:t>
            </w:r>
            <w:r>
              <w:rPr>
                <w:vertAlign w:val="superscript"/>
              </w:rPr>
              <w:t>9</w:t>
            </w:r>
            <w:r>
              <w:t>/</w:t>
            </w:r>
            <w:proofErr w:type="gramStart"/>
            <w:r>
              <w:t>L;</w:t>
            </w:r>
            <w:proofErr w:type="gramEnd"/>
          </w:p>
          <w:p w14:paraId="1F004F3D" w14:textId="77777777" w:rsidR="00140B5A" w:rsidRDefault="002771A1">
            <w:pPr>
              <w:numPr>
                <w:ilvl w:val="0"/>
                <w:numId w:val="5"/>
              </w:numPr>
            </w:pPr>
            <w:r>
              <w:t>Platelet (PLT) ≥ 100 × 10</w:t>
            </w:r>
            <w:r>
              <w:rPr>
                <w:vertAlign w:val="superscript"/>
              </w:rPr>
              <w:t>9</w:t>
            </w:r>
            <w:r>
              <w:t>/</w:t>
            </w:r>
            <w:proofErr w:type="gramStart"/>
            <w:r>
              <w:t>L;</w:t>
            </w:r>
            <w:proofErr w:type="gramEnd"/>
          </w:p>
          <w:p w14:paraId="1F004F3E" w14:textId="77777777" w:rsidR="00140B5A" w:rsidRDefault="002771A1">
            <w:pPr>
              <w:numPr>
                <w:ilvl w:val="0"/>
                <w:numId w:val="4"/>
              </w:numPr>
            </w:pPr>
            <w:r>
              <w:t>Biochemistry</w:t>
            </w:r>
          </w:p>
          <w:p w14:paraId="1F004F3F" w14:textId="77777777" w:rsidR="00140B5A" w:rsidRDefault="002771A1">
            <w:pPr>
              <w:numPr>
                <w:ilvl w:val="0"/>
                <w:numId w:val="6"/>
              </w:numPr>
            </w:pPr>
            <w:r>
              <w:t>Total bilirubin (TBIL) ≤ 1.5 × ULN (Gilbert syndrome allowed ≤ 5 × ULN</w:t>
            </w:r>
            <w:proofErr w:type="gramStart"/>
            <w:r>
              <w:t>);</w:t>
            </w:r>
            <w:proofErr w:type="gramEnd"/>
          </w:p>
          <w:p w14:paraId="1F004F40" w14:textId="77777777" w:rsidR="00140B5A" w:rsidRDefault="002771A1">
            <w:pPr>
              <w:numPr>
                <w:ilvl w:val="0"/>
                <w:numId w:val="6"/>
              </w:numPr>
            </w:pPr>
            <w:r>
              <w:t>Alanine aminotransferase (ALT) and aspartate aminotransferase (AST) ≤ 2.5 × ULN (ALT and AST ≤ 5 × ULN if liver metastases are present</w:t>
            </w:r>
            <w:proofErr w:type="gramStart"/>
            <w:r>
              <w:t>);</w:t>
            </w:r>
            <w:proofErr w:type="gramEnd"/>
          </w:p>
          <w:p w14:paraId="1F004F41" w14:textId="77777777" w:rsidR="00140B5A" w:rsidRDefault="002771A1">
            <w:pPr>
              <w:numPr>
                <w:ilvl w:val="0"/>
                <w:numId w:val="6"/>
              </w:numPr>
            </w:pPr>
            <w:r>
              <w:t>Serum creatinine (Cr) ≤ 1.5 × ULN or endogenous creatinine clearance ≥ 50 mL/min (Cockcroft-Gault formula</w:t>
            </w:r>
            <w:proofErr w:type="gramStart"/>
            <w:r>
              <w:t>);</w:t>
            </w:r>
            <w:proofErr w:type="gramEnd"/>
          </w:p>
          <w:p w14:paraId="1F004F42" w14:textId="77777777" w:rsidR="00140B5A" w:rsidRDefault="002771A1">
            <w:pPr>
              <w:numPr>
                <w:ilvl w:val="0"/>
                <w:numId w:val="3"/>
              </w:numPr>
            </w:pPr>
            <w:r>
              <w:t xml:space="preserve">Thyroid function indicators: thyroid stimulating hormone (TSH) and free thyroxine (FT3/FT4) within normal range; if TSH is not within normal range, FT3/FT4 can be included within normal </w:t>
            </w:r>
            <w:proofErr w:type="gramStart"/>
            <w:r>
              <w:t>range;</w:t>
            </w:r>
            <w:proofErr w:type="gramEnd"/>
          </w:p>
          <w:p w14:paraId="1F004F43" w14:textId="77777777" w:rsidR="00140B5A" w:rsidRDefault="002771A1">
            <w:pPr>
              <w:numPr>
                <w:ilvl w:val="0"/>
                <w:numId w:val="3"/>
              </w:numPr>
            </w:pPr>
            <w:r>
              <w:lastRenderedPageBreak/>
              <w:t xml:space="preserve">Non-pregnant women confirmed within 7 days prior to study medication; women of childbearing potential must agree to use medically recognized effective contraception throughout the study and 6 months after the end of the </w:t>
            </w:r>
            <w:proofErr w:type="gramStart"/>
            <w:r>
              <w:t>study;</w:t>
            </w:r>
            <w:proofErr w:type="gramEnd"/>
          </w:p>
          <w:p w14:paraId="1F004F44" w14:textId="77777777" w:rsidR="00140B5A" w:rsidRDefault="002771A1">
            <w:pPr>
              <w:numPr>
                <w:ilvl w:val="0"/>
                <w:numId w:val="3"/>
              </w:numPr>
            </w:pPr>
            <w:r>
              <w:t xml:space="preserve">Subjects can be followed up </w:t>
            </w:r>
            <w:proofErr w:type="gramStart"/>
            <w:r>
              <w:t>regularly, and</w:t>
            </w:r>
            <w:proofErr w:type="gramEnd"/>
            <w:r>
              <w:t xml:space="preserve"> can communicate well with the investigator and complete the study according to the provisions of this study.</w:t>
            </w:r>
          </w:p>
          <w:p w14:paraId="1F004F45" w14:textId="77777777" w:rsidR="00140B5A" w:rsidRDefault="00140B5A"/>
          <w:p w14:paraId="1F004F46" w14:textId="41498550" w:rsidR="00140B5A" w:rsidRPr="00231AB3" w:rsidRDefault="00231AB3">
            <w:pPr>
              <w:widowControl/>
              <w:jc w:val="left"/>
            </w:pPr>
            <w:r w:rsidRPr="00231AB3">
              <w:rPr>
                <w:rFonts w:ascii="TimesNewRomanPS-BoldMT" w:eastAsia="TimesNewRomanPS-BoldMT" w:hAnsi="TimesNewRomanPS-BoldMT" w:cs="TimesNewRomanPS-BoldMT"/>
                <w:b/>
                <w:color w:val="000000"/>
                <w:kern w:val="0"/>
                <w:lang w:bidi="ar"/>
              </w:rPr>
              <w:t>C</w:t>
            </w:r>
            <w:r w:rsidR="002771A1" w:rsidRPr="00231AB3">
              <w:rPr>
                <w:rFonts w:ascii="TimesNewRomanPS-BoldMT" w:eastAsia="TimesNewRomanPS-BoldMT" w:hAnsi="TimesNewRomanPS-BoldMT" w:cs="TimesNewRomanPS-BoldMT"/>
                <w:b/>
                <w:color w:val="000000"/>
                <w:kern w:val="0"/>
                <w:lang w:bidi="ar"/>
              </w:rPr>
              <w:t xml:space="preserve">riteria </w:t>
            </w:r>
            <w:r w:rsidRPr="00231AB3">
              <w:rPr>
                <w:rFonts w:ascii="TimesNewRomanPS-BoldMT" w:eastAsia="TimesNewRomanPS-BoldMT" w:hAnsi="TimesNewRomanPS-BoldMT" w:cs="TimesNewRomanPS-BoldMT" w:hint="eastAsia"/>
                <w:b/>
                <w:color w:val="000000"/>
                <w:kern w:val="0"/>
                <w:lang w:bidi="ar"/>
              </w:rPr>
              <w:t>for</w:t>
            </w:r>
            <w:r w:rsidRPr="00231AB3">
              <w:rPr>
                <w:rFonts w:ascii="TimesNewRomanPS-BoldMT" w:eastAsia="TimesNewRomanPS-BoldMT" w:hAnsi="TimesNewRomanPS-BoldMT" w:cs="TimesNewRomanPS-BoldMT"/>
                <w:b/>
                <w:color w:val="000000"/>
                <w:kern w:val="0"/>
                <w:lang w:bidi="ar"/>
              </w:rPr>
              <w:t xml:space="preserve"> </w:t>
            </w:r>
            <w:r w:rsidRPr="00231AB3">
              <w:rPr>
                <w:rFonts w:ascii="TimesNewRomanPS-BoldMT" w:eastAsia="TimesNewRomanPS-BoldMT" w:hAnsi="TimesNewRomanPS-BoldMT" w:cs="TimesNewRomanPS-BoldMT" w:hint="eastAsia"/>
                <w:b/>
                <w:color w:val="000000"/>
                <w:kern w:val="0"/>
                <w:lang w:bidi="ar"/>
              </w:rPr>
              <w:t>e</w:t>
            </w:r>
            <w:r w:rsidRPr="00231AB3">
              <w:rPr>
                <w:rFonts w:ascii="TimesNewRomanPS-BoldMT" w:eastAsia="TimesNewRomanPS-BoldMT" w:hAnsi="TimesNewRomanPS-BoldMT" w:cs="TimesNewRomanPS-BoldMT"/>
                <w:b/>
                <w:color w:val="000000"/>
                <w:kern w:val="0"/>
                <w:lang w:bidi="ar"/>
              </w:rPr>
              <w:t>xclusion</w:t>
            </w:r>
          </w:p>
          <w:p w14:paraId="1F004F47" w14:textId="77777777" w:rsidR="00140B5A" w:rsidRDefault="002771A1">
            <w:r>
              <w:t xml:space="preserve">Those meeting one of the following conditions will not be included in this study. </w:t>
            </w:r>
          </w:p>
          <w:p w14:paraId="1F004F48" w14:textId="03962771" w:rsidR="00140B5A" w:rsidRDefault="002771A1" w:rsidP="00850DDD">
            <w:pPr>
              <w:numPr>
                <w:ilvl w:val="0"/>
                <w:numId w:val="7"/>
              </w:numPr>
            </w:pPr>
            <w:r>
              <w:t xml:space="preserve">Patients with other prior malignancies (except cured basal cell or squamous cell carcinoma of the skin) are excluded from participating in this study unless they had a complete response of at least 5 years prior to the enrollment and are not expected to require additional anticancer therapy throughout the </w:t>
            </w:r>
            <w:proofErr w:type="gramStart"/>
            <w:r>
              <w:t>study;</w:t>
            </w:r>
            <w:proofErr w:type="gramEnd"/>
            <w:r>
              <w:t xml:space="preserve"> </w:t>
            </w:r>
          </w:p>
          <w:p w14:paraId="3FD5F311" w14:textId="77777777" w:rsidR="00FD0B82" w:rsidRDefault="002771A1" w:rsidP="00FD0B82">
            <w:pPr>
              <w:numPr>
                <w:ilvl w:val="0"/>
                <w:numId w:val="7"/>
              </w:numPr>
            </w:pPr>
            <w:r>
              <w:t xml:space="preserve">Active central nervous system (CNS) metastasis, including symptomatic brain metastasis, meningeal metastasis or spinal cord compression; asymptomatic brain metastasis can be enrolled (no progression within at least 4 weeks after radiotherapy and/no neurological symptoms or signs after surgical resection, and treatment with glucocorticoids, </w:t>
            </w:r>
            <w:r w:rsidRPr="007B217C">
              <w:t>anticonvulsants or mannitol is not required</w:t>
            </w:r>
            <w:proofErr w:type="gramStart"/>
            <w:r w:rsidRPr="007B217C">
              <w:t>);</w:t>
            </w:r>
            <w:proofErr w:type="gramEnd"/>
            <w:r w:rsidRPr="007B217C">
              <w:t xml:space="preserve"> </w:t>
            </w:r>
          </w:p>
          <w:p w14:paraId="34D32B88" w14:textId="77777777" w:rsidR="00FD0B82" w:rsidRDefault="002771A1" w:rsidP="00FD0B82">
            <w:pPr>
              <w:numPr>
                <w:ilvl w:val="0"/>
                <w:numId w:val="7"/>
              </w:numPr>
            </w:pPr>
            <w:r w:rsidRPr="007B217C">
              <w:t xml:space="preserve">Systemic chemotherapy, radical/extensive radiotherapy, targeted therapy, anti-tumor biological therapy (such as tumor vaccines, cytokines or growth factors) within 28 days or local palliative radiotherapy 14 days prior to the investigational drug </w:t>
            </w:r>
            <w:proofErr w:type="gramStart"/>
            <w:r w:rsidRPr="007B217C">
              <w:t>administration;</w:t>
            </w:r>
            <w:proofErr w:type="gramEnd"/>
            <w:r w:rsidRPr="007B217C">
              <w:t xml:space="preserve"> </w:t>
            </w:r>
          </w:p>
          <w:p w14:paraId="64ED9EF9" w14:textId="77777777" w:rsidR="00FD0B82" w:rsidRDefault="002771A1" w:rsidP="00FD0B82">
            <w:pPr>
              <w:numPr>
                <w:ilvl w:val="0"/>
                <w:numId w:val="7"/>
              </w:numPr>
            </w:pPr>
            <w:r w:rsidRPr="007B217C">
              <w:t>Insufficient elimination of the effects of major surgery or serious trauma 14 days prior to the investigational drug administration (except for skin under local anesthesia or percutaneous biopsy performed within 7 days and recovered</w:t>
            </w:r>
            <w:proofErr w:type="gramStart"/>
            <w:r w:rsidRPr="007B217C">
              <w:t>);</w:t>
            </w:r>
            <w:proofErr w:type="gramEnd"/>
            <w:r w:rsidRPr="007B217C">
              <w:t xml:space="preserve"> </w:t>
            </w:r>
          </w:p>
          <w:p w14:paraId="5CE1F5A5" w14:textId="77777777" w:rsidR="00FD0B82" w:rsidRDefault="002771A1" w:rsidP="00FD0B82">
            <w:pPr>
              <w:numPr>
                <w:ilvl w:val="0"/>
                <w:numId w:val="7"/>
              </w:numPr>
            </w:pPr>
            <w:r w:rsidRPr="007B217C">
              <w:t xml:space="preserve">Systemic corticosteroids (prednisone &gt; 10 mg/day or equivalent) or other immunosuppressive agents within 14 days prior to the investigational drug </w:t>
            </w:r>
            <w:proofErr w:type="gramStart"/>
            <w:r w:rsidRPr="007B217C">
              <w:t>administration;</w:t>
            </w:r>
            <w:proofErr w:type="gramEnd"/>
            <w:r w:rsidRPr="007B217C">
              <w:t xml:space="preserve"> </w:t>
            </w:r>
          </w:p>
          <w:p w14:paraId="1F004F58" w14:textId="16447FA7" w:rsidR="00140B5A" w:rsidRDefault="002771A1" w:rsidP="00FD0B82">
            <w:pPr>
              <w:numPr>
                <w:ilvl w:val="0"/>
                <w:numId w:val="7"/>
              </w:numPr>
            </w:pPr>
            <w:r w:rsidRPr="007B217C">
              <w:t xml:space="preserve">History of active, known autoimmune disease, including, but not limited to, systemic lupus erythematosus, psoriasis, rheumatoid arthritis, inflammatory bowel disease, etc., with the exception </w:t>
            </w:r>
            <w:proofErr w:type="gramStart"/>
            <w:r w:rsidRPr="007B217C">
              <w:t>of:</w:t>
            </w:r>
            <w:proofErr w:type="gramEnd"/>
            <w:r w:rsidRPr="007B217C">
              <w:t xml:space="preserve"> type I diabetes mellitus, hypothyroidism that can be controlled by hormone replacement therapy alone (e.g., Hashimoto's thyroiditis) and meeting the inclusion criteria 10, skin diseases not requiring systemic therapy (e.g., vitiligo), and controlled celiac disease; </w:t>
            </w:r>
          </w:p>
          <w:p w14:paraId="75DBF266" w14:textId="77777777" w:rsidR="002771A1" w:rsidRDefault="002771A1" w:rsidP="002771A1">
            <w:pPr>
              <w:numPr>
                <w:ilvl w:val="0"/>
                <w:numId w:val="7"/>
              </w:numPr>
            </w:pPr>
            <w:r w:rsidRPr="007B217C">
              <w:t xml:space="preserve">Co-morbidities requiring treatment with immunosuppressive drugs or requiring systemic treatment at doses associated with immunosuppressive effects (prednisone &gt; 10 mg/day or equivalent doses of similar drugs); inhaled or topical steroids and doses of prednisone &gt; 10 mg/day or equivalent doses of similar drugs are permitted in the absence of active autoimmune </w:t>
            </w:r>
            <w:proofErr w:type="gramStart"/>
            <w:r w:rsidRPr="007B217C">
              <w:t>disease;</w:t>
            </w:r>
            <w:proofErr w:type="gramEnd"/>
            <w:r w:rsidRPr="007B217C">
              <w:t xml:space="preserve"> </w:t>
            </w:r>
          </w:p>
          <w:p w14:paraId="7931BDEA" w14:textId="77777777" w:rsidR="002771A1" w:rsidRDefault="002771A1" w:rsidP="002771A1">
            <w:pPr>
              <w:numPr>
                <w:ilvl w:val="0"/>
                <w:numId w:val="7"/>
              </w:numPr>
            </w:pPr>
            <w:r w:rsidRPr="007B217C">
              <w:t xml:space="preserve">Patients with inadequately controlled hypertension or pulmonary hypertension or unstable angina as assessed by the investigator; myocardial infarction or bypass surgery or stent surgery within 6 months prior to dosing; history of chronic heart failure meeting the New York Heart Association (NYHA) criteria 3-4; clinically significant valvular disease; serious cardiac arrhythmia requiring treatment, including QTc interval ≥ 470 </w:t>
            </w:r>
            <w:proofErr w:type="spellStart"/>
            <w:r w:rsidRPr="007B217C">
              <w:t>ms</w:t>
            </w:r>
            <w:proofErr w:type="spellEnd"/>
            <w:r w:rsidRPr="007B217C">
              <w:t xml:space="preserve"> (calculated by Fridericia formula); left ventricular ejection fraction (LVEF) &lt; 50%; Cerebrovascular accident (CVA) or transient ischemic attack (TIA) within 6 months prior to dosing; </w:t>
            </w:r>
          </w:p>
          <w:p w14:paraId="1B64E6C6" w14:textId="77777777" w:rsidR="002771A1" w:rsidRDefault="002771A1" w:rsidP="002771A1">
            <w:pPr>
              <w:numPr>
                <w:ilvl w:val="0"/>
                <w:numId w:val="7"/>
              </w:numPr>
            </w:pPr>
            <w:r w:rsidRPr="007B217C">
              <w:t xml:space="preserve">Combined with other serious medical diseases, including but not limited </w:t>
            </w:r>
            <w:proofErr w:type="gramStart"/>
            <w:r w:rsidRPr="007B217C">
              <w:t>to:</w:t>
            </w:r>
            <w:proofErr w:type="gramEnd"/>
            <w:r w:rsidRPr="007B217C">
              <w:t xml:space="preserve"> uncontrolled diabetes, active gastrointestinal ulcers, active bleeding, etc.; </w:t>
            </w:r>
          </w:p>
          <w:p w14:paraId="6274EA29" w14:textId="77777777" w:rsidR="002771A1" w:rsidRDefault="002771A1" w:rsidP="002771A1">
            <w:pPr>
              <w:numPr>
                <w:ilvl w:val="0"/>
                <w:numId w:val="7"/>
              </w:numPr>
            </w:pPr>
            <w:r w:rsidRPr="007B217C">
              <w:t xml:space="preserve">Current active infection requiring systemic </w:t>
            </w:r>
            <w:proofErr w:type="gramStart"/>
            <w:r w:rsidRPr="007B217C">
              <w:t>therapy;</w:t>
            </w:r>
            <w:proofErr w:type="gramEnd"/>
            <w:r w:rsidRPr="007B217C">
              <w:t xml:space="preserve"> </w:t>
            </w:r>
          </w:p>
          <w:p w14:paraId="76E5EED2" w14:textId="77777777" w:rsidR="002771A1" w:rsidRDefault="002771A1" w:rsidP="002771A1">
            <w:pPr>
              <w:numPr>
                <w:ilvl w:val="0"/>
                <w:numId w:val="7"/>
              </w:numPr>
            </w:pPr>
            <w:r w:rsidRPr="007B217C">
              <w:t>Active tuberculosis infection (clinical evaluation includes clinical history, physical examination and imaging findings, or tuberculosis examination according to local infectious disease specialist</w:t>
            </w:r>
            <w:proofErr w:type="gramStart"/>
            <w:r w:rsidRPr="007B217C">
              <w:t>);</w:t>
            </w:r>
            <w:proofErr w:type="gramEnd"/>
            <w:r w:rsidRPr="007B217C">
              <w:t xml:space="preserve"> </w:t>
            </w:r>
          </w:p>
          <w:p w14:paraId="015BC645" w14:textId="77777777" w:rsidR="002771A1" w:rsidRDefault="002771A1" w:rsidP="002771A1">
            <w:pPr>
              <w:numPr>
                <w:ilvl w:val="0"/>
                <w:numId w:val="7"/>
              </w:numPr>
            </w:pPr>
            <w:r w:rsidRPr="007B217C">
              <w:t xml:space="preserve">Previous history of interstitial lung </w:t>
            </w:r>
            <w:proofErr w:type="gramStart"/>
            <w:r w:rsidRPr="007B217C">
              <w:t>disease;</w:t>
            </w:r>
            <w:proofErr w:type="gramEnd"/>
            <w:r w:rsidRPr="007B217C">
              <w:t xml:space="preserve"> </w:t>
            </w:r>
          </w:p>
          <w:p w14:paraId="60E5E863" w14:textId="77777777" w:rsidR="002771A1" w:rsidRDefault="002771A1" w:rsidP="002771A1">
            <w:pPr>
              <w:numPr>
                <w:ilvl w:val="0"/>
                <w:numId w:val="7"/>
              </w:numPr>
            </w:pPr>
            <w:r w:rsidRPr="007B217C">
              <w:lastRenderedPageBreak/>
              <w:t xml:space="preserve">Symptomatic uncontrolled serous effusions such as abdominal, pleural, or pericardial </w:t>
            </w:r>
            <w:proofErr w:type="gramStart"/>
            <w:r w:rsidRPr="007B217C">
              <w:t>effusions;</w:t>
            </w:r>
            <w:proofErr w:type="gramEnd"/>
            <w:r w:rsidRPr="007B217C">
              <w:t xml:space="preserve"> </w:t>
            </w:r>
          </w:p>
          <w:p w14:paraId="75C16A5C" w14:textId="77777777" w:rsidR="002771A1" w:rsidRDefault="002771A1" w:rsidP="002771A1">
            <w:pPr>
              <w:numPr>
                <w:ilvl w:val="0"/>
                <w:numId w:val="7"/>
              </w:numPr>
            </w:pPr>
            <w:r w:rsidRPr="007B217C">
              <w:t xml:space="preserve">Human immunodeficiency virus antibody (HIV-Ab) positive; active syphilis infection; hepatitis C antibody (HCV-Ab) positive, and hepatitis C virus RNA quantification &gt; upper limit of normal value of the detection unit; hepatitis B virus surface antigen (HBsAg) positive, with HBV DNA positive (&gt; 500 copies/mL or &gt; 100 IU/mL) must also take anti-hepatitis B virus drugs, and the investigator determines that patients with stable disease can be enrolled; </w:t>
            </w:r>
          </w:p>
          <w:p w14:paraId="06A08E49" w14:textId="77777777" w:rsidR="002771A1" w:rsidRDefault="002771A1" w:rsidP="002771A1">
            <w:pPr>
              <w:numPr>
                <w:ilvl w:val="0"/>
                <w:numId w:val="7"/>
              </w:numPr>
            </w:pPr>
            <w:r w:rsidRPr="007B217C">
              <w:t>Adverse reactions caused by previous treatment have not recovered to Grade 1 or below (CTCAE 5.0) (except alopecia and Grade 2 neurotoxicity caused by chemotherapeutic drugs</w:t>
            </w:r>
            <w:proofErr w:type="gramStart"/>
            <w:r w:rsidRPr="007B217C">
              <w:t>);</w:t>
            </w:r>
            <w:proofErr w:type="gramEnd"/>
            <w:r w:rsidRPr="007B217C">
              <w:t xml:space="preserve"> </w:t>
            </w:r>
          </w:p>
          <w:p w14:paraId="4D511BFB" w14:textId="77777777" w:rsidR="002771A1" w:rsidRDefault="002771A1" w:rsidP="002771A1">
            <w:pPr>
              <w:numPr>
                <w:ilvl w:val="0"/>
                <w:numId w:val="7"/>
              </w:numPr>
            </w:pPr>
            <w:r w:rsidRPr="007B217C">
              <w:t xml:space="preserve">Previously treated with anti-PD-1 antibody, anti- PD-L1 antibody, anti- PD-L2 antibody, or anti-CTLA-4 antibody (or any other antibody acting on T cell </w:t>
            </w:r>
            <w:proofErr w:type="spellStart"/>
            <w:r w:rsidRPr="007B217C">
              <w:t>costimulation</w:t>
            </w:r>
            <w:proofErr w:type="spellEnd"/>
            <w:r w:rsidRPr="007B217C">
              <w:t xml:space="preserve"> or checkpoint pathways</w:t>
            </w:r>
            <w:proofErr w:type="gramStart"/>
            <w:r w:rsidRPr="007B217C">
              <w:t>);</w:t>
            </w:r>
            <w:proofErr w:type="gramEnd"/>
            <w:r w:rsidRPr="007B217C">
              <w:t xml:space="preserve"> </w:t>
            </w:r>
          </w:p>
          <w:p w14:paraId="38A6F675" w14:textId="77777777" w:rsidR="002771A1" w:rsidRDefault="002771A1" w:rsidP="002771A1">
            <w:pPr>
              <w:numPr>
                <w:ilvl w:val="0"/>
                <w:numId w:val="7"/>
              </w:numPr>
            </w:pPr>
            <w:r w:rsidRPr="007B217C">
              <w:t xml:space="preserve">Live or attenuated vaccine(s) was (were) used within 28 days prior to the investigational drug </w:t>
            </w:r>
            <w:proofErr w:type="gramStart"/>
            <w:r w:rsidRPr="007B217C">
              <w:t>administration;</w:t>
            </w:r>
            <w:proofErr w:type="gramEnd"/>
            <w:r w:rsidRPr="007B217C">
              <w:t xml:space="preserve"> </w:t>
            </w:r>
          </w:p>
          <w:p w14:paraId="13B28538" w14:textId="77777777" w:rsidR="002771A1" w:rsidRDefault="002771A1" w:rsidP="002771A1">
            <w:pPr>
              <w:numPr>
                <w:ilvl w:val="0"/>
                <w:numId w:val="7"/>
              </w:numPr>
            </w:pPr>
            <w:r w:rsidRPr="007B217C">
              <w:t xml:space="preserve">Treatment with other investigational drugs or investigational devices within 30 days prior to the investigational drug </w:t>
            </w:r>
            <w:proofErr w:type="gramStart"/>
            <w:r w:rsidRPr="007B217C">
              <w:t>administration;</w:t>
            </w:r>
            <w:proofErr w:type="gramEnd"/>
          </w:p>
          <w:p w14:paraId="753E2B2E" w14:textId="77777777" w:rsidR="002771A1" w:rsidRDefault="002771A1" w:rsidP="002771A1">
            <w:pPr>
              <w:numPr>
                <w:ilvl w:val="0"/>
                <w:numId w:val="7"/>
              </w:numPr>
            </w:pPr>
            <w:r w:rsidRPr="007B217C">
              <w:t xml:space="preserve">History of drug addiction or drug abuse upon </w:t>
            </w:r>
            <w:proofErr w:type="gramStart"/>
            <w:r w:rsidRPr="007B217C">
              <w:t>inquiry;</w:t>
            </w:r>
            <w:proofErr w:type="gramEnd"/>
            <w:r w:rsidRPr="007B217C">
              <w:t xml:space="preserve"> </w:t>
            </w:r>
          </w:p>
          <w:p w14:paraId="6FCD4181" w14:textId="77777777" w:rsidR="002771A1" w:rsidRDefault="002771A1" w:rsidP="002771A1">
            <w:pPr>
              <w:numPr>
                <w:ilvl w:val="0"/>
                <w:numId w:val="7"/>
              </w:numPr>
            </w:pPr>
            <w:r w:rsidRPr="007B217C">
              <w:t xml:space="preserve">Patients with a clear history of neurological or psychiatric disorders, such as epilepsy, dementia, and poor </w:t>
            </w:r>
            <w:proofErr w:type="gramStart"/>
            <w:r w:rsidRPr="007B217C">
              <w:t>compliance;</w:t>
            </w:r>
            <w:proofErr w:type="gramEnd"/>
            <w:r w:rsidRPr="007B217C">
              <w:t xml:space="preserve"> </w:t>
            </w:r>
          </w:p>
          <w:p w14:paraId="4EE5D1BE" w14:textId="77777777" w:rsidR="002771A1" w:rsidRDefault="002771A1" w:rsidP="002771A1">
            <w:pPr>
              <w:numPr>
                <w:ilvl w:val="0"/>
                <w:numId w:val="7"/>
              </w:numPr>
            </w:pPr>
            <w:r w:rsidRPr="007B217C">
              <w:t xml:space="preserve">Breastfeeding women who do not agree to discontinue </w:t>
            </w:r>
            <w:proofErr w:type="gramStart"/>
            <w:r w:rsidRPr="007B217C">
              <w:t>breastfeeding;</w:t>
            </w:r>
            <w:proofErr w:type="gramEnd"/>
            <w:r w:rsidRPr="007B217C">
              <w:t xml:space="preserve"> </w:t>
            </w:r>
          </w:p>
          <w:p w14:paraId="5E5A2BB1" w14:textId="77777777" w:rsidR="002771A1" w:rsidRDefault="002771A1" w:rsidP="007B217C">
            <w:pPr>
              <w:numPr>
                <w:ilvl w:val="0"/>
                <w:numId w:val="7"/>
              </w:numPr>
            </w:pPr>
            <w:r w:rsidRPr="007B217C">
              <w:t xml:space="preserve">Known hypersensitivity to recombinant humanized PD-1 monoclonal antibody or any of its excipients; known history of allergic disease or severe allergic </w:t>
            </w:r>
            <w:proofErr w:type="gramStart"/>
            <w:r w:rsidRPr="007B217C">
              <w:t>constitution;</w:t>
            </w:r>
            <w:proofErr w:type="gramEnd"/>
            <w:r w:rsidRPr="007B217C">
              <w:t xml:space="preserve"> </w:t>
            </w:r>
          </w:p>
          <w:p w14:paraId="1F004F87" w14:textId="50EE3AFF" w:rsidR="00140B5A" w:rsidRPr="007B217C" w:rsidRDefault="002771A1" w:rsidP="007B217C">
            <w:pPr>
              <w:numPr>
                <w:ilvl w:val="0"/>
                <w:numId w:val="7"/>
              </w:numPr>
            </w:pPr>
            <w:r w:rsidRPr="007B217C">
              <w:t>The investigator considers that he/she is not suitable for participating in this clinical trial for various other reasons.</w:t>
            </w:r>
          </w:p>
        </w:tc>
      </w:tr>
    </w:tbl>
    <w:p w14:paraId="1F004F89" w14:textId="77777777" w:rsidR="00140B5A" w:rsidRDefault="00140B5A"/>
    <w:sectPr w:rsidR="00140B5A">
      <w:footerReference w:type="default" r:id="rId8"/>
      <w:headerReference w:type="first" r:id="rId9"/>
      <w:pgSz w:w="11906" w:h="16838"/>
      <w:pgMar w:top="1440" w:right="1080" w:bottom="1440" w:left="108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30CB1" w14:textId="77777777" w:rsidR="0077295C" w:rsidRDefault="0077295C">
      <w:r>
        <w:separator/>
      </w:r>
    </w:p>
  </w:endnote>
  <w:endnote w:type="continuationSeparator" w:id="0">
    <w:p w14:paraId="3B9D68B7" w14:textId="77777777" w:rsidR="0077295C" w:rsidRDefault="0077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ACFF" w:usb2="00000009" w:usb3="00000000" w:csb0="000001FF" w:csb1="00000000"/>
  </w:font>
  <w:font w:name="仿宋_GB2312">
    <w:altName w:val="微软雅黑"/>
    <w:panose1 w:val="020B0604020202020204"/>
    <w:charset w:val="86"/>
    <w:family w:val="modern"/>
    <w:pitch w:val="default"/>
    <w:sig w:usb0="00000000" w:usb1="00000000" w:usb2="00000016" w:usb3="00000000" w:csb0="00040001" w:csb1="00000000"/>
  </w:font>
  <w:font w:name="楷体_GB2312">
    <w:altName w:val="微软雅黑"/>
    <w:panose1 w:val="020B0604020202020204"/>
    <w:charset w:val="86"/>
    <w:family w:val="modern"/>
    <w:pitch w:val="default"/>
    <w:sig w:usb0="00000000" w:usb1="00000000" w:usb2="00000010" w:usb3="00000000" w:csb0="00040000" w:csb1="00000000"/>
  </w:font>
  <w:font w:name="华文细黑">
    <w:altName w:val="STXihei"/>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6FF" w:usb1="4000FCFF" w:usb2="00000009" w:usb3="00000000" w:csb0="0000019F" w:csb1="00000000"/>
  </w:font>
  <w:font w:name="华文楷体">
    <w:altName w:val="STKaiti"/>
    <w:panose1 w:val="02010600040101010101"/>
    <w:charset w:val="86"/>
    <w:family w:val="auto"/>
    <w:pitch w:val="variable"/>
    <w:sig w:usb0="80000287" w:usb1="280F3C52" w:usb2="00000016" w:usb3="00000000" w:csb0="0004001F" w:csb1="00000000"/>
  </w:font>
  <w:font w:name="Helvetica">
    <w:panose1 w:val="00000000000000000000"/>
    <w:charset w:val="00"/>
    <w:family w:val="auto"/>
    <w:pitch w:val="variable"/>
    <w:sig w:usb0="E00002FF" w:usb1="5000785B" w:usb2="00000000" w:usb3="00000000" w:csb0="0000019F" w:csb1="00000000"/>
  </w:font>
  <w:font w:name="TimesNewRomanPS-BoldMT">
    <w:altName w:val="Times New Roman"/>
    <w:panose1 w:val="020B06040202020202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465362"/>
    </w:sdtPr>
    <w:sdtContent>
      <w:p w14:paraId="1F004F8A" w14:textId="77777777" w:rsidR="00140B5A" w:rsidRDefault="002771A1">
        <w:pPr>
          <w:pStyle w:val="af6"/>
          <w:jc w:val="center"/>
        </w:pPr>
        <w:r>
          <w:fldChar w:fldCharType="begin"/>
        </w:r>
        <w:r>
          <w:instrText>PAGE   \* MERGEFORMAT</w:instrText>
        </w:r>
        <w:r>
          <w:fldChar w:fldCharType="separate"/>
        </w:r>
        <w:r>
          <w:rPr>
            <w:lang w:val="zh-CN"/>
          </w:rPr>
          <w:t>1</w:t>
        </w:r>
        <w:r>
          <w:fldChar w:fldCharType="end"/>
        </w:r>
      </w:p>
    </w:sdtContent>
  </w:sdt>
  <w:p w14:paraId="1F004F8B" w14:textId="77777777" w:rsidR="00140B5A" w:rsidRDefault="00140B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B7C3A" w14:textId="77777777" w:rsidR="0077295C" w:rsidRDefault="0077295C">
      <w:r>
        <w:separator/>
      </w:r>
    </w:p>
  </w:footnote>
  <w:footnote w:type="continuationSeparator" w:id="0">
    <w:p w14:paraId="0BBDC982" w14:textId="77777777" w:rsidR="0077295C" w:rsidRDefault="0077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4F8C" w14:textId="77777777" w:rsidR="00140B5A" w:rsidRDefault="002771A1">
    <w:pPr>
      <w:pStyle w:val="af8"/>
      <w:adjustRightInd w:val="0"/>
      <w:jc w:val="left"/>
      <w:rPr>
        <w:rFonts w:eastAsiaTheme="minorEastAsia"/>
        <w:sz w:val="20"/>
        <w:szCs w:val="20"/>
      </w:rPr>
    </w:pPr>
    <w:r>
      <w:rPr>
        <w:rFonts w:eastAsiaTheme="minorEastAsia"/>
        <w:sz w:val="20"/>
        <w:szCs w:val="20"/>
      </w:rPr>
      <w:t>药物名称：</w:t>
    </w:r>
    <w:r>
      <w:rPr>
        <w:rFonts w:eastAsiaTheme="minorEastAsia" w:hint="eastAsia"/>
        <w:sz w:val="20"/>
        <w:szCs w:val="20"/>
      </w:rPr>
      <w:t>xxxx</w:t>
    </w:r>
    <w:r>
      <w:rPr>
        <w:rFonts w:eastAsiaTheme="minorEastAsia"/>
        <w:sz w:val="20"/>
        <w:szCs w:val="20"/>
      </w:rPr>
      <w:t>注射液</w:t>
    </w:r>
  </w:p>
  <w:p w14:paraId="1F004F8D" w14:textId="77777777" w:rsidR="00140B5A" w:rsidRDefault="002771A1">
    <w:pPr>
      <w:pStyle w:val="af8"/>
      <w:adjustRightInd w:val="0"/>
      <w:jc w:val="left"/>
      <w:rPr>
        <w:rFonts w:eastAsiaTheme="minorEastAsia"/>
        <w:sz w:val="20"/>
        <w:szCs w:val="20"/>
      </w:rPr>
    </w:pPr>
    <w:r>
      <w:rPr>
        <w:rFonts w:eastAsiaTheme="minorEastAsia"/>
        <w:sz w:val="20"/>
        <w:szCs w:val="20"/>
      </w:rPr>
      <w:t>方案编号：</w:t>
    </w:r>
    <w:r>
      <w:rPr>
        <w:rFonts w:eastAsiaTheme="minorEastAsia" w:hint="eastAsia"/>
        <w:sz w:val="20"/>
        <w:szCs w:val="20"/>
      </w:rPr>
      <w:t>xxxx</w:t>
    </w:r>
    <w:r>
      <w:rPr>
        <w:rFonts w:eastAsiaTheme="minorEastAsia"/>
        <w:sz w:val="20"/>
        <w:szCs w:val="20"/>
      </w:rPr>
      <w:t>-301</w:t>
    </w:r>
  </w:p>
  <w:p w14:paraId="1F004F8E" w14:textId="77777777" w:rsidR="00140B5A" w:rsidRDefault="002771A1">
    <w:pPr>
      <w:pStyle w:val="af8"/>
      <w:adjustRightInd w:val="0"/>
      <w:jc w:val="both"/>
    </w:pPr>
    <w:r>
      <w:rPr>
        <w:rFonts w:eastAsiaTheme="minorEastAsia"/>
        <w:sz w:val="20"/>
        <w:szCs w:val="20"/>
      </w:rPr>
      <w:t>版本号和版本日期：</w:t>
    </w:r>
    <w:r>
      <w:rPr>
        <w:rFonts w:eastAsiaTheme="minorEastAsia"/>
        <w:sz w:val="20"/>
        <w:szCs w:val="20"/>
      </w:rPr>
      <w:t>1.0/</w:t>
    </w:r>
    <w:r>
      <w:rPr>
        <w:rFonts w:eastAsiaTheme="minorEastAsia" w:hint="eastAsia"/>
        <w:sz w:val="20"/>
        <w:szCs w:val="20"/>
      </w:rPr>
      <w:t>xxxx</w:t>
    </w:r>
    <w:r>
      <w:rPr>
        <w:rFonts w:eastAsiaTheme="minorEastAsia" w:hint="eastAsia"/>
        <w:sz w:val="20"/>
        <w:szCs w:val="20"/>
      </w:rPr>
      <w:t>年</w:t>
    </w:r>
    <w:r>
      <w:rPr>
        <w:rFonts w:eastAsiaTheme="minorEastAsia" w:hint="eastAsia"/>
        <w:sz w:val="20"/>
        <w:szCs w:val="20"/>
      </w:rPr>
      <w:t>x</w:t>
    </w:r>
    <w:r>
      <w:rPr>
        <w:rFonts w:eastAsiaTheme="minorEastAsia" w:hint="eastAsia"/>
        <w:sz w:val="20"/>
        <w:szCs w:val="20"/>
      </w:rPr>
      <w:t>月</w:t>
    </w:r>
    <w:r>
      <w:rPr>
        <w:rFonts w:eastAsiaTheme="minorEastAsia" w:hint="eastAsia"/>
        <w:sz w:val="20"/>
        <w:szCs w:val="20"/>
      </w:rPr>
      <w:t>x</w:t>
    </w:r>
    <w:r>
      <w:rPr>
        <w:rFonts w:eastAsiaTheme="minorEastAsia" w:hint="eastAsia"/>
        <w:sz w:val="20"/>
        <w:szCs w:val="20"/>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91CB2"/>
    <w:multiLevelType w:val="multilevel"/>
    <w:tmpl w:val="1BD91CB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4E3345C8"/>
    <w:multiLevelType w:val="multilevel"/>
    <w:tmpl w:val="4E3345C8"/>
    <w:lvl w:ilvl="0">
      <w:numFmt w:val="bullet"/>
      <w:lvlText w:val="•"/>
      <w:lvlJc w:val="left"/>
      <w:pPr>
        <w:ind w:left="420" w:hanging="420"/>
      </w:pPr>
      <w:rPr>
        <w:rFonts w:ascii="Arial" w:eastAsia="宋体" w:hAnsi="Arial" w:cs="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3C85B7A"/>
    <w:multiLevelType w:val="multilevel"/>
    <w:tmpl w:val="53C85B7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4CF4DFD"/>
    <w:multiLevelType w:val="multilevel"/>
    <w:tmpl w:val="53C85B7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2D020F9"/>
    <w:multiLevelType w:val="multilevel"/>
    <w:tmpl w:val="62D020F9"/>
    <w:lvl w:ilvl="0">
      <w:start w:val="1"/>
      <w:numFmt w:val="bullet"/>
      <w:pStyle w:val="Compac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648164F6"/>
    <w:multiLevelType w:val="multilevel"/>
    <w:tmpl w:val="648164F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77886744"/>
    <w:multiLevelType w:val="multilevel"/>
    <w:tmpl w:val="77886744"/>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start w:val="1"/>
      <w:numFmt w:val="decimal"/>
      <w:pStyle w:val="3"/>
      <w:lvlText w:val="%1.%2.%3"/>
      <w:lvlJc w:val="left"/>
      <w:pPr>
        <w:ind w:left="720" w:hanging="72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start w:val="1"/>
      <w:numFmt w:val="decimal"/>
      <w:pStyle w:val="4"/>
      <w:lvlText w:val="%1.%2.%3.%4"/>
      <w:lvlJc w:val="left"/>
      <w:pPr>
        <w:ind w:left="864" w:hanging="864"/>
      </w:pPr>
      <w:rPr>
        <w:rFonts w:ascii="Times New Roman" w:hAnsi="Times New Roman" w:cs="Times New Roman" w:hint="default"/>
        <w:b/>
      </w:rPr>
    </w:lvl>
    <w:lvl w:ilvl="4">
      <w:start w:val="1"/>
      <w:numFmt w:val="decimal"/>
      <w:pStyle w:val="5"/>
      <w:lvlText w:val="%1.%2.%3.%4.%5"/>
      <w:lvlJc w:val="left"/>
      <w:pPr>
        <w:ind w:left="1008" w:hanging="1008"/>
      </w:pPr>
      <w:rPr>
        <w:rFonts w:hint="eastAsia"/>
        <w:b/>
      </w:rPr>
    </w:lvl>
    <w:lvl w:ilvl="5">
      <w:start w:val="1"/>
      <w:numFmt w:val="decimal"/>
      <w:pStyle w:val="6"/>
      <w:lvlText w:val="%1.%2.%3.%4.%5.%6"/>
      <w:lvlJc w:val="left"/>
      <w:pPr>
        <w:ind w:left="1152" w:hanging="1152"/>
      </w:pPr>
      <w:rPr>
        <w:rFonts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6">
      <w:start w:val="1"/>
      <w:numFmt w:val="decimal"/>
      <w:pStyle w:val="7"/>
      <w:lvlText w:val="%1.%2.%3.%4.%5.%6.%7"/>
      <w:lvlJc w:val="left"/>
      <w:pPr>
        <w:ind w:left="1296" w:hanging="1296"/>
      </w:pPr>
      <w:rPr>
        <w:rFonts w:hint="eastAsia"/>
        <w:b/>
        <w:bCs/>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num w:numId="1" w16cid:durableId="287708652">
    <w:abstractNumId w:val="6"/>
  </w:num>
  <w:num w:numId="2" w16cid:durableId="766851855">
    <w:abstractNumId w:val="4"/>
  </w:num>
  <w:num w:numId="3" w16cid:durableId="881600752">
    <w:abstractNumId w:val="2"/>
  </w:num>
  <w:num w:numId="4" w16cid:durableId="865481910">
    <w:abstractNumId w:val="1"/>
  </w:num>
  <w:num w:numId="5" w16cid:durableId="645672169">
    <w:abstractNumId w:val="5"/>
  </w:num>
  <w:num w:numId="6" w16cid:durableId="2069644035">
    <w:abstractNumId w:val="0"/>
  </w:num>
  <w:num w:numId="7" w16cid:durableId="896741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oNotDisplayPageBoundaries/>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s>
  <w:rsids>
    <w:rsidRoot w:val="009E0BF2"/>
    <w:rsid w:val="FAFCA696"/>
    <w:rsid w:val="FEB7EAB3"/>
    <w:rsid w:val="00000794"/>
    <w:rsid w:val="000011A5"/>
    <w:rsid w:val="00001FF6"/>
    <w:rsid w:val="000033A4"/>
    <w:rsid w:val="000040AD"/>
    <w:rsid w:val="000068D6"/>
    <w:rsid w:val="00006F30"/>
    <w:rsid w:val="00007D93"/>
    <w:rsid w:val="00010652"/>
    <w:rsid w:val="000137CC"/>
    <w:rsid w:val="00014B95"/>
    <w:rsid w:val="00014F69"/>
    <w:rsid w:val="000153D6"/>
    <w:rsid w:val="0001569B"/>
    <w:rsid w:val="000209F9"/>
    <w:rsid w:val="0002222D"/>
    <w:rsid w:val="0002335A"/>
    <w:rsid w:val="00023A79"/>
    <w:rsid w:val="00023B09"/>
    <w:rsid w:val="00025034"/>
    <w:rsid w:val="0002565B"/>
    <w:rsid w:val="00026942"/>
    <w:rsid w:val="00027C7C"/>
    <w:rsid w:val="00030638"/>
    <w:rsid w:val="0003080C"/>
    <w:rsid w:val="0003280C"/>
    <w:rsid w:val="000334DB"/>
    <w:rsid w:val="00033CE4"/>
    <w:rsid w:val="00034041"/>
    <w:rsid w:val="000346FA"/>
    <w:rsid w:val="000349F8"/>
    <w:rsid w:val="000378AE"/>
    <w:rsid w:val="00040DE9"/>
    <w:rsid w:val="000410EF"/>
    <w:rsid w:val="000427D7"/>
    <w:rsid w:val="000432A1"/>
    <w:rsid w:val="000463D6"/>
    <w:rsid w:val="00046EBC"/>
    <w:rsid w:val="00047CF8"/>
    <w:rsid w:val="00050BCE"/>
    <w:rsid w:val="00051B02"/>
    <w:rsid w:val="00051E51"/>
    <w:rsid w:val="00052447"/>
    <w:rsid w:val="0005250C"/>
    <w:rsid w:val="0005354B"/>
    <w:rsid w:val="0005447E"/>
    <w:rsid w:val="000544EE"/>
    <w:rsid w:val="00055352"/>
    <w:rsid w:val="000554DE"/>
    <w:rsid w:val="000556E4"/>
    <w:rsid w:val="00055790"/>
    <w:rsid w:val="00055D04"/>
    <w:rsid w:val="00056231"/>
    <w:rsid w:val="000563AF"/>
    <w:rsid w:val="000571FA"/>
    <w:rsid w:val="00057FAF"/>
    <w:rsid w:val="0006020F"/>
    <w:rsid w:val="000607E9"/>
    <w:rsid w:val="000615BF"/>
    <w:rsid w:val="00061F27"/>
    <w:rsid w:val="00062894"/>
    <w:rsid w:val="00063BC5"/>
    <w:rsid w:val="0006446F"/>
    <w:rsid w:val="000658E2"/>
    <w:rsid w:val="0006624F"/>
    <w:rsid w:val="0006677F"/>
    <w:rsid w:val="000705B8"/>
    <w:rsid w:val="00070BC0"/>
    <w:rsid w:val="00070C82"/>
    <w:rsid w:val="00070DB4"/>
    <w:rsid w:val="00072960"/>
    <w:rsid w:val="00073668"/>
    <w:rsid w:val="000739C4"/>
    <w:rsid w:val="00075288"/>
    <w:rsid w:val="000763CE"/>
    <w:rsid w:val="00076DDD"/>
    <w:rsid w:val="00076FAE"/>
    <w:rsid w:val="00077729"/>
    <w:rsid w:val="00077AA2"/>
    <w:rsid w:val="000810E7"/>
    <w:rsid w:val="0008156F"/>
    <w:rsid w:val="00083BD9"/>
    <w:rsid w:val="00084429"/>
    <w:rsid w:val="00085094"/>
    <w:rsid w:val="000864BB"/>
    <w:rsid w:val="000864C6"/>
    <w:rsid w:val="00086AF9"/>
    <w:rsid w:val="00087986"/>
    <w:rsid w:val="0009085E"/>
    <w:rsid w:val="0009133B"/>
    <w:rsid w:val="0009141C"/>
    <w:rsid w:val="000915E8"/>
    <w:rsid w:val="00091CFC"/>
    <w:rsid w:val="00092A78"/>
    <w:rsid w:val="00094064"/>
    <w:rsid w:val="000945AE"/>
    <w:rsid w:val="00094663"/>
    <w:rsid w:val="0009485C"/>
    <w:rsid w:val="00095A68"/>
    <w:rsid w:val="00096630"/>
    <w:rsid w:val="0009716E"/>
    <w:rsid w:val="000A2360"/>
    <w:rsid w:val="000A26E6"/>
    <w:rsid w:val="000A309D"/>
    <w:rsid w:val="000A34A6"/>
    <w:rsid w:val="000A37F2"/>
    <w:rsid w:val="000A44AC"/>
    <w:rsid w:val="000A484B"/>
    <w:rsid w:val="000A7775"/>
    <w:rsid w:val="000A798E"/>
    <w:rsid w:val="000A7B0F"/>
    <w:rsid w:val="000B157F"/>
    <w:rsid w:val="000B1C0B"/>
    <w:rsid w:val="000B3140"/>
    <w:rsid w:val="000B3C36"/>
    <w:rsid w:val="000B40C0"/>
    <w:rsid w:val="000B4C28"/>
    <w:rsid w:val="000B4EC9"/>
    <w:rsid w:val="000B4F3C"/>
    <w:rsid w:val="000B527E"/>
    <w:rsid w:val="000B5526"/>
    <w:rsid w:val="000B5681"/>
    <w:rsid w:val="000B5844"/>
    <w:rsid w:val="000B5F2F"/>
    <w:rsid w:val="000B621D"/>
    <w:rsid w:val="000B626A"/>
    <w:rsid w:val="000C015A"/>
    <w:rsid w:val="000C0286"/>
    <w:rsid w:val="000C02A8"/>
    <w:rsid w:val="000C35DE"/>
    <w:rsid w:val="000C44EB"/>
    <w:rsid w:val="000C53DB"/>
    <w:rsid w:val="000C5511"/>
    <w:rsid w:val="000C6968"/>
    <w:rsid w:val="000C7CAB"/>
    <w:rsid w:val="000C7CF3"/>
    <w:rsid w:val="000D02DB"/>
    <w:rsid w:val="000D30B5"/>
    <w:rsid w:val="000D3497"/>
    <w:rsid w:val="000D38CC"/>
    <w:rsid w:val="000D3F69"/>
    <w:rsid w:val="000D459E"/>
    <w:rsid w:val="000D6400"/>
    <w:rsid w:val="000D64B3"/>
    <w:rsid w:val="000D69A4"/>
    <w:rsid w:val="000D7A60"/>
    <w:rsid w:val="000D7A92"/>
    <w:rsid w:val="000E1B79"/>
    <w:rsid w:val="000E3218"/>
    <w:rsid w:val="000E42D4"/>
    <w:rsid w:val="000E46EC"/>
    <w:rsid w:val="000E4ECB"/>
    <w:rsid w:val="000E56BE"/>
    <w:rsid w:val="000E5E2E"/>
    <w:rsid w:val="000E617C"/>
    <w:rsid w:val="000E6A23"/>
    <w:rsid w:val="000E75FD"/>
    <w:rsid w:val="000F00D2"/>
    <w:rsid w:val="000F1018"/>
    <w:rsid w:val="000F1208"/>
    <w:rsid w:val="000F4034"/>
    <w:rsid w:val="000F4294"/>
    <w:rsid w:val="000F4CCF"/>
    <w:rsid w:val="000F4CF6"/>
    <w:rsid w:val="000F61BF"/>
    <w:rsid w:val="000F63A9"/>
    <w:rsid w:val="000F7546"/>
    <w:rsid w:val="000F771D"/>
    <w:rsid w:val="000F7A6C"/>
    <w:rsid w:val="00102899"/>
    <w:rsid w:val="00103205"/>
    <w:rsid w:val="001033E1"/>
    <w:rsid w:val="00104692"/>
    <w:rsid w:val="00106AB6"/>
    <w:rsid w:val="00106FAA"/>
    <w:rsid w:val="001103FF"/>
    <w:rsid w:val="001112BA"/>
    <w:rsid w:val="00111543"/>
    <w:rsid w:val="001126C4"/>
    <w:rsid w:val="00112871"/>
    <w:rsid w:val="0011341C"/>
    <w:rsid w:val="00116029"/>
    <w:rsid w:val="00116585"/>
    <w:rsid w:val="0011768A"/>
    <w:rsid w:val="001176E3"/>
    <w:rsid w:val="00117C03"/>
    <w:rsid w:val="00117C2E"/>
    <w:rsid w:val="00117E7C"/>
    <w:rsid w:val="00120588"/>
    <w:rsid w:val="001206E3"/>
    <w:rsid w:val="00120E03"/>
    <w:rsid w:val="001220ED"/>
    <w:rsid w:val="00124284"/>
    <w:rsid w:val="001244F8"/>
    <w:rsid w:val="00124531"/>
    <w:rsid w:val="0012461D"/>
    <w:rsid w:val="00125C87"/>
    <w:rsid w:val="00127434"/>
    <w:rsid w:val="00127A2E"/>
    <w:rsid w:val="00127DDD"/>
    <w:rsid w:val="00132966"/>
    <w:rsid w:val="00134613"/>
    <w:rsid w:val="00134E46"/>
    <w:rsid w:val="001350C2"/>
    <w:rsid w:val="00135C78"/>
    <w:rsid w:val="00136752"/>
    <w:rsid w:val="00137566"/>
    <w:rsid w:val="00140465"/>
    <w:rsid w:val="001408BF"/>
    <w:rsid w:val="00140B5A"/>
    <w:rsid w:val="001410A2"/>
    <w:rsid w:val="00141287"/>
    <w:rsid w:val="001429BC"/>
    <w:rsid w:val="00142A15"/>
    <w:rsid w:val="00143DBE"/>
    <w:rsid w:val="00144478"/>
    <w:rsid w:val="00144AF9"/>
    <w:rsid w:val="00144EED"/>
    <w:rsid w:val="00147085"/>
    <w:rsid w:val="00147DEC"/>
    <w:rsid w:val="001502EF"/>
    <w:rsid w:val="00150E6C"/>
    <w:rsid w:val="00152158"/>
    <w:rsid w:val="00152311"/>
    <w:rsid w:val="0015274C"/>
    <w:rsid w:val="001535CE"/>
    <w:rsid w:val="001537BD"/>
    <w:rsid w:val="00154A94"/>
    <w:rsid w:val="00157C0B"/>
    <w:rsid w:val="00157C50"/>
    <w:rsid w:val="001600E3"/>
    <w:rsid w:val="001613D4"/>
    <w:rsid w:val="00162BE6"/>
    <w:rsid w:val="0016361D"/>
    <w:rsid w:val="00163919"/>
    <w:rsid w:val="001639A4"/>
    <w:rsid w:val="00163C48"/>
    <w:rsid w:val="00164B60"/>
    <w:rsid w:val="00165873"/>
    <w:rsid w:val="00167311"/>
    <w:rsid w:val="00170F1D"/>
    <w:rsid w:val="001719F5"/>
    <w:rsid w:val="00172A27"/>
    <w:rsid w:val="001735B3"/>
    <w:rsid w:val="001738C1"/>
    <w:rsid w:val="001758EC"/>
    <w:rsid w:val="00175ADE"/>
    <w:rsid w:val="00176A3F"/>
    <w:rsid w:val="00177394"/>
    <w:rsid w:val="0018024C"/>
    <w:rsid w:val="00180404"/>
    <w:rsid w:val="00180584"/>
    <w:rsid w:val="00183200"/>
    <w:rsid w:val="0018336E"/>
    <w:rsid w:val="0018355E"/>
    <w:rsid w:val="00183D39"/>
    <w:rsid w:val="00183D6F"/>
    <w:rsid w:val="00185017"/>
    <w:rsid w:val="00185867"/>
    <w:rsid w:val="00185B81"/>
    <w:rsid w:val="00185C9A"/>
    <w:rsid w:val="00185F8C"/>
    <w:rsid w:val="00190198"/>
    <w:rsid w:val="00190B96"/>
    <w:rsid w:val="0019227C"/>
    <w:rsid w:val="001929E5"/>
    <w:rsid w:val="00193100"/>
    <w:rsid w:val="0019374D"/>
    <w:rsid w:val="0019402F"/>
    <w:rsid w:val="0019411A"/>
    <w:rsid w:val="00194B47"/>
    <w:rsid w:val="001954B6"/>
    <w:rsid w:val="00196B33"/>
    <w:rsid w:val="00197101"/>
    <w:rsid w:val="001972DF"/>
    <w:rsid w:val="00197AE6"/>
    <w:rsid w:val="00197F1C"/>
    <w:rsid w:val="001A0711"/>
    <w:rsid w:val="001A2310"/>
    <w:rsid w:val="001A2B48"/>
    <w:rsid w:val="001A2B9A"/>
    <w:rsid w:val="001A387F"/>
    <w:rsid w:val="001A59BD"/>
    <w:rsid w:val="001A6F50"/>
    <w:rsid w:val="001B0B02"/>
    <w:rsid w:val="001B1D23"/>
    <w:rsid w:val="001B334F"/>
    <w:rsid w:val="001B3FA1"/>
    <w:rsid w:val="001B4D75"/>
    <w:rsid w:val="001B67D5"/>
    <w:rsid w:val="001C0C68"/>
    <w:rsid w:val="001C1756"/>
    <w:rsid w:val="001C2678"/>
    <w:rsid w:val="001C2C43"/>
    <w:rsid w:val="001C3AB3"/>
    <w:rsid w:val="001C4364"/>
    <w:rsid w:val="001C43A2"/>
    <w:rsid w:val="001C5A7D"/>
    <w:rsid w:val="001C5B1A"/>
    <w:rsid w:val="001D0039"/>
    <w:rsid w:val="001D04FA"/>
    <w:rsid w:val="001D17C4"/>
    <w:rsid w:val="001D18B4"/>
    <w:rsid w:val="001D18F1"/>
    <w:rsid w:val="001D2693"/>
    <w:rsid w:val="001D3826"/>
    <w:rsid w:val="001D401E"/>
    <w:rsid w:val="001D4739"/>
    <w:rsid w:val="001D58B7"/>
    <w:rsid w:val="001D6139"/>
    <w:rsid w:val="001D6746"/>
    <w:rsid w:val="001D6CFD"/>
    <w:rsid w:val="001D7889"/>
    <w:rsid w:val="001E0450"/>
    <w:rsid w:val="001E05B7"/>
    <w:rsid w:val="001E1092"/>
    <w:rsid w:val="001E1481"/>
    <w:rsid w:val="001E1B9D"/>
    <w:rsid w:val="001E2595"/>
    <w:rsid w:val="001E2B4E"/>
    <w:rsid w:val="001E2C53"/>
    <w:rsid w:val="001E39BF"/>
    <w:rsid w:val="001E3E72"/>
    <w:rsid w:val="001E47F2"/>
    <w:rsid w:val="001E5C5B"/>
    <w:rsid w:val="001E69C1"/>
    <w:rsid w:val="001E6D34"/>
    <w:rsid w:val="001E793A"/>
    <w:rsid w:val="001F095C"/>
    <w:rsid w:val="001F3587"/>
    <w:rsid w:val="001F372B"/>
    <w:rsid w:val="001F3DA1"/>
    <w:rsid w:val="001F4315"/>
    <w:rsid w:val="001F4B95"/>
    <w:rsid w:val="001F54D3"/>
    <w:rsid w:val="002003FB"/>
    <w:rsid w:val="002008D4"/>
    <w:rsid w:val="00201141"/>
    <w:rsid w:val="00202136"/>
    <w:rsid w:val="00202938"/>
    <w:rsid w:val="00203065"/>
    <w:rsid w:val="00203A46"/>
    <w:rsid w:val="00203E08"/>
    <w:rsid w:val="00203F63"/>
    <w:rsid w:val="00205374"/>
    <w:rsid w:val="00205A10"/>
    <w:rsid w:val="0020723D"/>
    <w:rsid w:val="00207D49"/>
    <w:rsid w:val="00210281"/>
    <w:rsid w:val="00210315"/>
    <w:rsid w:val="00210797"/>
    <w:rsid w:val="002107A3"/>
    <w:rsid w:val="00210EB9"/>
    <w:rsid w:val="00210F62"/>
    <w:rsid w:val="00212CCC"/>
    <w:rsid w:val="00214149"/>
    <w:rsid w:val="00214306"/>
    <w:rsid w:val="00215031"/>
    <w:rsid w:val="002152A3"/>
    <w:rsid w:val="00215651"/>
    <w:rsid w:val="002163F1"/>
    <w:rsid w:val="002165DC"/>
    <w:rsid w:val="00220655"/>
    <w:rsid w:val="00220D39"/>
    <w:rsid w:val="00220F50"/>
    <w:rsid w:val="00221006"/>
    <w:rsid w:val="00221667"/>
    <w:rsid w:val="002220C0"/>
    <w:rsid w:val="00222794"/>
    <w:rsid w:val="002227BD"/>
    <w:rsid w:val="0022297C"/>
    <w:rsid w:val="0022383A"/>
    <w:rsid w:val="0022403F"/>
    <w:rsid w:val="002253F0"/>
    <w:rsid w:val="0022578E"/>
    <w:rsid w:val="00226646"/>
    <w:rsid w:val="00227341"/>
    <w:rsid w:val="0022755A"/>
    <w:rsid w:val="00231AB3"/>
    <w:rsid w:val="002344D3"/>
    <w:rsid w:val="00234AA1"/>
    <w:rsid w:val="00235213"/>
    <w:rsid w:val="002359AA"/>
    <w:rsid w:val="00235A64"/>
    <w:rsid w:val="00236209"/>
    <w:rsid w:val="0023693A"/>
    <w:rsid w:val="00236D66"/>
    <w:rsid w:val="002404A1"/>
    <w:rsid w:val="00244D07"/>
    <w:rsid w:val="00245380"/>
    <w:rsid w:val="002453E8"/>
    <w:rsid w:val="00245A99"/>
    <w:rsid w:val="002461A2"/>
    <w:rsid w:val="002461D8"/>
    <w:rsid w:val="00246A88"/>
    <w:rsid w:val="00247041"/>
    <w:rsid w:val="00250B94"/>
    <w:rsid w:val="0025221A"/>
    <w:rsid w:val="002532E5"/>
    <w:rsid w:val="00253E9D"/>
    <w:rsid w:val="00254518"/>
    <w:rsid w:val="002545BA"/>
    <w:rsid w:val="00254B4D"/>
    <w:rsid w:val="00255A58"/>
    <w:rsid w:val="00255F76"/>
    <w:rsid w:val="0025676C"/>
    <w:rsid w:val="00260129"/>
    <w:rsid w:val="00260F7D"/>
    <w:rsid w:val="002625F5"/>
    <w:rsid w:val="00262735"/>
    <w:rsid w:val="00262EEE"/>
    <w:rsid w:val="00263312"/>
    <w:rsid w:val="00263CE3"/>
    <w:rsid w:val="00263ED0"/>
    <w:rsid w:val="002648FD"/>
    <w:rsid w:val="00264D6C"/>
    <w:rsid w:val="002664A7"/>
    <w:rsid w:val="002706AF"/>
    <w:rsid w:val="0027136E"/>
    <w:rsid w:val="0027149B"/>
    <w:rsid w:val="00271857"/>
    <w:rsid w:val="00272B11"/>
    <w:rsid w:val="00272C5C"/>
    <w:rsid w:val="00272D0D"/>
    <w:rsid w:val="0027348B"/>
    <w:rsid w:val="00273862"/>
    <w:rsid w:val="002742B0"/>
    <w:rsid w:val="002751DA"/>
    <w:rsid w:val="002767A0"/>
    <w:rsid w:val="00276A48"/>
    <w:rsid w:val="002771A1"/>
    <w:rsid w:val="002807B0"/>
    <w:rsid w:val="002808F6"/>
    <w:rsid w:val="00280FC0"/>
    <w:rsid w:val="00281DCB"/>
    <w:rsid w:val="00282969"/>
    <w:rsid w:val="00284B44"/>
    <w:rsid w:val="002855C9"/>
    <w:rsid w:val="00285A05"/>
    <w:rsid w:val="00286F7D"/>
    <w:rsid w:val="00287B6C"/>
    <w:rsid w:val="00290967"/>
    <w:rsid w:val="002917B7"/>
    <w:rsid w:val="00291CFB"/>
    <w:rsid w:val="00292E55"/>
    <w:rsid w:val="002933B1"/>
    <w:rsid w:val="00293D2C"/>
    <w:rsid w:val="00293FFE"/>
    <w:rsid w:val="00294C49"/>
    <w:rsid w:val="00295498"/>
    <w:rsid w:val="00295766"/>
    <w:rsid w:val="0029576A"/>
    <w:rsid w:val="002958AD"/>
    <w:rsid w:val="00296330"/>
    <w:rsid w:val="00297802"/>
    <w:rsid w:val="00297AC2"/>
    <w:rsid w:val="00297B71"/>
    <w:rsid w:val="002A09A8"/>
    <w:rsid w:val="002A17DC"/>
    <w:rsid w:val="002A24C0"/>
    <w:rsid w:val="002A2F76"/>
    <w:rsid w:val="002A310A"/>
    <w:rsid w:val="002A3427"/>
    <w:rsid w:val="002A43E6"/>
    <w:rsid w:val="002A45E6"/>
    <w:rsid w:val="002A4C78"/>
    <w:rsid w:val="002A4D17"/>
    <w:rsid w:val="002A7462"/>
    <w:rsid w:val="002A75C1"/>
    <w:rsid w:val="002B0694"/>
    <w:rsid w:val="002B150A"/>
    <w:rsid w:val="002B1E18"/>
    <w:rsid w:val="002B205C"/>
    <w:rsid w:val="002B2181"/>
    <w:rsid w:val="002B219B"/>
    <w:rsid w:val="002B2549"/>
    <w:rsid w:val="002B26EE"/>
    <w:rsid w:val="002B2F3B"/>
    <w:rsid w:val="002B3ACB"/>
    <w:rsid w:val="002B48C7"/>
    <w:rsid w:val="002B4EE2"/>
    <w:rsid w:val="002B59DC"/>
    <w:rsid w:val="002B5B5D"/>
    <w:rsid w:val="002B6456"/>
    <w:rsid w:val="002B69DE"/>
    <w:rsid w:val="002B6EB0"/>
    <w:rsid w:val="002B7BDE"/>
    <w:rsid w:val="002C11F3"/>
    <w:rsid w:val="002C1294"/>
    <w:rsid w:val="002C3B20"/>
    <w:rsid w:val="002C4013"/>
    <w:rsid w:val="002C5585"/>
    <w:rsid w:val="002C5A4C"/>
    <w:rsid w:val="002C60A5"/>
    <w:rsid w:val="002C6BC3"/>
    <w:rsid w:val="002C7398"/>
    <w:rsid w:val="002D067C"/>
    <w:rsid w:val="002D08DA"/>
    <w:rsid w:val="002D0DD2"/>
    <w:rsid w:val="002D1103"/>
    <w:rsid w:val="002D1333"/>
    <w:rsid w:val="002D201B"/>
    <w:rsid w:val="002D2970"/>
    <w:rsid w:val="002D4F12"/>
    <w:rsid w:val="002D5E1C"/>
    <w:rsid w:val="002D5F02"/>
    <w:rsid w:val="002D63A6"/>
    <w:rsid w:val="002D63C1"/>
    <w:rsid w:val="002D7193"/>
    <w:rsid w:val="002E258C"/>
    <w:rsid w:val="002E26F8"/>
    <w:rsid w:val="002E28BA"/>
    <w:rsid w:val="002E3B06"/>
    <w:rsid w:val="002E4CA2"/>
    <w:rsid w:val="002E4EA0"/>
    <w:rsid w:val="002E56B5"/>
    <w:rsid w:val="002E589C"/>
    <w:rsid w:val="002E6394"/>
    <w:rsid w:val="002E710B"/>
    <w:rsid w:val="002E718F"/>
    <w:rsid w:val="002F0AFE"/>
    <w:rsid w:val="002F0B59"/>
    <w:rsid w:val="002F1751"/>
    <w:rsid w:val="002F1B05"/>
    <w:rsid w:val="002F3DB8"/>
    <w:rsid w:val="002F3F57"/>
    <w:rsid w:val="002F615E"/>
    <w:rsid w:val="002F797B"/>
    <w:rsid w:val="00300A13"/>
    <w:rsid w:val="00300C0E"/>
    <w:rsid w:val="00301220"/>
    <w:rsid w:val="0030164E"/>
    <w:rsid w:val="00302E94"/>
    <w:rsid w:val="00302F97"/>
    <w:rsid w:val="003039D1"/>
    <w:rsid w:val="00303B09"/>
    <w:rsid w:val="00304B85"/>
    <w:rsid w:val="00305B29"/>
    <w:rsid w:val="00306AA3"/>
    <w:rsid w:val="00306B7A"/>
    <w:rsid w:val="00307E6C"/>
    <w:rsid w:val="0031001A"/>
    <w:rsid w:val="00310429"/>
    <w:rsid w:val="0031184D"/>
    <w:rsid w:val="00312E52"/>
    <w:rsid w:val="00313A8E"/>
    <w:rsid w:val="00314061"/>
    <w:rsid w:val="003144CF"/>
    <w:rsid w:val="0031539D"/>
    <w:rsid w:val="00315561"/>
    <w:rsid w:val="003156F8"/>
    <w:rsid w:val="0031668F"/>
    <w:rsid w:val="00317110"/>
    <w:rsid w:val="003171A4"/>
    <w:rsid w:val="00317AD1"/>
    <w:rsid w:val="0032007B"/>
    <w:rsid w:val="003202EC"/>
    <w:rsid w:val="00321ED2"/>
    <w:rsid w:val="003227B2"/>
    <w:rsid w:val="00324AD0"/>
    <w:rsid w:val="00325973"/>
    <w:rsid w:val="00330103"/>
    <w:rsid w:val="00330E1C"/>
    <w:rsid w:val="0033437A"/>
    <w:rsid w:val="003353DF"/>
    <w:rsid w:val="00335C28"/>
    <w:rsid w:val="00335D12"/>
    <w:rsid w:val="00337C10"/>
    <w:rsid w:val="00337C6D"/>
    <w:rsid w:val="00343E20"/>
    <w:rsid w:val="00345270"/>
    <w:rsid w:val="00345BFD"/>
    <w:rsid w:val="003462C2"/>
    <w:rsid w:val="0034659F"/>
    <w:rsid w:val="0034672C"/>
    <w:rsid w:val="00347607"/>
    <w:rsid w:val="00351108"/>
    <w:rsid w:val="00352A71"/>
    <w:rsid w:val="0035500D"/>
    <w:rsid w:val="00357869"/>
    <w:rsid w:val="00357DB4"/>
    <w:rsid w:val="00360042"/>
    <w:rsid w:val="003601CC"/>
    <w:rsid w:val="00360970"/>
    <w:rsid w:val="0036099E"/>
    <w:rsid w:val="0036232B"/>
    <w:rsid w:val="0036454A"/>
    <w:rsid w:val="003653AC"/>
    <w:rsid w:val="003654C6"/>
    <w:rsid w:val="003657BF"/>
    <w:rsid w:val="00365B64"/>
    <w:rsid w:val="0036622A"/>
    <w:rsid w:val="00366A6E"/>
    <w:rsid w:val="00366B9E"/>
    <w:rsid w:val="00366E3D"/>
    <w:rsid w:val="003678A5"/>
    <w:rsid w:val="00367A13"/>
    <w:rsid w:val="00372839"/>
    <w:rsid w:val="00373037"/>
    <w:rsid w:val="003749AF"/>
    <w:rsid w:val="0037523C"/>
    <w:rsid w:val="003765CF"/>
    <w:rsid w:val="003773B9"/>
    <w:rsid w:val="003775C5"/>
    <w:rsid w:val="0037783D"/>
    <w:rsid w:val="0038023B"/>
    <w:rsid w:val="00380F16"/>
    <w:rsid w:val="00382CB9"/>
    <w:rsid w:val="0038324B"/>
    <w:rsid w:val="0038409B"/>
    <w:rsid w:val="003847D6"/>
    <w:rsid w:val="003848A9"/>
    <w:rsid w:val="003855CE"/>
    <w:rsid w:val="00385FF5"/>
    <w:rsid w:val="00390309"/>
    <w:rsid w:val="00391B9A"/>
    <w:rsid w:val="00391E58"/>
    <w:rsid w:val="00392090"/>
    <w:rsid w:val="00393B11"/>
    <w:rsid w:val="00394D24"/>
    <w:rsid w:val="00394D76"/>
    <w:rsid w:val="00394E97"/>
    <w:rsid w:val="003950CF"/>
    <w:rsid w:val="003957DA"/>
    <w:rsid w:val="0039585D"/>
    <w:rsid w:val="003967E5"/>
    <w:rsid w:val="00397996"/>
    <w:rsid w:val="003A0BB1"/>
    <w:rsid w:val="003A2024"/>
    <w:rsid w:val="003A2BC9"/>
    <w:rsid w:val="003A39DE"/>
    <w:rsid w:val="003A39EA"/>
    <w:rsid w:val="003A5016"/>
    <w:rsid w:val="003A5540"/>
    <w:rsid w:val="003A65EB"/>
    <w:rsid w:val="003A6E02"/>
    <w:rsid w:val="003B03A6"/>
    <w:rsid w:val="003B0E21"/>
    <w:rsid w:val="003B1037"/>
    <w:rsid w:val="003B250F"/>
    <w:rsid w:val="003B2A29"/>
    <w:rsid w:val="003B2A2E"/>
    <w:rsid w:val="003B397F"/>
    <w:rsid w:val="003B4677"/>
    <w:rsid w:val="003B6140"/>
    <w:rsid w:val="003B785E"/>
    <w:rsid w:val="003C1214"/>
    <w:rsid w:val="003C27C5"/>
    <w:rsid w:val="003C299D"/>
    <w:rsid w:val="003C2CF8"/>
    <w:rsid w:val="003C3F3D"/>
    <w:rsid w:val="003C4CE1"/>
    <w:rsid w:val="003C50DD"/>
    <w:rsid w:val="003C51D2"/>
    <w:rsid w:val="003C6874"/>
    <w:rsid w:val="003C7428"/>
    <w:rsid w:val="003C752D"/>
    <w:rsid w:val="003C7922"/>
    <w:rsid w:val="003D1012"/>
    <w:rsid w:val="003D11B3"/>
    <w:rsid w:val="003D57EF"/>
    <w:rsid w:val="003D6146"/>
    <w:rsid w:val="003D638A"/>
    <w:rsid w:val="003E075D"/>
    <w:rsid w:val="003E26E2"/>
    <w:rsid w:val="003E2D4C"/>
    <w:rsid w:val="003E4293"/>
    <w:rsid w:val="003E487A"/>
    <w:rsid w:val="003E48BB"/>
    <w:rsid w:val="003E4A24"/>
    <w:rsid w:val="003E4C06"/>
    <w:rsid w:val="003E5238"/>
    <w:rsid w:val="003E5F35"/>
    <w:rsid w:val="003E6951"/>
    <w:rsid w:val="003E760D"/>
    <w:rsid w:val="003E781E"/>
    <w:rsid w:val="003F0834"/>
    <w:rsid w:val="003F0867"/>
    <w:rsid w:val="003F08C0"/>
    <w:rsid w:val="003F2AEB"/>
    <w:rsid w:val="003F2E40"/>
    <w:rsid w:val="003F3160"/>
    <w:rsid w:val="003F3D04"/>
    <w:rsid w:val="003F5641"/>
    <w:rsid w:val="003F6358"/>
    <w:rsid w:val="003F68C0"/>
    <w:rsid w:val="003F6AD9"/>
    <w:rsid w:val="003F7548"/>
    <w:rsid w:val="00401572"/>
    <w:rsid w:val="004021A6"/>
    <w:rsid w:val="004031CC"/>
    <w:rsid w:val="0040333F"/>
    <w:rsid w:val="00403D7D"/>
    <w:rsid w:val="00404109"/>
    <w:rsid w:val="0040477A"/>
    <w:rsid w:val="00404C9C"/>
    <w:rsid w:val="0040509C"/>
    <w:rsid w:val="004064E0"/>
    <w:rsid w:val="004071CC"/>
    <w:rsid w:val="0040753F"/>
    <w:rsid w:val="004106E1"/>
    <w:rsid w:val="00410C9B"/>
    <w:rsid w:val="00410CB0"/>
    <w:rsid w:val="00410E45"/>
    <w:rsid w:val="004110A3"/>
    <w:rsid w:val="00411323"/>
    <w:rsid w:val="004128D0"/>
    <w:rsid w:val="004131B4"/>
    <w:rsid w:val="00414DA7"/>
    <w:rsid w:val="00416996"/>
    <w:rsid w:val="0041709D"/>
    <w:rsid w:val="00417867"/>
    <w:rsid w:val="0042087B"/>
    <w:rsid w:val="00420A7A"/>
    <w:rsid w:val="004215A7"/>
    <w:rsid w:val="0042168B"/>
    <w:rsid w:val="004222E9"/>
    <w:rsid w:val="004225D9"/>
    <w:rsid w:val="004225F2"/>
    <w:rsid w:val="00422EDB"/>
    <w:rsid w:val="00423162"/>
    <w:rsid w:val="0042363C"/>
    <w:rsid w:val="00423F63"/>
    <w:rsid w:val="0042449C"/>
    <w:rsid w:val="00424F14"/>
    <w:rsid w:val="00424F5E"/>
    <w:rsid w:val="0042503B"/>
    <w:rsid w:val="004266BE"/>
    <w:rsid w:val="00426BB7"/>
    <w:rsid w:val="004270F7"/>
    <w:rsid w:val="004273B0"/>
    <w:rsid w:val="004276B0"/>
    <w:rsid w:val="004303D8"/>
    <w:rsid w:val="00430E58"/>
    <w:rsid w:val="00431CA8"/>
    <w:rsid w:val="00432D3B"/>
    <w:rsid w:val="00433384"/>
    <w:rsid w:val="00434619"/>
    <w:rsid w:val="00434EDF"/>
    <w:rsid w:val="00435822"/>
    <w:rsid w:val="00436859"/>
    <w:rsid w:val="0043776B"/>
    <w:rsid w:val="0044000F"/>
    <w:rsid w:val="00440096"/>
    <w:rsid w:val="0044176E"/>
    <w:rsid w:val="00441E69"/>
    <w:rsid w:val="00442659"/>
    <w:rsid w:val="00442FF2"/>
    <w:rsid w:val="004440D8"/>
    <w:rsid w:val="00446B03"/>
    <w:rsid w:val="004525E2"/>
    <w:rsid w:val="00453018"/>
    <w:rsid w:val="004546D4"/>
    <w:rsid w:val="0045485A"/>
    <w:rsid w:val="00454BFB"/>
    <w:rsid w:val="00455555"/>
    <w:rsid w:val="0045591F"/>
    <w:rsid w:val="0045681F"/>
    <w:rsid w:val="004577DD"/>
    <w:rsid w:val="0046138F"/>
    <w:rsid w:val="00461D80"/>
    <w:rsid w:val="00463D16"/>
    <w:rsid w:val="00463E80"/>
    <w:rsid w:val="0046602B"/>
    <w:rsid w:val="00466666"/>
    <w:rsid w:val="00466764"/>
    <w:rsid w:val="00471188"/>
    <w:rsid w:val="00471C8E"/>
    <w:rsid w:val="00473C4D"/>
    <w:rsid w:val="00474B43"/>
    <w:rsid w:val="00474FAE"/>
    <w:rsid w:val="0047527A"/>
    <w:rsid w:val="00475E1C"/>
    <w:rsid w:val="00475FA1"/>
    <w:rsid w:val="00476A4A"/>
    <w:rsid w:val="00477CC1"/>
    <w:rsid w:val="004806BE"/>
    <w:rsid w:val="00481A2E"/>
    <w:rsid w:val="00483B10"/>
    <w:rsid w:val="00484C48"/>
    <w:rsid w:val="00484E7B"/>
    <w:rsid w:val="00485B7C"/>
    <w:rsid w:val="0048608C"/>
    <w:rsid w:val="00486691"/>
    <w:rsid w:val="00490028"/>
    <w:rsid w:val="0049176A"/>
    <w:rsid w:val="0049266D"/>
    <w:rsid w:val="00492B0E"/>
    <w:rsid w:val="004930FE"/>
    <w:rsid w:val="00495CD3"/>
    <w:rsid w:val="004964F7"/>
    <w:rsid w:val="00497380"/>
    <w:rsid w:val="00497712"/>
    <w:rsid w:val="00497FE4"/>
    <w:rsid w:val="004A00FB"/>
    <w:rsid w:val="004A5B53"/>
    <w:rsid w:val="004A5E8C"/>
    <w:rsid w:val="004A730F"/>
    <w:rsid w:val="004B052E"/>
    <w:rsid w:val="004B0E40"/>
    <w:rsid w:val="004B24DB"/>
    <w:rsid w:val="004B2808"/>
    <w:rsid w:val="004B29A6"/>
    <w:rsid w:val="004B2F07"/>
    <w:rsid w:val="004B3180"/>
    <w:rsid w:val="004B344F"/>
    <w:rsid w:val="004B4325"/>
    <w:rsid w:val="004B4444"/>
    <w:rsid w:val="004B516B"/>
    <w:rsid w:val="004B5616"/>
    <w:rsid w:val="004B76CC"/>
    <w:rsid w:val="004C0068"/>
    <w:rsid w:val="004C0190"/>
    <w:rsid w:val="004C16A8"/>
    <w:rsid w:val="004C1E05"/>
    <w:rsid w:val="004C4AE0"/>
    <w:rsid w:val="004C6CA0"/>
    <w:rsid w:val="004D09F1"/>
    <w:rsid w:val="004D0B76"/>
    <w:rsid w:val="004D0DBF"/>
    <w:rsid w:val="004D1A8D"/>
    <w:rsid w:val="004D29D0"/>
    <w:rsid w:val="004D4116"/>
    <w:rsid w:val="004D4520"/>
    <w:rsid w:val="004D511B"/>
    <w:rsid w:val="004D5E7C"/>
    <w:rsid w:val="004D5F41"/>
    <w:rsid w:val="004D71CA"/>
    <w:rsid w:val="004D7ED2"/>
    <w:rsid w:val="004E0BF4"/>
    <w:rsid w:val="004E351A"/>
    <w:rsid w:val="004E3FD3"/>
    <w:rsid w:val="004E41F7"/>
    <w:rsid w:val="004E4DDE"/>
    <w:rsid w:val="004E50F1"/>
    <w:rsid w:val="004E6452"/>
    <w:rsid w:val="004E7873"/>
    <w:rsid w:val="004F005F"/>
    <w:rsid w:val="004F4F28"/>
    <w:rsid w:val="004F5E4F"/>
    <w:rsid w:val="004F6BF9"/>
    <w:rsid w:val="00501739"/>
    <w:rsid w:val="00502E4F"/>
    <w:rsid w:val="00503231"/>
    <w:rsid w:val="00504405"/>
    <w:rsid w:val="00505327"/>
    <w:rsid w:val="00505CA7"/>
    <w:rsid w:val="00505DAE"/>
    <w:rsid w:val="0050635B"/>
    <w:rsid w:val="005063A0"/>
    <w:rsid w:val="00506DF3"/>
    <w:rsid w:val="005100F7"/>
    <w:rsid w:val="00511596"/>
    <w:rsid w:val="005116EA"/>
    <w:rsid w:val="00511A83"/>
    <w:rsid w:val="00511A9F"/>
    <w:rsid w:val="00511AB7"/>
    <w:rsid w:val="00511F89"/>
    <w:rsid w:val="00512924"/>
    <w:rsid w:val="00514224"/>
    <w:rsid w:val="00515D12"/>
    <w:rsid w:val="005160F5"/>
    <w:rsid w:val="005162D6"/>
    <w:rsid w:val="00516587"/>
    <w:rsid w:val="005175DB"/>
    <w:rsid w:val="00520004"/>
    <w:rsid w:val="00520DA2"/>
    <w:rsid w:val="00520E97"/>
    <w:rsid w:val="005211EC"/>
    <w:rsid w:val="005213B0"/>
    <w:rsid w:val="00524014"/>
    <w:rsid w:val="005242EA"/>
    <w:rsid w:val="00526177"/>
    <w:rsid w:val="0052703F"/>
    <w:rsid w:val="0052736D"/>
    <w:rsid w:val="0053032F"/>
    <w:rsid w:val="00531504"/>
    <w:rsid w:val="00532575"/>
    <w:rsid w:val="00533560"/>
    <w:rsid w:val="00533FF8"/>
    <w:rsid w:val="00534828"/>
    <w:rsid w:val="005363C5"/>
    <w:rsid w:val="00536C8F"/>
    <w:rsid w:val="005405A7"/>
    <w:rsid w:val="0054067C"/>
    <w:rsid w:val="00540E50"/>
    <w:rsid w:val="00541FB9"/>
    <w:rsid w:val="00542C90"/>
    <w:rsid w:val="005430F8"/>
    <w:rsid w:val="00543381"/>
    <w:rsid w:val="0054346E"/>
    <w:rsid w:val="0054394B"/>
    <w:rsid w:val="0054553C"/>
    <w:rsid w:val="005475F6"/>
    <w:rsid w:val="00547AA3"/>
    <w:rsid w:val="0055276F"/>
    <w:rsid w:val="0055361A"/>
    <w:rsid w:val="005546BE"/>
    <w:rsid w:val="00557067"/>
    <w:rsid w:val="0056006B"/>
    <w:rsid w:val="005608EA"/>
    <w:rsid w:val="00561120"/>
    <w:rsid w:val="005612CA"/>
    <w:rsid w:val="0056132D"/>
    <w:rsid w:val="00562663"/>
    <w:rsid w:val="005626E9"/>
    <w:rsid w:val="00562FDB"/>
    <w:rsid w:val="00564A59"/>
    <w:rsid w:val="00564F39"/>
    <w:rsid w:val="00565046"/>
    <w:rsid w:val="00565577"/>
    <w:rsid w:val="005673FC"/>
    <w:rsid w:val="00567B72"/>
    <w:rsid w:val="00567E97"/>
    <w:rsid w:val="005702C8"/>
    <w:rsid w:val="00570683"/>
    <w:rsid w:val="00570C86"/>
    <w:rsid w:val="0057118C"/>
    <w:rsid w:val="00572A19"/>
    <w:rsid w:val="00572D91"/>
    <w:rsid w:val="005731B6"/>
    <w:rsid w:val="005752F1"/>
    <w:rsid w:val="005755F9"/>
    <w:rsid w:val="00575E58"/>
    <w:rsid w:val="00576A1D"/>
    <w:rsid w:val="00576C75"/>
    <w:rsid w:val="0057776C"/>
    <w:rsid w:val="00580D5B"/>
    <w:rsid w:val="00580EB5"/>
    <w:rsid w:val="0058160E"/>
    <w:rsid w:val="00582554"/>
    <w:rsid w:val="00582A60"/>
    <w:rsid w:val="00584B7A"/>
    <w:rsid w:val="005858D5"/>
    <w:rsid w:val="0058594E"/>
    <w:rsid w:val="00585E0A"/>
    <w:rsid w:val="00586048"/>
    <w:rsid w:val="00586FDC"/>
    <w:rsid w:val="00590A0C"/>
    <w:rsid w:val="00590EE0"/>
    <w:rsid w:val="00591685"/>
    <w:rsid w:val="00592D04"/>
    <w:rsid w:val="00594A8F"/>
    <w:rsid w:val="00594DA0"/>
    <w:rsid w:val="00594EB6"/>
    <w:rsid w:val="005961FB"/>
    <w:rsid w:val="005964D9"/>
    <w:rsid w:val="005970F5"/>
    <w:rsid w:val="00597395"/>
    <w:rsid w:val="005A028B"/>
    <w:rsid w:val="005A0504"/>
    <w:rsid w:val="005A0889"/>
    <w:rsid w:val="005A0CEE"/>
    <w:rsid w:val="005A0FC6"/>
    <w:rsid w:val="005A1865"/>
    <w:rsid w:val="005A1EA2"/>
    <w:rsid w:val="005A253B"/>
    <w:rsid w:val="005A2569"/>
    <w:rsid w:val="005A25EF"/>
    <w:rsid w:val="005A2C41"/>
    <w:rsid w:val="005A2FD4"/>
    <w:rsid w:val="005A32D4"/>
    <w:rsid w:val="005A5183"/>
    <w:rsid w:val="005A5AC0"/>
    <w:rsid w:val="005A6EB9"/>
    <w:rsid w:val="005A6EC9"/>
    <w:rsid w:val="005A76B3"/>
    <w:rsid w:val="005A7C0D"/>
    <w:rsid w:val="005B0D9A"/>
    <w:rsid w:val="005B1222"/>
    <w:rsid w:val="005B17CF"/>
    <w:rsid w:val="005B3642"/>
    <w:rsid w:val="005B3661"/>
    <w:rsid w:val="005B5015"/>
    <w:rsid w:val="005B61E5"/>
    <w:rsid w:val="005B7583"/>
    <w:rsid w:val="005B77BA"/>
    <w:rsid w:val="005B7DB7"/>
    <w:rsid w:val="005B7F2F"/>
    <w:rsid w:val="005C05A5"/>
    <w:rsid w:val="005C3277"/>
    <w:rsid w:val="005C3540"/>
    <w:rsid w:val="005C3EC0"/>
    <w:rsid w:val="005C4364"/>
    <w:rsid w:val="005C4568"/>
    <w:rsid w:val="005C5512"/>
    <w:rsid w:val="005C71B3"/>
    <w:rsid w:val="005C7AC4"/>
    <w:rsid w:val="005C7C89"/>
    <w:rsid w:val="005D0933"/>
    <w:rsid w:val="005D0F2E"/>
    <w:rsid w:val="005D139E"/>
    <w:rsid w:val="005D1635"/>
    <w:rsid w:val="005D24FA"/>
    <w:rsid w:val="005D4388"/>
    <w:rsid w:val="005D53DF"/>
    <w:rsid w:val="005D542C"/>
    <w:rsid w:val="005D5699"/>
    <w:rsid w:val="005D5811"/>
    <w:rsid w:val="005D5D46"/>
    <w:rsid w:val="005D5FA7"/>
    <w:rsid w:val="005D7469"/>
    <w:rsid w:val="005E08D9"/>
    <w:rsid w:val="005E0A30"/>
    <w:rsid w:val="005E1790"/>
    <w:rsid w:val="005E1B0C"/>
    <w:rsid w:val="005E1B87"/>
    <w:rsid w:val="005E22ED"/>
    <w:rsid w:val="005E2B7D"/>
    <w:rsid w:val="005E4144"/>
    <w:rsid w:val="005E5A5C"/>
    <w:rsid w:val="005E76F7"/>
    <w:rsid w:val="005F193E"/>
    <w:rsid w:val="005F1DB9"/>
    <w:rsid w:val="005F237F"/>
    <w:rsid w:val="005F2AEE"/>
    <w:rsid w:val="005F3ACB"/>
    <w:rsid w:val="005F4E0B"/>
    <w:rsid w:val="005F520A"/>
    <w:rsid w:val="005F5CC8"/>
    <w:rsid w:val="005F6083"/>
    <w:rsid w:val="005F7155"/>
    <w:rsid w:val="005F7CFC"/>
    <w:rsid w:val="005F7DF7"/>
    <w:rsid w:val="00600E1D"/>
    <w:rsid w:val="00601877"/>
    <w:rsid w:val="0060245F"/>
    <w:rsid w:val="00602733"/>
    <w:rsid w:val="006031BB"/>
    <w:rsid w:val="00604541"/>
    <w:rsid w:val="006047B7"/>
    <w:rsid w:val="006058C1"/>
    <w:rsid w:val="00606335"/>
    <w:rsid w:val="00606C08"/>
    <w:rsid w:val="00607A7A"/>
    <w:rsid w:val="006102C9"/>
    <w:rsid w:val="006102DB"/>
    <w:rsid w:val="006102E6"/>
    <w:rsid w:val="00610544"/>
    <w:rsid w:val="006115B3"/>
    <w:rsid w:val="0061260B"/>
    <w:rsid w:val="00612810"/>
    <w:rsid w:val="00613014"/>
    <w:rsid w:val="006135A6"/>
    <w:rsid w:val="00613AB9"/>
    <w:rsid w:val="006163E2"/>
    <w:rsid w:val="00616696"/>
    <w:rsid w:val="0061796E"/>
    <w:rsid w:val="006179FC"/>
    <w:rsid w:val="00617A49"/>
    <w:rsid w:val="00620478"/>
    <w:rsid w:val="00620955"/>
    <w:rsid w:val="006216EF"/>
    <w:rsid w:val="00621DE6"/>
    <w:rsid w:val="00623088"/>
    <w:rsid w:val="006230AC"/>
    <w:rsid w:val="006235F9"/>
    <w:rsid w:val="00624B70"/>
    <w:rsid w:val="0062516D"/>
    <w:rsid w:val="00626263"/>
    <w:rsid w:val="006263E4"/>
    <w:rsid w:val="00626BCE"/>
    <w:rsid w:val="00626C4C"/>
    <w:rsid w:val="00626D3E"/>
    <w:rsid w:val="0062701E"/>
    <w:rsid w:val="00631EB7"/>
    <w:rsid w:val="00633314"/>
    <w:rsid w:val="00633C20"/>
    <w:rsid w:val="006348D5"/>
    <w:rsid w:val="00634D21"/>
    <w:rsid w:val="00637508"/>
    <w:rsid w:val="00637939"/>
    <w:rsid w:val="00637EE7"/>
    <w:rsid w:val="0064129A"/>
    <w:rsid w:val="00641B4D"/>
    <w:rsid w:val="00642001"/>
    <w:rsid w:val="00642BA5"/>
    <w:rsid w:val="006431F8"/>
    <w:rsid w:val="00643C75"/>
    <w:rsid w:val="00643F84"/>
    <w:rsid w:val="00646705"/>
    <w:rsid w:val="00647586"/>
    <w:rsid w:val="006477E8"/>
    <w:rsid w:val="006506CC"/>
    <w:rsid w:val="00651425"/>
    <w:rsid w:val="00653BC7"/>
    <w:rsid w:val="00653CD8"/>
    <w:rsid w:val="00654B47"/>
    <w:rsid w:val="00656C25"/>
    <w:rsid w:val="00661177"/>
    <w:rsid w:val="006617C3"/>
    <w:rsid w:val="00661AB4"/>
    <w:rsid w:val="00663BF4"/>
    <w:rsid w:val="00664A22"/>
    <w:rsid w:val="00664B91"/>
    <w:rsid w:val="006659DF"/>
    <w:rsid w:val="00665D02"/>
    <w:rsid w:val="006669B0"/>
    <w:rsid w:val="00670198"/>
    <w:rsid w:val="00670A54"/>
    <w:rsid w:val="006719EB"/>
    <w:rsid w:val="00671F85"/>
    <w:rsid w:val="0067374E"/>
    <w:rsid w:val="00675148"/>
    <w:rsid w:val="006759FC"/>
    <w:rsid w:val="00675F74"/>
    <w:rsid w:val="00675FF0"/>
    <w:rsid w:val="00676E33"/>
    <w:rsid w:val="006835C5"/>
    <w:rsid w:val="00683EF9"/>
    <w:rsid w:val="00684E2F"/>
    <w:rsid w:val="006853C3"/>
    <w:rsid w:val="00686DA5"/>
    <w:rsid w:val="00687567"/>
    <w:rsid w:val="006902E1"/>
    <w:rsid w:val="00691577"/>
    <w:rsid w:val="00691938"/>
    <w:rsid w:val="00691B56"/>
    <w:rsid w:val="00692AA9"/>
    <w:rsid w:val="00693998"/>
    <w:rsid w:val="00694605"/>
    <w:rsid w:val="00694E0B"/>
    <w:rsid w:val="006958E4"/>
    <w:rsid w:val="0069599B"/>
    <w:rsid w:val="00697148"/>
    <w:rsid w:val="00697BCA"/>
    <w:rsid w:val="006A0A6E"/>
    <w:rsid w:val="006A0E10"/>
    <w:rsid w:val="006A10CF"/>
    <w:rsid w:val="006A1452"/>
    <w:rsid w:val="006A1C40"/>
    <w:rsid w:val="006A3DA0"/>
    <w:rsid w:val="006A4630"/>
    <w:rsid w:val="006A70DA"/>
    <w:rsid w:val="006B1040"/>
    <w:rsid w:val="006B1D82"/>
    <w:rsid w:val="006B2968"/>
    <w:rsid w:val="006B3AE5"/>
    <w:rsid w:val="006B4F86"/>
    <w:rsid w:val="006B5CB9"/>
    <w:rsid w:val="006B6280"/>
    <w:rsid w:val="006B6398"/>
    <w:rsid w:val="006B6F90"/>
    <w:rsid w:val="006C24A4"/>
    <w:rsid w:val="006C2934"/>
    <w:rsid w:val="006C3427"/>
    <w:rsid w:val="006C359F"/>
    <w:rsid w:val="006C3F82"/>
    <w:rsid w:val="006C41EF"/>
    <w:rsid w:val="006C4CF2"/>
    <w:rsid w:val="006C4CFC"/>
    <w:rsid w:val="006C5DF8"/>
    <w:rsid w:val="006C72BB"/>
    <w:rsid w:val="006C7C6E"/>
    <w:rsid w:val="006C7E73"/>
    <w:rsid w:val="006C7F09"/>
    <w:rsid w:val="006D074E"/>
    <w:rsid w:val="006D13ED"/>
    <w:rsid w:val="006D2A08"/>
    <w:rsid w:val="006D35D5"/>
    <w:rsid w:val="006D381E"/>
    <w:rsid w:val="006D39EB"/>
    <w:rsid w:val="006D3BF2"/>
    <w:rsid w:val="006D48F7"/>
    <w:rsid w:val="006D7323"/>
    <w:rsid w:val="006E0128"/>
    <w:rsid w:val="006E08E6"/>
    <w:rsid w:val="006E27D2"/>
    <w:rsid w:val="006E43F9"/>
    <w:rsid w:val="006E506D"/>
    <w:rsid w:val="006E5671"/>
    <w:rsid w:val="006E5A65"/>
    <w:rsid w:val="006E6478"/>
    <w:rsid w:val="006E6CC0"/>
    <w:rsid w:val="006E705B"/>
    <w:rsid w:val="006E7831"/>
    <w:rsid w:val="006E795B"/>
    <w:rsid w:val="006E7B62"/>
    <w:rsid w:val="006F10F3"/>
    <w:rsid w:val="006F203C"/>
    <w:rsid w:val="006F2558"/>
    <w:rsid w:val="006F3136"/>
    <w:rsid w:val="006F32A8"/>
    <w:rsid w:val="006F3C54"/>
    <w:rsid w:val="006F3D3A"/>
    <w:rsid w:val="006F4270"/>
    <w:rsid w:val="006F47B0"/>
    <w:rsid w:val="006F6BB9"/>
    <w:rsid w:val="006F75D3"/>
    <w:rsid w:val="00700B83"/>
    <w:rsid w:val="00701A02"/>
    <w:rsid w:val="00703DAD"/>
    <w:rsid w:val="00705E8C"/>
    <w:rsid w:val="00706C47"/>
    <w:rsid w:val="00706E3A"/>
    <w:rsid w:val="00710855"/>
    <w:rsid w:val="00710E37"/>
    <w:rsid w:val="00710E6C"/>
    <w:rsid w:val="0071178C"/>
    <w:rsid w:val="00711B7D"/>
    <w:rsid w:val="00711C8A"/>
    <w:rsid w:val="007129E8"/>
    <w:rsid w:val="00713383"/>
    <w:rsid w:val="007140E3"/>
    <w:rsid w:val="00714293"/>
    <w:rsid w:val="00715808"/>
    <w:rsid w:val="00715CD5"/>
    <w:rsid w:val="00715F64"/>
    <w:rsid w:val="00716AA2"/>
    <w:rsid w:val="00720332"/>
    <w:rsid w:val="007226BB"/>
    <w:rsid w:val="00722D07"/>
    <w:rsid w:val="00722D49"/>
    <w:rsid w:val="00723141"/>
    <w:rsid w:val="00724E15"/>
    <w:rsid w:val="00724FA5"/>
    <w:rsid w:val="00725339"/>
    <w:rsid w:val="007261C1"/>
    <w:rsid w:val="00726911"/>
    <w:rsid w:val="00727810"/>
    <w:rsid w:val="007301DF"/>
    <w:rsid w:val="007306D5"/>
    <w:rsid w:val="00730A1E"/>
    <w:rsid w:val="00731298"/>
    <w:rsid w:val="00731A37"/>
    <w:rsid w:val="0073286B"/>
    <w:rsid w:val="00733D3D"/>
    <w:rsid w:val="00733ED0"/>
    <w:rsid w:val="007350A2"/>
    <w:rsid w:val="00735BE4"/>
    <w:rsid w:val="00736E40"/>
    <w:rsid w:val="00737768"/>
    <w:rsid w:val="007377CF"/>
    <w:rsid w:val="00741D81"/>
    <w:rsid w:val="007429E9"/>
    <w:rsid w:val="007439F3"/>
    <w:rsid w:val="007453CD"/>
    <w:rsid w:val="0074550C"/>
    <w:rsid w:val="0074712C"/>
    <w:rsid w:val="007506B9"/>
    <w:rsid w:val="00752054"/>
    <w:rsid w:val="00754D2A"/>
    <w:rsid w:val="00755B8D"/>
    <w:rsid w:val="00755FCB"/>
    <w:rsid w:val="007570EC"/>
    <w:rsid w:val="00760C9E"/>
    <w:rsid w:val="00760EF4"/>
    <w:rsid w:val="00761543"/>
    <w:rsid w:val="007616B3"/>
    <w:rsid w:val="00761DA8"/>
    <w:rsid w:val="00763BF4"/>
    <w:rsid w:val="007641FD"/>
    <w:rsid w:val="007645D7"/>
    <w:rsid w:val="007647F9"/>
    <w:rsid w:val="0076483A"/>
    <w:rsid w:val="00764ED2"/>
    <w:rsid w:val="00764F1C"/>
    <w:rsid w:val="0076542A"/>
    <w:rsid w:val="00767B8D"/>
    <w:rsid w:val="00767BA2"/>
    <w:rsid w:val="00767F0C"/>
    <w:rsid w:val="007709F2"/>
    <w:rsid w:val="00770A57"/>
    <w:rsid w:val="00771739"/>
    <w:rsid w:val="007725F7"/>
    <w:rsid w:val="0077295C"/>
    <w:rsid w:val="00772BCE"/>
    <w:rsid w:val="007736BD"/>
    <w:rsid w:val="00773AF2"/>
    <w:rsid w:val="00775726"/>
    <w:rsid w:val="00775C4A"/>
    <w:rsid w:val="00775E58"/>
    <w:rsid w:val="00776558"/>
    <w:rsid w:val="007769AE"/>
    <w:rsid w:val="0078078F"/>
    <w:rsid w:val="007809B7"/>
    <w:rsid w:val="00780D5B"/>
    <w:rsid w:val="007821F5"/>
    <w:rsid w:val="00784728"/>
    <w:rsid w:val="007849D6"/>
    <w:rsid w:val="007849F1"/>
    <w:rsid w:val="00784A76"/>
    <w:rsid w:val="007870C6"/>
    <w:rsid w:val="00787C1D"/>
    <w:rsid w:val="00790158"/>
    <w:rsid w:val="007903A5"/>
    <w:rsid w:val="00790BF1"/>
    <w:rsid w:val="00791325"/>
    <w:rsid w:val="007923F9"/>
    <w:rsid w:val="0079391B"/>
    <w:rsid w:val="007961B1"/>
    <w:rsid w:val="00797630"/>
    <w:rsid w:val="0079789F"/>
    <w:rsid w:val="00797904"/>
    <w:rsid w:val="00797EBD"/>
    <w:rsid w:val="00797FD3"/>
    <w:rsid w:val="007A053B"/>
    <w:rsid w:val="007A20C2"/>
    <w:rsid w:val="007A3A88"/>
    <w:rsid w:val="007A3AC8"/>
    <w:rsid w:val="007A5879"/>
    <w:rsid w:val="007A5E63"/>
    <w:rsid w:val="007A66ED"/>
    <w:rsid w:val="007A74F1"/>
    <w:rsid w:val="007A7B99"/>
    <w:rsid w:val="007B04C0"/>
    <w:rsid w:val="007B1519"/>
    <w:rsid w:val="007B1EBB"/>
    <w:rsid w:val="007B217C"/>
    <w:rsid w:val="007B26BF"/>
    <w:rsid w:val="007B3A10"/>
    <w:rsid w:val="007B3B1A"/>
    <w:rsid w:val="007B3CFC"/>
    <w:rsid w:val="007B46D4"/>
    <w:rsid w:val="007B4CA6"/>
    <w:rsid w:val="007B6CC2"/>
    <w:rsid w:val="007B71FF"/>
    <w:rsid w:val="007C0648"/>
    <w:rsid w:val="007C0984"/>
    <w:rsid w:val="007C1D9A"/>
    <w:rsid w:val="007C21A0"/>
    <w:rsid w:val="007C2993"/>
    <w:rsid w:val="007C29E5"/>
    <w:rsid w:val="007C2FCE"/>
    <w:rsid w:val="007C3621"/>
    <w:rsid w:val="007C378A"/>
    <w:rsid w:val="007C612E"/>
    <w:rsid w:val="007C6FDD"/>
    <w:rsid w:val="007C70FE"/>
    <w:rsid w:val="007D01E4"/>
    <w:rsid w:val="007D0BA2"/>
    <w:rsid w:val="007D0FC0"/>
    <w:rsid w:val="007D1C99"/>
    <w:rsid w:val="007D1F77"/>
    <w:rsid w:val="007D2446"/>
    <w:rsid w:val="007D2724"/>
    <w:rsid w:val="007D2F18"/>
    <w:rsid w:val="007D3000"/>
    <w:rsid w:val="007D4686"/>
    <w:rsid w:val="007D4962"/>
    <w:rsid w:val="007D4B3F"/>
    <w:rsid w:val="007D5216"/>
    <w:rsid w:val="007D5392"/>
    <w:rsid w:val="007D578F"/>
    <w:rsid w:val="007D5E99"/>
    <w:rsid w:val="007D5ECE"/>
    <w:rsid w:val="007D64AF"/>
    <w:rsid w:val="007D67DD"/>
    <w:rsid w:val="007D722E"/>
    <w:rsid w:val="007E2C17"/>
    <w:rsid w:val="007E43DE"/>
    <w:rsid w:val="007E4616"/>
    <w:rsid w:val="007E46C4"/>
    <w:rsid w:val="007E5BCD"/>
    <w:rsid w:val="007E5E70"/>
    <w:rsid w:val="007E689B"/>
    <w:rsid w:val="007E70DE"/>
    <w:rsid w:val="007E73B8"/>
    <w:rsid w:val="007E7872"/>
    <w:rsid w:val="007F1816"/>
    <w:rsid w:val="007F2AB8"/>
    <w:rsid w:val="007F2D39"/>
    <w:rsid w:val="007F2DD7"/>
    <w:rsid w:val="007F3938"/>
    <w:rsid w:val="007F417F"/>
    <w:rsid w:val="007F4653"/>
    <w:rsid w:val="007F709E"/>
    <w:rsid w:val="007F7846"/>
    <w:rsid w:val="007F7BFE"/>
    <w:rsid w:val="00800C95"/>
    <w:rsid w:val="008024E5"/>
    <w:rsid w:val="00802E83"/>
    <w:rsid w:val="008033DE"/>
    <w:rsid w:val="008068CA"/>
    <w:rsid w:val="0080702B"/>
    <w:rsid w:val="00807B1C"/>
    <w:rsid w:val="00807CFB"/>
    <w:rsid w:val="0081036C"/>
    <w:rsid w:val="00810806"/>
    <w:rsid w:val="00810B81"/>
    <w:rsid w:val="00810EB8"/>
    <w:rsid w:val="008117E4"/>
    <w:rsid w:val="00812C1A"/>
    <w:rsid w:val="008142D0"/>
    <w:rsid w:val="008146A2"/>
    <w:rsid w:val="00814806"/>
    <w:rsid w:val="008149CF"/>
    <w:rsid w:val="00814A7D"/>
    <w:rsid w:val="00815727"/>
    <w:rsid w:val="00815E95"/>
    <w:rsid w:val="00821C64"/>
    <w:rsid w:val="0082204C"/>
    <w:rsid w:val="0082269C"/>
    <w:rsid w:val="00822D70"/>
    <w:rsid w:val="00823A19"/>
    <w:rsid w:val="00823AF9"/>
    <w:rsid w:val="0082407B"/>
    <w:rsid w:val="00825DA3"/>
    <w:rsid w:val="0082613A"/>
    <w:rsid w:val="00826996"/>
    <w:rsid w:val="0082774A"/>
    <w:rsid w:val="008303D1"/>
    <w:rsid w:val="008315B8"/>
    <w:rsid w:val="00831600"/>
    <w:rsid w:val="0083178E"/>
    <w:rsid w:val="0083272B"/>
    <w:rsid w:val="00834B67"/>
    <w:rsid w:val="00834E43"/>
    <w:rsid w:val="008352DC"/>
    <w:rsid w:val="00836413"/>
    <w:rsid w:val="008402C2"/>
    <w:rsid w:val="008407D6"/>
    <w:rsid w:val="00840D62"/>
    <w:rsid w:val="00840DA7"/>
    <w:rsid w:val="00841962"/>
    <w:rsid w:val="00841D25"/>
    <w:rsid w:val="00843013"/>
    <w:rsid w:val="0084371B"/>
    <w:rsid w:val="00843EA3"/>
    <w:rsid w:val="00844A9E"/>
    <w:rsid w:val="0084502E"/>
    <w:rsid w:val="0084618B"/>
    <w:rsid w:val="008465B5"/>
    <w:rsid w:val="00850A4A"/>
    <w:rsid w:val="00850CC1"/>
    <w:rsid w:val="00850DDD"/>
    <w:rsid w:val="00850ED4"/>
    <w:rsid w:val="00850F82"/>
    <w:rsid w:val="0085234F"/>
    <w:rsid w:val="00853AD9"/>
    <w:rsid w:val="00854469"/>
    <w:rsid w:val="00854685"/>
    <w:rsid w:val="00854AEA"/>
    <w:rsid w:val="00855B52"/>
    <w:rsid w:val="00855C79"/>
    <w:rsid w:val="00855C7B"/>
    <w:rsid w:val="008564AA"/>
    <w:rsid w:val="00856EA1"/>
    <w:rsid w:val="008576D8"/>
    <w:rsid w:val="0086004C"/>
    <w:rsid w:val="0086075F"/>
    <w:rsid w:val="008612FA"/>
    <w:rsid w:val="00862D7E"/>
    <w:rsid w:val="008632A6"/>
    <w:rsid w:val="0086354F"/>
    <w:rsid w:val="00863B6D"/>
    <w:rsid w:val="00864949"/>
    <w:rsid w:val="00866880"/>
    <w:rsid w:val="008701FA"/>
    <w:rsid w:val="00870A7E"/>
    <w:rsid w:val="0087147D"/>
    <w:rsid w:val="00871616"/>
    <w:rsid w:val="00872451"/>
    <w:rsid w:val="0087281C"/>
    <w:rsid w:val="00872836"/>
    <w:rsid w:val="008734F9"/>
    <w:rsid w:val="00873AE9"/>
    <w:rsid w:val="00874750"/>
    <w:rsid w:val="00875069"/>
    <w:rsid w:val="00875FF1"/>
    <w:rsid w:val="00876D90"/>
    <w:rsid w:val="008770CE"/>
    <w:rsid w:val="008773FA"/>
    <w:rsid w:val="008775A8"/>
    <w:rsid w:val="00877D4F"/>
    <w:rsid w:val="00880F1F"/>
    <w:rsid w:val="00881440"/>
    <w:rsid w:val="00881A6E"/>
    <w:rsid w:val="0088305C"/>
    <w:rsid w:val="00883C73"/>
    <w:rsid w:val="00883E8D"/>
    <w:rsid w:val="00884895"/>
    <w:rsid w:val="00884A3C"/>
    <w:rsid w:val="00884D22"/>
    <w:rsid w:val="00885C4E"/>
    <w:rsid w:val="008860B3"/>
    <w:rsid w:val="00886411"/>
    <w:rsid w:val="00886AC6"/>
    <w:rsid w:val="00887D0F"/>
    <w:rsid w:val="00887E3E"/>
    <w:rsid w:val="00891D11"/>
    <w:rsid w:val="0089306A"/>
    <w:rsid w:val="008941E6"/>
    <w:rsid w:val="00894217"/>
    <w:rsid w:val="00894413"/>
    <w:rsid w:val="00894E47"/>
    <w:rsid w:val="00895DF8"/>
    <w:rsid w:val="0089724E"/>
    <w:rsid w:val="00897605"/>
    <w:rsid w:val="00897C83"/>
    <w:rsid w:val="008A2301"/>
    <w:rsid w:val="008A2A25"/>
    <w:rsid w:val="008A37FB"/>
    <w:rsid w:val="008A38C3"/>
    <w:rsid w:val="008A4D43"/>
    <w:rsid w:val="008A5FEF"/>
    <w:rsid w:val="008A6E83"/>
    <w:rsid w:val="008B13F0"/>
    <w:rsid w:val="008B20B4"/>
    <w:rsid w:val="008B2184"/>
    <w:rsid w:val="008B22D0"/>
    <w:rsid w:val="008B246F"/>
    <w:rsid w:val="008B27AE"/>
    <w:rsid w:val="008B37DB"/>
    <w:rsid w:val="008B40BE"/>
    <w:rsid w:val="008B67BD"/>
    <w:rsid w:val="008B6B4B"/>
    <w:rsid w:val="008B7760"/>
    <w:rsid w:val="008B7F6B"/>
    <w:rsid w:val="008C02F4"/>
    <w:rsid w:val="008C1A4B"/>
    <w:rsid w:val="008C1AAC"/>
    <w:rsid w:val="008C1CB4"/>
    <w:rsid w:val="008C21E3"/>
    <w:rsid w:val="008C3077"/>
    <w:rsid w:val="008C3846"/>
    <w:rsid w:val="008C39BD"/>
    <w:rsid w:val="008C3C8C"/>
    <w:rsid w:val="008C4731"/>
    <w:rsid w:val="008C487E"/>
    <w:rsid w:val="008C4908"/>
    <w:rsid w:val="008C4F53"/>
    <w:rsid w:val="008C4FEF"/>
    <w:rsid w:val="008C5090"/>
    <w:rsid w:val="008C53E3"/>
    <w:rsid w:val="008C5B6F"/>
    <w:rsid w:val="008C7313"/>
    <w:rsid w:val="008C76D8"/>
    <w:rsid w:val="008D06A5"/>
    <w:rsid w:val="008D14DB"/>
    <w:rsid w:val="008D1899"/>
    <w:rsid w:val="008D18AB"/>
    <w:rsid w:val="008D1EDB"/>
    <w:rsid w:val="008D21FB"/>
    <w:rsid w:val="008D2873"/>
    <w:rsid w:val="008D2879"/>
    <w:rsid w:val="008D372D"/>
    <w:rsid w:val="008D4267"/>
    <w:rsid w:val="008D4606"/>
    <w:rsid w:val="008D4672"/>
    <w:rsid w:val="008D4748"/>
    <w:rsid w:val="008D4F4B"/>
    <w:rsid w:val="008D54E5"/>
    <w:rsid w:val="008D5ECB"/>
    <w:rsid w:val="008D70DD"/>
    <w:rsid w:val="008D7653"/>
    <w:rsid w:val="008D793E"/>
    <w:rsid w:val="008E122F"/>
    <w:rsid w:val="008E1FD5"/>
    <w:rsid w:val="008E2908"/>
    <w:rsid w:val="008E31B0"/>
    <w:rsid w:val="008E36D8"/>
    <w:rsid w:val="008E3CDF"/>
    <w:rsid w:val="008E50A5"/>
    <w:rsid w:val="008E6B0D"/>
    <w:rsid w:val="008E70CF"/>
    <w:rsid w:val="008E71EC"/>
    <w:rsid w:val="008F0038"/>
    <w:rsid w:val="008F00F5"/>
    <w:rsid w:val="008F038A"/>
    <w:rsid w:val="008F0A93"/>
    <w:rsid w:val="008F130F"/>
    <w:rsid w:val="008F1C7E"/>
    <w:rsid w:val="008F1CED"/>
    <w:rsid w:val="008F34E5"/>
    <w:rsid w:val="008F36C5"/>
    <w:rsid w:val="008F383C"/>
    <w:rsid w:val="008F4751"/>
    <w:rsid w:val="008F4B96"/>
    <w:rsid w:val="008F6D9D"/>
    <w:rsid w:val="008F6FCD"/>
    <w:rsid w:val="008F74B1"/>
    <w:rsid w:val="009008FB"/>
    <w:rsid w:val="00900C36"/>
    <w:rsid w:val="00901E2F"/>
    <w:rsid w:val="00902962"/>
    <w:rsid w:val="00902E05"/>
    <w:rsid w:val="0090659A"/>
    <w:rsid w:val="00910BBF"/>
    <w:rsid w:val="00912ACC"/>
    <w:rsid w:val="00912E32"/>
    <w:rsid w:val="00913FD3"/>
    <w:rsid w:val="00914713"/>
    <w:rsid w:val="0091487A"/>
    <w:rsid w:val="00914C4F"/>
    <w:rsid w:val="00914F60"/>
    <w:rsid w:val="009153CF"/>
    <w:rsid w:val="00915AB8"/>
    <w:rsid w:val="00916854"/>
    <w:rsid w:val="0091712C"/>
    <w:rsid w:val="00917980"/>
    <w:rsid w:val="009216AA"/>
    <w:rsid w:val="0092208D"/>
    <w:rsid w:val="009230BC"/>
    <w:rsid w:val="0092398F"/>
    <w:rsid w:val="00924533"/>
    <w:rsid w:val="009251AA"/>
    <w:rsid w:val="0092614B"/>
    <w:rsid w:val="00926A33"/>
    <w:rsid w:val="00926FA0"/>
    <w:rsid w:val="0093004A"/>
    <w:rsid w:val="009300FF"/>
    <w:rsid w:val="00931081"/>
    <w:rsid w:val="00932A86"/>
    <w:rsid w:val="00932AC3"/>
    <w:rsid w:val="00933926"/>
    <w:rsid w:val="00934444"/>
    <w:rsid w:val="009350FA"/>
    <w:rsid w:val="009356E3"/>
    <w:rsid w:val="00935B78"/>
    <w:rsid w:val="00936086"/>
    <w:rsid w:val="00936600"/>
    <w:rsid w:val="00936A7C"/>
    <w:rsid w:val="009377D0"/>
    <w:rsid w:val="00940D56"/>
    <w:rsid w:val="00942069"/>
    <w:rsid w:val="0094269E"/>
    <w:rsid w:val="0094300B"/>
    <w:rsid w:val="00944AE4"/>
    <w:rsid w:val="00946D38"/>
    <w:rsid w:val="009470AE"/>
    <w:rsid w:val="00947778"/>
    <w:rsid w:val="0094797C"/>
    <w:rsid w:val="00947DA3"/>
    <w:rsid w:val="00950430"/>
    <w:rsid w:val="009510DF"/>
    <w:rsid w:val="009513C3"/>
    <w:rsid w:val="009518F7"/>
    <w:rsid w:val="00954DF8"/>
    <w:rsid w:val="00954F33"/>
    <w:rsid w:val="00954FF4"/>
    <w:rsid w:val="009551D3"/>
    <w:rsid w:val="00955264"/>
    <w:rsid w:val="00956F88"/>
    <w:rsid w:val="00957835"/>
    <w:rsid w:val="00960397"/>
    <w:rsid w:val="00960511"/>
    <w:rsid w:val="009605E0"/>
    <w:rsid w:val="00960965"/>
    <w:rsid w:val="00960FB2"/>
    <w:rsid w:val="00961A4F"/>
    <w:rsid w:val="009630CF"/>
    <w:rsid w:val="00963A45"/>
    <w:rsid w:val="00966051"/>
    <w:rsid w:val="0096638C"/>
    <w:rsid w:val="00966A13"/>
    <w:rsid w:val="009671E3"/>
    <w:rsid w:val="00967B2D"/>
    <w:rsid w:val="00967BBA"/>
    <w:rsid w:val="009705B5"/>
    <w:rsid w:val="0097122A"/>
    <w:rsid w:val="00971276"/>
    <w:rsid w:val="009745F2"/>
    <w:rsid w:val="009746A6"/>
    <w:rsid w:val="00974858"/>
    <w:rsid w:val="00974AC3"/>
    <w:rsid w:val="00974CF9"/>
    <w:rsid w:val="00975996"/>
    <w:rsid w:val="0097722A"/>
    <w:rsid w:val="009806BA"/>
    <w:rsid w:val="00980784"/>
    <w:rsid w:val="00980910"/>
    <w:rsid w:val="00981BC5"/>
    <w:rsid w:val="00983CED"/>
    <w:rsid w:val="00983F4C"/>
    <w:rsid w:val="0098469A"/>
    <w:rsid w:val="00984865"/>
    <w:rsid w:val="00985247"/>
    <w:rsid w:val="0098524C"/>
    <w:rsid w:val="00985295"/>
    <w:rsid w:val="00985EDF"/>
    <w:rsid w:val="0098665A"/>
    <w:rsid w:val="00986897"/>
    <w:rsid w:val="00986BC8"/>
    <w:rsid w:val="00987E6E"/>
    <w:rsid w:val="00990411"/>
    <w:rsid w:val="0099062C"/>
    <w:rsid w:val="0099077A"/>
    <w:rsid w:val="00990883"/>
    <w:rsid w:val="009917F7"/>
    <w:rsid w:val="00991B7F"/>
    <w:rsid w:val="00993C25"/>
    <w:rsid w:val="00993CD7"/>
    <w:rsid w:val="00994743"/>
    <w:rsid w:val="00995853"/>
    <w:rsid w:val="00996111"/>
    <w:rsid w:val="009963F1"/>
    <w:rsid w:val="009975CA"/>
    <w:rsid w:val="009A0B48"/>
    <w:rsid w:val="009A12A3"/>
    <w:rsid w:val="009A24A6"/>
    <w:rsid w:val="009A2602"/>
    <w:rsid w:val="009A2D92"/>
    <w:rsid w:val="009A446B"/>
    <w:rsid w:val="009A4479"/>
    <w:rsid w:val="009A46ED"/>
    <w:rsid w:val="009A4CEB"/>
    <w:rsid w:val="009A4DCF"/>
    <w:rsid w:val="009A4F4D"/>
    <w:rsid w:val="009A5ECE"/>
    <w:rsid w:val="009A652C"/>
    <w:rsid w:val="009A6CF6"/>
    <w:rsid w:val="009A74FE"/>
    <w:rsid w:val="009A76C4"/>
    <w:rsid w:val="009A76E1"/>
    <w:rsid w:val="009B10C8"/>
    <w:rsid w:val="009B16FC"/>
    <w:rsid w:val="009B18F3"/>
    <w:rsid w:val="009B1CED"/>
    <w:rsid w:val="009B269F"/>
    <w:rsid w:val="009B2A78"/>
    <w:rsid w:val="009B2E32"/>
    <w:rsid w:val="009B3C9C"/>
    <w:rsid w:val="009B4410"/>
    <w:rsid w:val="009B449E"/>
    <w:rsid w:val="009B4D37"/>
    <w:rsid w:val="009B5B66"/>
    <w:rsid w:val="009B6602"/>
    <w:rsid w:val="009B69F2"/>
    <w:rsid w:val="009B708B"/>
    <w:rsid w:val="009C2233"/>
    <w:rsid w:val="009C26D3"/>
    <w:rsid w:val="009C29D4"/>
    <w:rsid w:val="009C39D2"/>
    <w:rsid w:val="009C3B75"/>
    <w:rsid w:val="009C3FDB"/>
    <w:rsid w:val="009C4689"/>
    <w:rsid w:val="009C54C6"/>
    <w:rsid w:val="009C5CFD"/>
    <w:rsid w:val="009C6824"/>
    <w:rsid w:val="009C6868"/>
    <w:rsid w:val="009C6AB5"/>
    <w:rsid w:val="009C6B70"/>
    <w:rsid w:val="009C7EA7"/>
    <w:rsid w:val="009D041A"/>
    <w:rsid w:val="009D0457"/>
    <w:rsid w:val="009D13E3"/>
    <w:rsid w:val="009D1665"/>
    <w:rsid w:val="009D2579"/>
    <w:rsid w:val="009D2FF4"/>
    <w:rsid w:val="009D3329"/>
    <w:rsid w:val="009D3852"/>
    <w:rsid w:val="009D3C70"/>
    <w:rsid w:val="009D4391"/>
    <w:rsid w:val="009D4D58"/>
    <w:rsid w:val="009D564E"/>
    <w:rsid w:val="009D59B9"/>
    <w:rsid w:val="009D5AC4"/>
    <w:rsid w:val="009D61C5"/>
    <w:rsid w:val="009D6421"/>
    <w:rsid w:val="009D6E13"/>
    <w:rsid w:val="009D7F7F"/>
    <w:rsid w:val="009E0BF2"/>
    <w:rsid w:val="009E1B46"/>
    <w:rsid w:val="009E23EF"/>
    <w:rsid w:val="009E2C22"/>
    <w:rsid w:val="009E4D7E"/>
    <w:rsid w:val="009E4DB0"/>
    <w:rsid w:val="009E4F45"/>
    <w:rsid w:val="009E57C4"/>
    <w:rsid w:val="009E6612"/>
    <w:rsid w:val="009E7964"/>
    <w:rsid w:val="009F0F4A"/>
    <w:rsid w:val="009F1880"/>
    <w:rsid w:val="009F1CBC"/>
    <w:rsid w:val="009F2E30"/>
    <w:rsid w:val="009F2F7B"/>
    <w:rsid w:val="009F31A7"/>
    <w:rsid w:val="009F55B1"/>
    <w:rsid w:val="009F61CE"/>
    <w:rsid w:val="009F6BD6"/>
    <w:rsid w:val="00A008AF"/>
    <w:rsid w:val="00A00D38"/>
    <w:rsid w:val="00A01391"/>
    <w:rsid w:val="00A01ABD"/>
    <w:rsid w:val="00A02134"/>
    <w:rsid w:val="00A033EC"/>
    <w:rsid w:val="00A03C9C"/>
    <w:rsid w:val="00A03E32"/>
    <w:rsid w:val="00A03FA1"/>
    <w:rsid w:val="00A04B4D"/>
    <w:rsid w:val="00A06D3E"/>
    <w:rsid w:val="00A111B3"/>
    <w:rsid w:val="00A112AD"/>
    <w:rsid w:val="00A142F6"/>
    <w:rsid w:val="00A15022"/>
    <w:rsid w:val="00A155F6"/>
    <w:rsid w:val="00A16FC7"/>
    <w:rsid w:val="00A201E3"/>
    <w:rsid w:val="00A20963"/>
    <w:rsid w:val="00A23182"/>
    <w:rsid w:val="00A24905"/>
    <w:rsid w:val="00A25EF1"/>
    <w:rsid w:val="00A260FC"/>
    <w:rsid w:val="00A26A9F"/>
    <w:rsid w:val="00A27DDB"/>
    <w:rsid w:val="00A306C0"/>
    <w:rsid w:val="00A308F8"/>
    <w:rsid w:val="00A3120C"/>
    <w:rsid w:val="00A31967"/>
    <w:rsid w:val="00A32EC8"/>
    <w:rsid w:val="00A33E03"/>
    <w:rsid w:val="00A33F89"/>
    <w:rsid w:val="00A34772"/>
    <w:rsid w:val="00A34C4C"/>
    <w:rsid w:val="00A34FD2"/>
    <w:rsid w:val="00A36210"/>
    <w:rsid w:val="00A36ED7"/>
    <w:rsid w:val="00A36F80"/>
    <w:rsid w:val="00A37D03"/>
    <w:rsid w:val="00A407D3"/>
    <w:rsid w:val="00A40DE7"/>
    <w:rsid w:val="00A40E4F"/>
    <w:rsid w:val="00A41FEE"/>
    <w:rsid w:val="00A43F8B"/>
    <w:rsid w:val="00A46B79"/>
    <w:rsid w:val="00A474DF"/>
    <w:rsid w:val="00A47F3C"/>
    <w:rsid w:val="00A50073"/>
    <w:rsid w:val="00A51C97"/>
    <w:rsid w:val="00A529A1"/>
    <w:rsid w:val="00A536DA"/>
    <w:rsid w:val="00A54222"/>
    <w:rsid w:val="00A542E6"/>
    <w:rsid w:val="00A54585"/>
    <w:rsid w:val="00A547F7"/>
    <w:rsid w:val="00A5500C"/>
    <w:rsid w:val="00A57FC6"/>
    <w:rsid w:val="00A60424"/>
    <w:rsid w:val="00A606E7"/>
    <w:rsid w:val="00A60D4C"/>
    <w:rsid w:val="00A60F14"/>
    <w:rsid w:val="00A61824"/>
    <w:rsid w:val="00A619CD"/>
    <w:rsid w:val="00A62DB3"/>
    <w:rsid w:val="00A6433F"/>
    <w:rsid w:val="00A647A6"/>
    <w:rsid w:val="00A64966"/>
    <w:rsid w:val="00A6551C"/>
    <w:rsid w:val="00A6636B"/>
    <w:rsid w:val="00A66377"/>
    <w:rsid w:val="00A67D75"/>
    <w:rsid w:val="00A70779"/>
    <w:rsid w:val="00A70A2B"/>
    <w:rsid w:val="00A70D4F"/>
    <w:rsid w:val="00A7106D"/>
    <w:rsid w:val="00A71230"/>
    <w:rsid w:val="00A728EE"/>
    <w:rsid w:val="00A73AB3"/>
    <w:rsid w:val="00A74435"/>
    <w:rsid w:val="00A7464D"/>
    <w:rsid w:val="00A755EE"/>
    <w:rsid w:val="00A75DB4"/>
    <w:rsid w:val="00A76C78"/>
    <w:rsid w:val="00A773AD"/>
    <w:rsid w:val="00A77910"/>
    <w:rsid w:val="00A81C66"/>
    <w:rsid w:val="00A827E6"/>
    <w:rsid w:val="00A837C2"/>
    <w:rsid w:val="00A8421D"/>
    <w:rsid w:val="00A843FC"/>
    <w:rsid w:val="00A8532F"/>
    <w:rsid w:val="00A862BB"/>
    <w:rsid w:val="00A863CB"/>
    <w:rsid w:val="00A864F8"/>
    <w:rsid w:val="00A86A27"/>
    <w:rsid w:val="00A907E4"/>
    <w:rsid w:val="00A92630"/>
    <w:rsid w:val="00A95994"/>
    <w:rsid w:val="00A95A87"/>
    <w:rsid w:val="00A95B57"/>
    <w:rsid w:val="00A96574"/>
    <w:rsid w:val="00A96CE6"/>
    <w:rsid w:val="00A978FA"/>
    <w:rsid w:val="00AA136C"/>
    <w:rsid w:val="00AA1E95"/>
    <w:rsid w:val="00AA1F43"/>
    <w:rsid w:val="00AA21DE"/>
    <w:rsid w:val="00AA2793"/>
    <w:rsid w:val="00AA2C36"/>
    <w:rsid w:val="00AA482C"/>
    <w:rsid w:val="00AA633F"/>
    <w:rsid w:val="00AA6CFC"/>
    <w:rsid w:val="00AB062E"/>
    <w:rsid w:val="00AB0837"/>
    <w:rsid w:val="00AB0F6F"/>
    <w:rsid w:val="00AB14E8"/>
    <w:rsid w:val="00AB2948"/>
    <w:rsid w:val="00AB54C8"/>
    <w:rsid w:val="00AB5834"/>
    <w:rsid w:val="00AB626B"/>
    <w:rsid w:val="00AB6847"/>
    <w:rsid w:val="00AB6FA3"/>
    <w:rsid w:val="00AB7D3A"/>
    <w:rsid w:val="00AC0579"/>
    <w:rsid w:val="00AC1C1A"/>
    <w:rsid w:val="00AC2D02"/>
    <w:rsid w:val="00AC2D5C"/>
    <w:rsid w:val="00AC2D72"/>
    <w:rsid w:val="00AC32E1"/>
    <w:rsid w:val="00AC38C0"/>
    <w:rsid w:val="00AC3EFC"/>
    <w:rsid w:val="00AC40F0"/>
    <w:rsid w:val="00AC4742"/>
    <w:rsid w:val="00AC4C65"/>
    <w:rsid w:val="00AC522C"/>
    <w:rsid w:val="00AC59C5"/>
    <w:rsid w:val="00AD07A9"/>
    <w:rsid w:val="00AD0FFB"/>
    <w:rsid w:val="00AD16C1"/>
    <w:rsid w:val="00AD1E7E"/>
    <w:rsid w:val="00AD1F0F"/>
    <w:rsid w:val="00AD2295"/>
    <w:rsid w:val="00AD2DAA"/>
    <w:rsid w:val="00AD306F"/>
    <w:rsid w:val="00AD346C"/>
    <w:rsid w:val="00AD389E"/>
    <w:rsid w:val="00AD42F5"/>
    <w:rsid w:val="00AD4B80"/>
    <w:rsid w:val="00AD5501"/>
    <w:rsid w:val="00AD58CB"/>
    <w:rsid w:val="00AE0158"/>
    <w:rsid w:val="00AE0175"/>
    <w:rsid w:val="00AE26AA"/>
    <w:rsid w:val="00AE2FD6"/>
    <w:rsid w:val="00AE47AC"/>
    <w:rsid w:val="00AE4875"/>
    <w:rsid w:val="00AE509A"/>
    <w:rsid w:val="00AE517C"/>
    <w:rsid w:val="00AE51AF"/>
    <w:rsid w:val="00AE5DAC"/>
    <w:rsid w:val="00AE63FA"/>
    <w:rsid w:val="00AE7223"/>
    <w:rsid w:val="00AE74AF"/>
    <w:rsid w:val="00AE7B24"/>
    <w:rsid w:val="00AF02D5"/>
    <w:rsid w:val="00AF0866"/>
    <w:rsid w:val="00AF1EE4"/>
    <w:rsid w:val="00AF36B0"/>
    <w:rsid w:val="00AF4BAA"/>
    <w:rsid w:val="00AF5070"/>
    <w:rsid w:val="00AF51E9"/>
    <w:rsid w:val="00AF559A"/>
    <w:rsid w:val="00AF55EE"/>
    <w:rsid w:val="00AF5F82"/>
    <w:rsid w:val="00AF6213"/>
    <w:rsid w:val="00AF695D"/>
    <w:rsid w:val="00AF74E7"/>
    <w:rsid w:val="00AF7BF3"/>
    <w:rsid w:val="00B00515"/>
    <w:rsid w:val="00B00AE7"/>
    <w:rsid w:val="00B01DB4"/>
    <w:rsid w:val="00B02212"/>
    <w:rsid w:val="00B02EB6"/>
    <w:rsid w:val="00B05195"/>
    <w:rsid w:val="00B07BCB"/>
    <w:rsid w:val="00B104A5"/>
    <w:rsid w:val="00B10542"/>
    <w:rsid w:val="00B116F8"/>
    <w:rsid w:val="00B1250B"/>
    <w:rsid w:val="00B12F55"/>
    <w:rsid w:val="00B1580B"/>
    <w:rsid w:val="00B15854"/>
    <w:rsid w:val="00B16323"/>
    <w:rsid w:val="00B1637B"/>
    <w:rsid w:val="00B1649D"/>
    <w:rsid w:val="00B169AC"/>
    <w:rsid w:val="00B16FAF"/>
    <w:rsid w:val="00B20286"/>
    <w:rsid w:val="00B20B9B"/>
    <w:rsid w:val="00B21070"/>
    <w:rsid w:val="00B211FB"/>
    <w:rsid w:val="00B21332"/>
    <w:rsid w:val="00B219B1"/>
    <w:rsid w:val="00B21ADA"/>
    <w:rsid w:val="00B22578"/>
    <w:rsid w:val="00B229A5"/>
    <w:rsid w:val="00B244DB"/>
    <w:rsid w:val="00B2537D"/>
    <w:rsid w:val="00B25722"/>
    <w:rsid w:val="00B25CD7"/>
    <w:rsid w:val="00B26A9F"/>
    <w:rsid w:val="00B2707C"/>
    <w:rsid w:val="00B275DF"/>
    <w:rsid w:val="00B27C37"/>
    <w:rsid w:val="00B27C39"/>
    <w:rsid w:val="00B302AA"/>
    <w:rsid w:val="00B30A4B"/>
    <w:rsid w:val="00B30BCA"/>
    <w:rsid w:val="00B31F23"/>
    <w:rsid w:val="00B32196"/>
    <w:rsid w:val="00B3224D"/>
    <w:rsid w:val="00B32471"/>
    <w:rsid w:val="00B33052"/>
    <w:rsid w:val="00B345B2"/>
    <w:rsid w:val="00B34CA3"/>
    <w:rsid w:val="00B35662"/>
    <w:rsid w:val="00B37C8C"/>
    <w:rsid w:val="00B37EEC"/>
    <w:rsid w:val="00B41233"/>
    <w:rsid w:val="00B41831"/>
    <w:rsid w:val="00B4247A"/>
    <w:rsid w:val="00B4288E"/>
    <w:rsid w:val="00B43C47"/>
    <w:rsid w:val="00B43E9E"/>
    <w:rsid w:val="00B45468"/>
    <w:rsid w:val="00B466CF"/>
    <w:rsid w:val="00B477D1"/>
    <w:rsid w:val="00B501E9"/>
    <w:rsid w:val="00B50594"/>
    <w:rsid w:val="00B508DD"/>
    <w:rsid w:val="00B529CC"/>
    <w:rsid w:val="00B52A4C"/>
    <w:rsid w:val="00B536D8"/>
    <w:rsid w:val="00B53ABC"/>
    <w:rsid w:val="00B54CC1"/>
    <w:rsid w:val="00B54E1C"/>
    <w:rsid w:val="00B552F2"/>
    <w:rsid w:val="00B55356"/>
    <w:rsid w:val="00B5585A"/>
    <w:rsid w:val="00B56796"/>
    <w:rsid w:val="00B5798C"/>
    <w:rsid w:val="00B6206C"/>
    <w:rsid w:val="00B634CB"/>
    <w:rsid w:val="00B63A05"/>
    <w:rsid w:val="00B648F6"/>
    <w:rsid w:val="00B663EE"/>
    <w:rsid w:val="00B679C7"/>
    <w:rsid w:val="00B702A2"/>
    <w:rsid w:val="00B70513"/>
    <w:rsid w:val="00B705D6"/>
    <w:rsid w:val="00B70915"/>
    <w:rsid w:val="00B71CF9"/>
    <w:rsid w:val="00B71DA9"/>
    <w:rsid w:val="00B728F8"/>
    <w:rsid w:val="00B72B83"/>
    <w:rsid w:val="00B73917"/>
    <w:rsid w:val="00B73AFD"/>
    <w:rsid w:val="00B74FCC"/>
    <w:rsid w:val="00B75015"/>
    <w:rsid w:val="00B824B5"/>
    <w:rsid w:val="00B82D30"/>
    <w:rsid w:val="00B85AAE"/>
    <w:rsid w:val="00B863B1"/>
    <w:rsid w:val="00B87879"/>
    <w:rsid w:val="00B87A35"/>
    <w:rsid w:val="00B9036F"/>
    <w:rsid w:val="00B9066B"/>
    <w:rsid w:val="00B90777"/>
    <w:rsid w:val="00B90E45"/>
    <w:rsid w:val="00B914C6"/>
    <w:rsid w:val="00B92FA2"/>
    <w:rsid w:val="00B934E4"/>
    <w:rsid w:val="00B939CC"/>
    <w:rsid w:val="00B93BE3"/>
    <w:rsid w:val="00B95F06"/>
    <w:rsid w:val="00B962EB"/>
    <w:rsid w:val="00B9689D"/>
    <w:rsid w:val="00BA1809"/>
    <w:rsid w:val="00BA234A"/>
    <w:rsid w:val="00BA2E2C"/>
    <w:rsid w:val="00BA3433"/>
    <w:rsid w:val="00BA4374"/>
    <w:rsid w:val="00BA4AFB"/>
    <w:rsid w:val="00BA4C5B"/>
    <w:rsid w:val="00BA528F"/>
    <w:rsid w:val="00BA5F1F"/>
    <w:rsid w:val="00BA63A3"/>
    <w:rsid w:val="00BA685A"/>
    <w:rsid w:val="00BA765B"/>
    <w:rsid w:val="00BB0CCA"/>
    <w:rsid w:val="00BB11CE"/>
    <w:rsid w:val="00BB1FCD"/>
    <w:rsid w:val="00BB2E22"/>
    <w:rsid w:val="00BB3A8F"/>
    <w:rsid w:val="00BB490A"/>
    <w:rsid w:val="00BB4F29"/>
    <w:rsid w:val="00BB55A1"/>
    <w:rsid w:val="00BB5D60"/>
    <w:rsid w:val="00BB5ECA"/>
    <w:rsid w:val="00BB637C"/>
    <w:rsid w:val="00BB6C2A"/>
    <w:rsid w:val="00BB713D"/>
    <w:rsid w:val="00BB7A1F"/>
    <w:rsid w:val="00BC0A18"/>
    <w:rsid w:val="00BC2511"/>
    <w:rsid w:val="00BC26E3"/>
    <w:rsid w:val="00BC2912"/>
    <w:rsid w:val="00BC355E"/>
    <w:rsid w:val="00BC4FC7"/>
    <w:rsid w:val="00BC57C9"/>
    <w:rsid w:val="00BC618D"/>
    <w:rsid w:val="00BC62A9"/>
    <w:rsid w:val="00BC6670"/>
    <w:rsid w:val="00BC7716"/>
    <w:rsid w:val="00BC7F68"/>
    <w:rsid w:val="00BD3EFA"/>
    <w:rsid w:val="00BD4DE9"/>
    <w:rsid w:val="00BD6512"/>
    <w:rsid w:val="00BD65D8"/>
    <w:rsid w:val="00BE1C46"/>
    <w:rsid w:val="00BE22D6"/>
    <w:rsid w:val="00BE2F4A"/>
    <w:rsid w:val="00BE40E2"/>
    <w:rsid w:val="00BE426D"/>
    <w:rsid w:val="00BE45AF"/>
    <w:rsid w:val="00BE4D8B"/>
    <w:rsid w:val="00BE4FFE"/>
    <w:rsid w:val="00BF0A44"/>
    <w:rsid w:val="00BF0B52"/>
    <w:rsid w:val="00BF250C"/>
    <w:rsid w:val="00BF351D"/>
    <w:rsid w:val="00BF3525"/>
    <w:rsid w:val="00BF3EC4"/>
    <w:rsid w:val="00BF4E99"/>
    <w:rsid w:val="00C02209"/>
    <w:rsid w:val="00C02A17"/>
    <w:rsid w:val="00C03945"/>
    <w:rsid w:val="00C03C39"/>
    <w:rsid w:val="00C06A41"/>
    <w:rsid w:val="00C07814"/>
    <w:rsid w:val="00C07936"/>
    <w:rsid w:val="00C10261"/>
    <w:rsid w:val="00C10970"/>
    <w:rsid w:val="00C10B3E"/>
    <w:rsid w:val="00C10BA9"/>
    <w:rsid w:val="00C11279"/>
    <w:rsid w:val="00C12BBE"/>
    <w:rsid w:val="00C1405E"/>
    <w:rsid w:val="00C14468"/>
    <w:rsid w:val="00C16A46"/>
    <w:rsid w:val="00C177A8"/>
    <w:rsid w:val="00C21D43"/>
    <w:rsid w:val="00C22157"/>
    <w:rsid w:val="00C2289F"/>
    <w:rsid w:val="00C231FB"/>
    <w:rsid w:val="00C23678"/>
    <w:rsid w:val="00C23D7B"/>
    <w:rsid w:val="00C252D1"/>
    <w:rsid w:val="00C25A98"/>
    <w:rsid w:val="00C26A4D"/>
    <w:rsid w:val="00C27E49"/>
    <w:rsid w:val="00C31437"/>
    <w:rsid w:val="00C319AF"/>
    <w:rsid w:val="00C31EBC"/>
    <w:rsid w:val="00C335AB"/>
    <w:rsid w:val="00C35686"/>
    <w:rsid w:val="00C35C89"/>
    <w:rsid w:val="00C36A18"/>
    <w:rsid w:val="00C36A86"/>
    <w:rsid w:val="00C37095"/>
    <w:rsid w:val="00C37E1A"/>
    <w:rsid w:val="00C405F4"/>
    <w:rsid w:val="00C40828"/>
    <w:rsid w:val="00C40EF7"/>
    <w:rsid w:val="00C418AA"/>
    <w:rsid w:val="00C41D09"/>
    <w:rsid w:val="00C41FDF"/>
    <w:rsid w:val="00C420A4"/>
    <w:rsid w:val="00C42282"/>
    <w:rsid w:val="00C4249A"/>
    <w:rsid w:val="00C42EFD"/>
    <w:rsid w:val="00C42FD5"/>
    <w:rsid w:val="00C436B4"/>
    <w:rsid w:val="00C43985"/>
    <w:rsid w:val="00C448EA"/>
    <w:rsid w:val="00C45160"/>
    <w:rsid w:val="00C460D5"/>
    <w:rsid w:val="00C474BB"/>
    <w:rsid w:val="00C50178"/>
    <w:rsid w:val="00C50189"/>
    <w:rsid w:val="00C50828"/>
    <w:rsid w:val="00C50B05"/>
    <w:rsid w:val="00C520B3"/>
    <w:rsid w:val="00C532DB"/>
    <w:rsid w:val="00C5407A"/>
    <w:rsid w:val="00C54725"/>
    <w:rsid w:val="00C54796"/>
    <w:rsid w:val="00C5610B"/>
    <w:rsid w:val="00C561D0"/>
    <w:rsid w:val="00C56C9B"/>
    <w:rsid w:val="00C56EAC"/>
    <w:rsid w:val="00C5752F"/>
    <w:rsid w:val="00C57D10"/>
    <w:rsid w:val="00C61091"/>
    <w:rsid w:val="00C61248"/>
    <w:rsid w:val="00C615D5"/>
    <w:rsid w:val="00C61ED0"/>
    <w:rsid w:val="00C63A3D"/>
    <w:rsid w:val="00C66875"/>
    <w:rsid w:val="00C66EE7"/>
    <w:rsid w:val="00C67D4C"/>
    <w:rsid w:val="00C705BF"/>
    <w:rsid w:val="00C70E17"/>
    <w:rsid w:val="00C70EF9"/>
    <w:rsid w:val="00C70F21"/>
    <w:rsid w:val="00C71122"/>
    <w:rsid w:val="00C71BE5"/>
    <w:rsid w:val="00C72C57"/>
    <w:rsid w:val="00C72D8E"/>
    <w:rsid w:val="00C74265"/>
    <w:rsid w:val="00C74BAE"/>
    <w:rsid w:val="00C74BE0"/>
    <w:rsid w:val="00C74CAB"/>
    <w:rsid w:val="00C757AF"/>
    <w:rsid w:val="00C76611"/>
    <w:rsid w:val="00C7668F"/>
    <w:rsid w:val="00C766D2"/>
    <w:rsid w:val="00C77831"/>
    <w:rsid w:val="00C80418"/>
    <w:rsid w:val="00C80A19"/>
    <w:rsid w:val="00C82294"/>
    <w:rsid w:val="00C82751"/>
    <w:rsid w:val="00C84E3D"/>
    <w:rsid w:val="00C85526"/>
    <w:rsid w:val="00C860B4"/>
    <w:rsid w:val="00C86CCA"/>
    <w:rsid w:val="00C8713A"/>
    <w:rsid w:val="00C8749F"/>
    <w:rsid w:val="00C87941"/>
    <w:rsid w:val="00C9113E"/>
    <w:rsid w:val="00C91F7E"/>
    <w:rsid w:val="00C92451"/>
    <w:rsid w:val="00C942A9"/>
    <w:rsid w:val="00C94D1D"/>
    <w:rsid w:val="00C9562E"/>
    <w:rsid w:val="00C9588F"/>
    <w:rsid w:val="00C95DBA"/>
    <w:rsid w:val="00C96771"/>
    <w:rsid w:val="00C975E2"/>
    <w:rsid w:val="00CA1D13"/>
    <w:rsid w:val="00CA20E1"/>
    <w:rsid w:val="00CA20EF"/>
    <w:rsid w:val="00CA2662"/>
    <w:rsid w:val="00CA502C"/>
    <w:rsid w:val="00CA6D3B"/>
    <w:rsid w:val="00CA7EEE"/>
    <w:rsid w:val="00CB1ECE"/>
    <w:rsid w:val="00CB23EA"/>
    <w:rsid w:val="00CB2E3F"/>
    <w:rsid w:val="00CB336E"/>
    <w:rsid w:val="00CB3AA4"/>
    <w:rsid w:val="00CB6E52"/>
    <w:rsid w:val="00CC0ACF"/>
    <w:rsid w:val="00CC29E9"/>
    <w:rsid w:val="00CC2E3E"/>
    <w:rsid w:val="00CC3839"/>
    <w:rsid w:val="00CC3ADB"/>
    <w:rsid w:val="00CC3BFE"/>
    <w:rsid w:val="00CC3F72"/>
    <w:rsid w:val="00CC4204"/>
    <w:rsid w:val="00CC432A"/>
    <w:rsid w:val="00CC52BC"/>
    <w:rsid w:val="00CD0546"/>
    <w:rsid w:val="00CD215D"/>
    <w:rsid w:val="00CD35D2"/>
    <w:rsid w:val="00CD41DC"/>
    <w:rsid w:val="00CD4853"/>
    <w:rsid w:val="00CD49A9"/>
    <w:rsid w:val="00CD671B"/>
    <w:rsid w:val="00CD76DB"/>
    <w:rsid w:val="00CE0063"/>
    <w:rsid w:val="00CE0838"/>
    <w:rsid w:val="00CE2A05"/>
    <w:rsid w:val="00CE408E"/>
    <w:rsid w:val="00CE48A4"/>
    <w:rsid w:val="00CE504B"/>
    <w:rsid w:val="00CE5626"/>
    <w:rsid w:val="00CE61DF"/>
    <w:rsid w:val="00CE6878"/>
    <w:rsid w:val="00CE7844"/>
    <w:rsid w:val="00CF1139"/>
    <w:rsid w:val="00CF24E8"/>
    <w:rsid w:val="00CF2D75"/>
    <w:rsid w:val="00CF4A77"/>
    <w:rsid w:val="00CF6457"/>
    <w:rsid w:val="00CF68C6"/>
    <w:rsid w:val="00D003B9"/>
    <w:rsid w:val="00D00C0F"/>
    <w:rsid w:val="00D01237"/>
    <w:rsid w:val="00D01B71"/>
    <w:rsid w:val="00D028F1"/>
    <w:rsid w:val="00D02C3D"/>
    <w:rsid w:val="00D03CFC"/>
    <w:rsid w:val="00D0499A"/>
    <w:rsid w:val="00D05140"/>
    <w:rsid w:val="00D05187"/>
    <w:rsid w:val="00D059F4"/>
    <w:rsid w:val="00D06149"/>
    <w:rsid w:val="00D06755"/>
    <w:rsid w:val="00D069E6"/>
    <w:rsid w:val="00D07BBC"/>
    <w:rsid w:val="00D07CEC"/>
    <w:rsid w:val="00D122CC"/>
    <w:rsid w:val="00D12400"/>
    <w:rsid w:val="00D128E7"/>
    <w:rsid w:val="00D12932"/>
    <w:rsid w:val="00D13061"/>
    <w:rsid w:val="00D15101"/>
    <w:rsid w:val="00D17365"/>
    <w:rsid w:val="00D17745"/>
    <w:rsid w:val="00D204F7"/>
    <w:rsid w:val="00D20593"/>
    <w:rsid w:val="00D20CE3"/>
    <w:rsid w:val="00D20E71"/>
    <w:rsid w:val="00D24639"/>
    <w:rsid w:val="00D24821"/>
    <w:rsid w:val="00D25118"/>
    <w:rsid w:val="00D25259"/>
    <w:rsid w:val="00D25779"/>
    <w:rsid w:val="00D25D2A"/>
    <w:rsid w:val="00D25DA3"/>
    <w:rsid w:val="00D27920"/>
    <w:rsid w:val="00D3005C"/>
    <w:rsid w:val="00D30604"/>
    <w:rsid w:val="00D3156B"/>
    <w:rsid w:val="00D317F4"/>
    <w:rsid w:val="00D3295E"/>
    <w:rsid w:val="00D32C61"/>
    <w:rsid w:val="00D342DB"/>
    <w:rsid w:val="00D34432"/>
    <w:rsid w:val="00D35423"/>
    <w:rsid w:val="00D354BC"/>
    <w:rsid w:val="00D36DC1"/>
    <w:rsid w:val="00D3799B"/>
    <w:rsid w:val="00D40CFD"/>
    <w:rsid w:val="00D421E0"/>
    <w:rsid w:val="00D43794"/>
    <w:rsid w:val="00D4463F"/>
    <w:rsid w:val="00D44CD6"/>
    <w:rsid w:val="00D451B5"/>
    <w:rsid w:val="00D477EB"/>
    <w:rsid w:val="00D47813"/>
    <w:rsid w:val="00D504C9"/>
    <w:rsid w:val="00D5125A"/>
    <w:rsid w:val="00D51555"/>
    <w:rsid w:val="00D51A26"/>
    <w:rsid w:val="00D52070"/>
    <w:rsid w:val="00D52412"/>
    <w:rsid w:val="00D525E7"/>
    <w:rsid w:val="00D5350E"/>
    <w:rsid w:val="00D5369F"/>
    <w:rsid w:val="00D5379D"/>
    <w:rsid w:val="00D54689"/>
    <w:rsid w:val="00D55345"/>
    <w:rsid w:val="00D5581E"/>
    <w:rsid w:val="00D55EE8"/>
    <w:rsid w:val="00D57198"/>
    <w:rsid w:val="00D57DBF"/>
    <w:rsid w:val="00D61B30"/>
    <w:rsid w:val="00D62656"/>
    <w:rsid w:val="00D648D8"/>
    <w:rsid w:val="00D64CD4"/>
    <w:rsid w:val="00D65351"/>
    <w:rsid w:val="00D65D80"/>
    <w:rsid w:val="00D65D96"/>
    <w:rsid w:val="00D667A7"/>
    <w:rsid w:val="00D672AF"/>
    <w:rsid w:val="00D67B81"/>
    <w:rsid w:val="00D70C03"/>
    <w:rsid w:val="00D70D82"/>
    <w:rsid w:val="00D71875"/>
    <w:rsid w:val="00D7373A"/>
    <w:rsid w:val="00D73DF2"/>
    <w:rsid w:val="00D74986"/>
    <w:rsid w:val="00D75085"/>
    <w:rsid w:val="00D75977"/>
    <w:rsid w:val="00D75EF2"/>
    <w:rsid w:val="00D7651C"/>
    <w:rsid w:val="00D76E03"/>
    <w:rsid w:val="00D77CF4"/>
    <w:rsid w:val="00D80CD0"/>
    <w:rsid w:val="00D82BA2"/>
    <w:rsid w:val="00D838A0"/>
    <w:rsid w:val="00D83A3F"/>
    <w:rsid w:val="00D83C11"/>
    <w:rsid w:val="00D84613"/>
    <w:rsid w:val="00D86E65"/>
    <w:rsid w:val="00D87DF3"/>
    <w:rsid w:val="00D91436"/>
    <w:rsid w:val="00D922A6"/>
    <w:rsid w:val="00D92A9F"/>
    <w:rsid w:val="00D93702"/>
    <w:rsid w:val="00D94140"/>
    <w:rsid w:val="00D94250"/>
    <w:rsid w:val="00D95C83"/>
    <w:rsid w:val="00D9630F"/>
    <w:rsid w:val="00D96431"/>
    <w:rsid w:val="00DA1679"/>
    <w:rsid w:val="00DA17CD"/>
    <w:rsid w:val="00DA23B6"/>
    <w:rsid w:val="00DA2AF2"/>
    <w:rsid w:val="00DA3219"/>
    <w:rsid w:val="00DA3536"/>
    <w:rsid w:val="00DA4392"/>
    <w:rsid w:val="00DA4C32"/>
    <w:rsid w:val="00DA5507"/>
    <w:rsid w:val="00DA58AF"/>
    <w:rsid w:val="00DA5FCE"/>
    <w:rsid w:val="00DA6257"/>
    <w:rsid w:val="00DA65BA"/>
    <w:rsid w:val="00DA67AC"/>
    <w:rsid w:val="00DA6C16"/>
    <w:rsid w:val="00DA7051"/>
    <w:rsid w:val="00DA7318"/>
    <w:rsid w:val="00DA7FBB"/>
    <w:rsid w:val="00DB07DD"/>
    <w:rsid w:val="00DB0B16"/>
    <w:rsid w:val="00DB1CA7"/>
    <w:rsid w:val="00DB1F91"/>
    <w:rsid w:val="00DB2629"/>
    <w:rsid w:val="00DB269A"/>
    <w:rsid w:val="00DB3EF9"/>
    <w:rsid w:val="00DB62DC"/>
    <w:rsid w:val="00DB74E1"/>
    <w:rsid w:val="00DC0205"/>
    <w:rsid w:val="00DC0864"/>
    <w:rsid w:val="00DC152D"/>
    <w:rsid w:val="00DC69FE"/>
    <w:rsid w:val="00DC6EC8"/>
    <w:rsid w:val="00DC722B"/>
    <w:rsid w:val="00DD0407"/>
    <w:rsid w:val="00DD169B"/>
    <w:rsid w:val="00DD1DA0"/>
    <w:rsid w:val="00DD1DD2"/>
    <w:rsid w:val="00DD2539"/>
    <w:rsid w:val="00DD2BCC"/>
    <w:rsid w:val="00DD359A"/>
    <w:rsid w:val="00DD3DAC"/>
    <w:rsid w:val="00DD3E02"/>
    <w:rsid w:val="00DD509C"/>
    <w:rsid w:val="00DD5FB6"/>
    <w:rsid w:val="00DD7499"/>
    <w:rsid w:val="00DD7A61"/>
    <w:rsid w:val="00DE029B"/>
    <w:rsid w:val="00DE1EB7"/>
    <w:rsid w:val="00DE2488"/>
    <w:rsid w:val="00DE2A3F"/>
    <w:rsid w:val="00DE2E98"/>
    <w:rsid w:val="00DE305D"/>
    <w:rsid w:val="00DE31FD"/>
    <w:rsid w:val="00DE3255"/>
    <w:rsid w:val="00DE3405"/>
    <w:rsid w:val="00DE39A5"/>
    <w:rsid w:val="00DE3D28"/>
    <w:rsid w:val="00DE3FC2"/>
    <w:rsid w:val="00DF0821"/>
    <w:rsid w:val="00DF0832"/>
    <w:rsid w:val="00DF0CA1"/>
    <w:rsid w:val="00DF20B1"/>
    <w:rsid w:val="00DF3778"/>
    <w:rsid w:val="00DF4745"/>
    <w:rsid w:val="00DF5EE9"/>
    <w:rsid w:val="00DF688F"/>
    <w:rsid w:val="00DF6E11"/>
    <w:rsid w:val="00E0062A"/>
    <w:rsid w:val="00E00A43"/>
    <w:rsid w:val="00E01AA9"/>
    <w:rsid w:val="00E01F1C"/>
    <w:rsid w:val="00E0215A"/>
    <w:rsid w:val="00E036CF"/>
    <w:rsid w:val="00E044A0"/>
    <w:rsid w:val="00E0488F"/>
    <w:rsid w:val="00E04CC4"/>
    <w:rsid w:val="00E04DB5"/>
    <w:rsid w:val="00E07BE1"/>
    <w:rsid w:val="00E07C85"/>
    <w:rsid w:val="00E1070A"/>
    <w:rsid w:val="00E1083B"/>
    <w:rsid w:val="00E114B6"/>
    <w:rsid w:val="00E12C21"/>
    <w:rsid w:val="00E13F48"/>
    <w:rsid w:val="00E16423"/>
    <w:rsid w:val="00E16FAD"/>
    <w:rsid w:val="00E17573"/>
    <w:rsid w:val="00E17BAC"/>
    <w:rsid w:val="00E20D84"/>
    <w:rsid w:val="00E2114A"/>
    <w:rsid w:val="00E24145"/>
    <w:rsid w:val="00E24597"/>
    <w:rsid w:val="00E24A6C"/>
    <w:rsid w:val="00E250CE"/>
    <w:rsid w:val="00E25242"/>
    <w:rsid w:val="00E2542D"/>
    <w:rsid w:val="00E25D6D"/>
    <w:rsid w:val="00E26321"/>
    <w:rsid w:val="00E26BA1"/>
    <w:rsid w:val="00E27E4E"/>
    <w:rsid w:val="00E30693"/>
    <w:rsid w:val="00E309D6"/>
    <w:rsid w:val="00E3113F"/>
    <w:rsid w:val="00E321AA"/>
    <w:rsid w:val="00E32EBE"/>
    <w:rsid w:val="00E330D3"/>
    <w:rsid w:val="00E33198"/>
    <w:rsid w:val="00E3359D"/>
    <w:rsid w:val="00E33755"/>
    <w:rsid w:val="00E33966"/>
    <w:rsid w:val="00E34521"/>
    <w:rsid w:val="00E3487C"/>
    <w:rsid w:val="00E358CA"/>
    <w:rsid w:val="00E36B0E"/>
    <w:rsid w:val="00E3751F"/>
    <w:rsid w:val="00E376F7"/>
    <w:rsid w:val="00E37D41"/>
    <w:rsid w:val="00E4013C"/>
    <w:rsid w:val="00E40CB8"/>
    <w:rsid w:val="00E4196E"/>
    <w:rsid w:val="00E432CE"/>
    <w:rsid w:val="00E43763"/>
    <w:rsid w:val="00E43BBF"/>
    <w:rsid w:val="00E445B2"/>
    <w:rsid w:val="00E4476F"/>
    <w:rsid w:val="00E458C6"/>
    <w:rsid w:val="00E46D11"/>
    <w:rsid w:val="00E46EA1"/>
    <w:rsid w:val="00E51683"/>
    <w:rsid w:val="00E54D83"/>
    <w:rsid w:val="00E559A5"/>
    <w:rsid w:val="00E55C5C"/>
    <w:rsid w:val="00E5770F"/>
    <w:rsid w:val="00E57858"/>
    <w:rsid w:val="00E6031B"/>
    <w:rsid w:val="00E6057A"/>
    <w:rsid w:val="00E60ADA"/>
    <w:rsid w:val="00E61D11"/>
    <w:rsid w:val="00E61EF5"/>
    <w:rsid w:val="00E63DA8"/>
    <w:rsid w:val="00E6430B"/>
    <w:rsid w:val="00E6751E"/>
    <w:rsid w:val="00E6790B"/>
    <w:rsid w:val="00E67E01"/>
    <w:rsid w:val="00E70A93"/>
    <w:rsid w:val="00E71137"/>
    <w:rsid w:val="00E7128C"/>
    <w:rsid w:val="00E712CD"/>
    <w:rsid w:val="00E71AD3"/>
    <w:rsid w:val="00E71D1D"/>
    <w:rsid w:val="00E72835"/>
    <w:rsid w:val="00E72D36"/>
    <w:rsid w:val="00E809D7"/>
    <w:rsid w:val="00E83505"/>
    <w:rsid w:val="00E83FA7"/>
    <w:rsid w:val="00E84CAA"/>
    <w:rsid w:val="00E8584B"/>
    <w:rsid w:val="00E85893"/>
    <w:rsid w:val="00E85A90"/>
    <w:rsid w:val="00E85DC0"/>
    <w:rsid w:val="00E86178"/>
    <w:rsid w:val="00E87E4C"/>
    <w:rsid w:val="00E9037C"/>
    <w:rsid w:val="00E92FCE"/>
    <w:rsid w:val="00E9342D"/>
    <w:rsid w:val="00E94702"/>
    <w:rsid w:val="00E94C19"/>
    <w:rsid w:val="00E95AB5"/>
    <w:rsid w:val="00E95F36"/>
    <w:rsid w:val="00E96A12"/>
    <w:rsid w:val="00E97128"/>
    <w:rsid w:val="00EA0326"/>
    <w:rsid w:val="00EA0D15"/>
    <w:rsid w:val="00EA1B4E"/>
    <w:rsid w:val="00EA1C3F"/>
    <w:rsid w:val="00EA277A"/>
    <w:rsid w:val="00EA665C"/>
    <w:rsid w:val="00EA6827"/>
    <w:rsid w:val="00EA6B4D"/>
    <w:rsid w:val="00EA6C57"/>
    <w:rsid w:val="00EA6F37"/>
    <w:rsid w:val="00EB0165"/>
    <w:rsid w:val="00EB039A"/>
    <w:rsid w:val="00EB0C33"/>
    <w:rsid w:val="00EB1FA9"/>
    <w:rsid w:val="00EB1FFD"/>
    <w:rsid w:val="00EB29F2"/>
    <w:rsid w:val="00EB2E0A"/>
    <w:rsid w:val="00EB3503"/>
    <w:rsid w:val="00EB4572"/>
    <w:rsid w:val="00EB59F4"/>
    <w:rsid w:val="00EB614E"/>
    <w:rsid w:val="00EB6564"/>
    <w:rsid w:val="00EB6CBD"/>
    <w:rsid w:val="00EC0D58"/>
    <w:rsid w:val="00EC1C7D"/>
    <w:rsid w:val="00EC2330"/>
    <w:rsid w:val="00EC25F9"/>
    <w:rsid w:val="00EC3652"/>
    <w:rsid w:val="00EC3F08"/>
    <w:rsid w:val="00EC3F53"/>
    <w:rsid w:val="00EC495A"/>
    <w:rsid w:val="00EC54E2"/>
    <w:rsid w:val="00EC660E"/>
    <w:rsid w:val="00EC6664"/>
    <w:rsid w:val="00EC7F15"/>
    <w:rsid w:val="00ED0A20"/>
    <w:rsid w:val="00ED0E0C"/>
    <w:rsid w:val="00ED1338"/>
    <w:rsid w:val="00ED2661"/>
    <w:rsid w:val="00ED367D"/>
    <w:rsid w:val="00ED4FB6"/>
    <w:rsid w:val="00ED51DB"/>
    <w:rsid w:val="00ED52BC"/>
    <w:rsid w:val="00EE1356"/>
    <w:rsid w:val="00EE1990"/>
    <w:rsid w:val="00EE3C52"/>
    <w:rsid w:val="00EE5E4D"/>
    <w:rsid w:val="00EE6F94"/>
    <w:rsid w:val="00EF06BA"/>
    <w:rsid w:val="00EF1106"/>
    <w:rsid w:val="00EF2B06"/>
    <w:rsid w:val="00EF46E2"/>
    <w:rsid w:val="00EF4B31"/>
    <w:rsid w:val="00EF5548"/>
    <w:rsid w:val="00EF65AF"/>
    <w:rsid w:val="00EF7DEF"/>
    <w:rsid w:val="00F0216B"/>
    <w:rsid w:val="00F030E3"/>
    <w:rsid w:val="00F03320"/>
    <w:rsid w:val="00F036EF"/>
    <w:rsid w:val="00F0521B"/>
    <w:rsid w:val="00F0559B"/>
    <w:rsid w:val="00F10807"/>
    <w:rsid w:val="00F124C9"/>
    <w:rsid w:val="00F12E6E"/>
    <w:rsid w:val="00F12FF4"/>
    <w:rsid w:val="00F13EE5"/>
    <w:rsid w:val="00F140E3"/>
    <w:rsid w:val="00F14F3A"/>
    <w:rsid w:val="00F15420"/>
    <w:rsid w:val="00F15982"/>
    <w:rsid w:val="00F162FA"/>
    <w:rsid w:val="00F1676E"/>
    <w:rsid w:val="00F16BE2"/>
    <w:rsid w:val="00F16DFD"/>
    <w:rsid w:val="00F20003"/>
    <w:rsid w:val="00F200E7"/>
    <w:rsid w:val="00F20E46"/>
    <w:rsid w:val="00F214AD"/>
    <w:rsid w:val="00F21DA3"/>
    <w:rsid w:val="00F22438"/>
    <w:rsid w:val="00F22917"/>
    <w:rsid w:val="00F22F41"/>
    <w:rsid w:val="00F23C78"/>
    <w:rsid w:val="00F23FBB"/>
    <w:rsid w:val="00F23FE8"/>
    <w:rsid w:val="00F24D86"/>
    <w:rsid w:val="00F24FE4"/>
    <w:rsid w:val="00F252B7"/>
    <w:rsid w:val="00F25B19"/>
    <w:rsid w:val="00F26A33"/>
    <w:rsid w:val="00F26D4E"/>
    <w:rsid w:val="00F26D5D"/>
    <w:rsid w:val="00F27255"/>
    <w:rsid w:val="00F306F6"/>
    <w:rsid w:val="00F312BF"/>
    <w:rsid w:val="00F3257C"/>
    <w:rsid w:val="00F32BD6"/>
    <w:rsid w:val="00F346D8"/>
    <w:rsid w:val="00F34A1C"/>
    <w:rsid w:val="00F366C5"/>
    <w:rsid w:val="00F36781"/>
    <w:rsid w:val="00F367F0"/>
    <w:rsid w:val="00F37CFD"/>
    <w:rsid w:val="00F40023"/>
    <w:rsid w:val="00F4217B"/>
    <w:rsid w:val="00F42543"/>
    <w:rsid w:val="00F44020"/>
    <w:rsid w:val="00F44102"/>
    <w:rsid w:val="00F44271"/>
    <w:rsid w:val="00F44EBC"/>
    <w:rsid w:val="00F44F13"/>
    <w:rsid w:val="00F456A0"/>
    <w:rsid w:val="00F45A37"/>
    <w:rsid w:val="00F47781"/>
    <w:rsid w:val="00F47D86"/>
    <w:rsid w:val="00F47E8A"/>
    <w:rsid w:val="00F5154A"/>
    <w:rsid w:val="00F52A1C"/>
    <w:rsid w:val="00F53423"/>
    <w:rsid w:val="00F539B0"/>
    <w:rsid w:val="00F552A8"/>
    <w:rsid w:val="00F55723"/>
    <w:rsid w:val="00F56B6B"/>
    <w:rsid w:val="00F57DB2"/>
    <w:rsid w:val="00F60914"/>
    <w:rsid w:val="00F60A5C"/>
    <w:rsid w:val="00F60BF0"/>
    <w:rsid w:val="00F62793"/>
    <w:rsid w:val="00F62C10"/>
    <w:rsid w:val="00F64D2B"/>
    <w:rsid w:val="00F64D99"/>
    <w:rsid w:val="00F66A9A"/>
    <w:rsid w:val="00F67C31"/>
    <w:rsid w:val="00F716F5"/>
    <w:rsid w:val="00F71A02"/>
    <w:rsid w:val="00F72CBE"/>
    <w:rsid w:val="00F730C4"/>
    <w:rsid w:val="00F73BD4"/>
    <w:rsid w:val="00F756A1"/>
    <w:rsid w:val="00F759CB"/>
    <w:rsid w:val="00F767E3"/>
    <w:rsid w:val="00F777F0"/>
    <w:rsid w:val="00F807AA"/>
    <w:rsid w:val="00F807F6"/>
    <w:rsid w:val="00F83615"/>
    <w:rsid w:val="00F85C8B"/>
    <w:rsid w:val="00F871AA"/>
    <w:rsid w:val="00F87502"/>
    <w:rsid w:val="00F87646"/>
    <w:rsid w:val="00F879E4"/>
    <w:rsid w:val="00F905E5"/>
    <w:rsid w:val="00F90D0A"/>
    <w:rsid w:val="00F91A17"/>
    <w:rsid w:val="00F935D3"/>
    <w:rsid w:val="00F936CF"/>
    <w:rsid w:val="00F95B9D"/>
    <w:rsid w:val="00F96118"/>
    <w:rsid w:val="00F96151"/>
    <w:rsid w:val="00F9741B"/>
    <w:rsid w:val="00FA0555"/>
    <w:rsid w:val="00FA0F30"/>
    <w:rsid w:val="00FA177A"/>
    <w:rsid w:val="00FA1A4B"/>
    <w:rsid w:val="00FA21C5"/>
    <w:rsid w:val="00FA22FF"/>
    <w:rsid w:val="00FA253E"/>
    <w:rsid w:val="00FA35D2"/>
    <w:rsid w:val="00FA448B"/>
    <w:rsid w:val="00FA49F4"/>
    <w:rsid w:val="00FA4E32"/>
    <w:rsid w:val="00FA6CEC"/>
    <w:rsid w:val="00FA77AF"/>
    <w:rsid w:val="00FB02D4"/>
    <w:rsid w:val="00FB0E72"/>
    <w:rsid w:val="00FB1002"/>
    <w:rsid w:val="00FB1312"/>
    <w:rsid w:val="00FB25D0"/>
    <w:rsid w:val="00FB34A3"/>
    <w:rsid w:val="00FB35ED"/>
    <w:rsid w:val="00FB3EEF"/>
    <w:rsid w:val="00FB4475"/>
    <w:rsid w:val="00FB5028"/>
    <w:rsid w:val="00FC07C5"/>
    <w:rsid w:val="00FC0AB4"/>
    <w:rsid w:val="00FC1514"/>
    <w:rsid w:val="00FC1E48"/>
    <w:rsid w:val="00FC2C43"/>
    <w:rsid w:val="00FC2F9A"/>
    <w:rsid w:val="00FC3371"/>
    <w:rsid w:val="00FC5C62"/>
    <w:rsid w:val="00FC6F59"/>
    <w:rsid w:val="00FC722A"/>
    <w:rsid w:val="00FC76E8"/>
    <w:rsid w:val="00FC7B89"/>
    <w:rsid w:val="00FD0A49"/>
    <w:rsid w:val="00FD0B82"/>
    <w:rsid w:val="00FD18B8"/>
    <w:rsid w:val="00FD2722"/>
    <w:rsid w:val="00FD32C1"/>
    <w:rsid w:val="00FD3E82"/>
    <w:rsid w:val="00FD61FF"/>
    <w:rsid w:val="00FD6BD2"/>
    <w:rsid w:val="00FE05DF"/>
    <w:rsid w:val="00FE092F"/>
    <w:rsid w:val="00FE3D3A"/>
    <w:rsid w:val="00FE69AE"/>
    <w:rsid w:val="00FE6C61"/>
    <w:rsid w:val="00FE7C3B"/>
    <w:rsid w:val="00FE7E7F"/>
    <w:rsid w:val="00FF01BD"/>
    <w:rsid w:val="00FF2309"/>
    <w:rsid w:val="00FF2862"/>
    <w:rsid w:val="00FF2CC3"/>
    <w:rsid w:val="00FF2F7F"/>
    <w:rsid w:val="00FF3969"/>
    <w:rsid w:val="00FF3F83"/>
    <w:rsid w:val="00FF401C"/>
    <w:rsid w:val="00FF5602"/>
    <w:rsid w:val="00FF70DE"/>
    <w:rsid w:val="00FF7554"/>
    <w:rsid w:val="0217058B"/>
    <w:rsid w:val="0E0C6A10"/>
    <w:rsid w:val="11FF5C11"/>
    <w:rsid w:val="600D3A65"/>
    <w:rsid w:val="6B5D45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F004C19"/>
  <w15:docId w15:val="{D65749D0-82D7-D243-B229-CE01D8F7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iPriority="0" w:qFormat="1"/>
    <w:lsdException w:name="index 2" w:semiHidden="1" w:uiPriority="0" w:qFormat="1"/>
    <w:lsdException w:name="index 3" w:semiHidden="1" w:uiPriority="0" w:qFormat="1"/>
    <w:lsdException w:name="index 4" w:semiHidden="1" w:uiPriority="0" w:qFormat="1"/>
    <w:lsdException w:name="index 5" w:semiHidden="1" w:uiPriority="0" w:qFormat="1"/>
    <w:lsdException w:name="index 6" w:semiHidden="1" w:uiPriority="0" w:qFormat="1"/>
    <w:lsdException w:name="index 7" w:semiHidden="1" w:uiPriority="0" w:qFormat="1"/>
    <w:lsdException w:name="index 8" w:semiHidden="1" w:uiPriority="0" w:qFormat="1"/>
    <w:lsdException w:name="index 9" w:semiHidden="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9" w:unhideWhenUsed="1" w:qFormat="1"/>
    <w:lsdException w:name="annotation text" w:qFormat="1"/>
    <w:lsdException w:name="header" w:unhideWhenUsed="1" w:qFormat="1"/>
    <w:lsdException w:name="footer" w:unhideWhenUsed="1" w:qFormat="1"/>
    <w:lsdException w:name="index heading" w:semiHidden="1" w:uiPriority="0" w:qFormat="1"/>
    <w:lsdException w:name="caption" w:uiPriority="0"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1"/>
    </w:rPr>
  </w:style>
  <w:style w:type="paragraph" w:styleId="1">
    <w:name w:val="heading 1"/>
    <w:basedOn w:val="a"/>
    <w:next w:val="a"/>
    <w:link w:val="10"/>
    <w:uiPriority w:val="9"/>
    <w:qFormat/>
    <w:pPr>
      <w:keepNext/>
      <w:numPr>
        <w:numId w:val="1"/>
      </w:numPr>
      <w:spacing w:before="120" w:after="120"/>
      <w:outlineLvl w:val="0"/>
    </w:pPr>
    <w:rPr>
      <w:rFonts w:eastAsiaTheme="minorEastAsia"/>
      <w:b/>
      <w:kern w:val="44"/>
      <w:sz w:val="24"/>
      <w:szCs w:val="36"/>
    </w:rPr>
  </w:style>
  <w:style w:type="paragraph" w:styleId="2">
    <w:name w:val="heading 2"/>
    <w:basedOn w:val="a"/>
    <w:next w:val="a"/>
    <w:link w:val="20"/>
    <w:uiPriority w:val="9"/>
    <w:qFormat/>
    <w:pPr>
      <w:keepNext/>
      <w:keepLines/>
      <w:numPr>
        <w:ilvl w:val="1"/>
        <w:numId w:val="1"/>
      </w:numPr>
      <w:adjustRightInd w:val="0"/>
      <w:snapToGrid w:val="0"/>
      <w:outlineLvl w:val="1"/>
    </w:pPr>
    <w:rPr>
      <w:rFonts w:eastAsiaTheme="minorEastAsia"/>
      <w:b/>
      <w:bCs/>
      <w:sz w:val="24"/>
      <w:szCs w:val="32"/>
    </w:rPr>
  </w:style>
  <w:style w:type="paragraph" w:styleId="3">
    <w:name w:val="heading 3"/>
    <w:basedOn w:val="a"/>
    <w:next w:val="a"/>
    <w:link w:val="30"/>
    <w:uiPriority w:val="9"/>
    <w:qFormat/>
    <w:pPr>
      <w:numPr>
        <w:ilvl w:val="2"/>
        <w:numId w:val="1"/>
      </w:numPr>
      <w:tabs>
        <w:tab w:val="left" w:pos="567"/>
        <w:tab w:val="left" w:pos="993"/>
        <w:tab w:val="left" w:pos="1134"/>
      </w:tabs>
      <w:adjustRightInd w:val="0"/>
      <w:snapToGrid w:val="0"/>
      <w:outlineLvl w:val="2"/>
    </w:pPr>
    <w:rPr>
      <w:rFonts w:eastAsiaTheme="minorEastAsia"/>
      <w:b/>
      <w:bCs/>
      <w:sz w:val="24"/>
      <w:szCs w:val="24"/>
    </w:rPr>
  </w:style>
  <w:style w:type="paragraph" w:styleId="4">
    <w:name w:val="heading 4"/>
    <w:basedOn w:val="a"/>
    <w:next w:val="a"/>
    <w:link w:val="40"/>
    <w:uiPriority w:val="9"/>
    <w:qFormat/>
    <w:pPr>
      <w:keepNext/>
      <w:keepLines/>
      <w:numPr>
        <w:ilvl w:val="3"/>
        <w:numId w:val="1"/>
      </w:numPr>
      <w:adjustRightInd w:val="0"/>
      <w:snapToGrid w:val="0"/>
      <w:outlineLvl w:val="3"/>
    </w:pPr>
    <w:rPr>
      <w:b/>
      <w:bCs/>
      <w:sz w:val="24"/>
      <w:szCs w:val="24"/>
      <w:lang w:bidi="en-US"/>
    </w:rPr>
  </w:style>
  <w:style w:type="paragraph" w:styleId="5">
    <w:name w:val="heading 5"/>
    <w:basedOn w:val="a"/>
    <w:next w:val="a"/>
    <w:link w:val="50"/>
    <w:uiPriority w:val="9"/>
    <w:unhideWhenUsed/>
    <w:qFormat/>
    <w:pPr>
      <w:keepNext/>
      <w:keepLines/>
      <w:numPr>
        <w:ilvl w:val="4"/>
        <w:numId w:val="1"/>
      </w:numPr>
      <w:adjustRightInd w:val="0"/>
      <w:snapToGrid w:val="0"/>
      <w:outlineLvl w:val="4"/>
    </w:pPr>
    <w:rPr>
      <w:rFonts w:eastAsiaTheme="minorEastAsia"/>
      <w:b/>
      <w:bCs/>
      <w:color w:val="000000"/>
      <w:kern w:val="0"/>
      <w:sz w:val="24"/>
      <w:szCs w:val="28"/>
    </w:rPr>
  </w:style>
  <w:style w:type="paragraph" w:styleId="6">
    <w:name w:val="heading 6"/>
    <w:basedOn w:val="a"/>
    <w:next w:val="a"/>
    <w:link w:val="60"/>
    <w:uiPriority w:val="9"/>
    <w:unhideWhenUsed/>
    <w:qFormat/>
    <w:pPr>
      <w:keepNext/>
      <w:keepLines/>
      <w:numPr>
        <w:ilvl w:val="5"/>
        <w:numId w:val="1"/>
      </w:numPr>
      <w:adjustRightInd w:val="0"/>
      <w:snapToGrid w:val="0"/>
      <w:outlineLvl w:val="5"/>
    </w:pPr>
    <w:rPr>
      <w:rFonts w:eastAsiaTheme="majorEastAsia" w:cstheme="majorBidi"/>
      <w:b/>
      <w:bCs/>
      <w:sz w:val="24"/>
      <w:szCs w:val="24"/>
    </w:rPr>
  </w:style>
  <w:style w:type="paragraph" w:styleId="7">
    <w:name w:val="heading 7"/>
    <w:basedOn w:val="a"/>
    <w:next w:val="a"/>
    <w:link w:val="70"/>
    <w:uiPriority w:val="9"/>
    <w:unhideWhenUsed/>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unhideWhenUsed/>
    <w:qFormat/>
    <w:pPr>
      <w:keepNext/>
      <w:keepLines/>
      <w:numPr>
        <w:ilvl w:val="8"/>
        <w:numId w:val="1"/>
      </w:numPr>
      <w:spacing w:before="240" w:after="64" w:line="32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qFormat/>
    <w:pPr>
      <w:widowControl w:val="0"/>
      <w:spacing w:line="360" w:lineRule="auto"/>
    </w:pPr>
    <w:rPr>
      <w:b/>
      <w:bCs/>
      <w:kern w:val="2"/>
      <w:sz w:val="21"/>
      <w:szCs w:val="22"/>
    </w:rPr>
  </w:style>
  <w:style w:type="paragraph" w:styleId="a4">
    <w:name w:val="annotation text"/>
    <w:basedOn w:val="a"/>
    <w:link w:val="a6"/>
    <w:uiPriority w:val="99"/>
    <w:qFormat/>
    <w:rPr>
      <w:kern w:val="0"/>
      <w:sz w:val="20"/>
      <w:szCs w:val="20"/>
    </w:rPr>
  </w:style>
  <w:style w:type="paragraph" w:styleId="TOC7">
    <w:name w:val="toc 7"/>
    <w:basedOn w:val="a"/>
    <w:next w:val="a"/>
    <w:uiPriority w:val="39"/>
    <w:qFormat/>
    <w:pPr>
      <w:ind w:left="1260"/>
    </w:pPr>
    <w:rPr>
      <w:sz w:val="18"/>
      <w:szCs w:val="18"/>
    </w:rPr>
  </w:style>
  <w:style w:type="paragraph" w:styleId="81">
    <w:name w:val="index 8"/>
    <w:basedOn w:val="a"/>
    <w:next w:val="a"/>
    <w:semiHidden/>
    <w:qFormat/>
    <w:pPr>
      <w:ind w:left="1680" w:hanging="210"/>
    </w:pPr>
    <w:rPr>
      <w:sz w:val="20"/>
      <w:szCs w:val="20"/>
    </w:rPr>
  </w:style>
  <w:style w:type="paragraph" w:styleId="a7">
    <w:name w:val="Normal Indent"/>
    <w:basedOn w:val="a"/>
    <w:qFormat/>
    <w:pPr>
      <w:adjustRightInd w:val="0"/>
      <w:spacing w:line="315" w:lineRule="atLeast"/>
      <w:ind w:firstLine="420"/>
      <w:textAlignment w:val="baseline"/>
    </w:pPr>
    <w:rPr>
      <w:rFonts w:ascii="宋体"/>
      <w:kern w:val="0"/>
      <w:szCs w:val="20"/>
    </w:rPr>
  </w:style>
  <w:style w:type="paragraph" w:styleId="a8">
    <w:name w:val="caption"/>
    <w:basedOn w:val="a"/>
    <w:next w:val="a"/>
    <w:link w:val="a9"/>
    <w:unhideWhenUsed/>
    <w:qFormat/>
    <w:pPr>
      <w:keepNext/>
      <w:adjustRightInd w:val="0"/>
      <w:snapToGrid w:val="0"/>
      <w:ind w:firstLineChars="200" w:firstLine="400"/>
    </w:pPr>
    <w:rPr>
      <w:rFonts w:ascii="Cambria" w:eastAsia="黑体" w:hAnsi="Cambria"/>
      <w:color w:val="000000"/>
      <w:kern w:val="0"/>
      <w:sz w:val="20"/>
      <w:szCs w:val="20"/>
    </w:rPr>
  </w:style>
  <w:style w:type="paragraph" w:styleId="51">
    <w:name w:val="index 5"/>
    <w:basedOn w:val="a"/>
    <w:next w:val="a"/>
    <w:semiHidden/>
    <w:qFormat/>
    <w:pPr>
      <w:ind w:left="1050" w:hanging="210"/>
    </w:pPr>
    <w:rPr>
      <w:sz w:val="20"/>
      <w:szCs w:val="20"/>
    </w:rPr>
  </w:style>
  <w:style w:type="paragraph" w:styleId="61">
    <w:name w:val="index 6"/>
    <w:basedOn w:val="a"/>
    <w:next w:val="a"/>
    <w:semiHidden/>
    <w:qFormat/>
    <w:pPr>
      <w:ind w:left="1260" w:hanging="210"/>
    </w:pPr>
    <w:rPr>
      <w:sz w:val="20"/>
      <w:szCs w:val="20"/>
    </w:rPr>
  </w:style>
  <w:style w:type="paragraph" w:styleId="aa">
    <w:name w:val="Body Text"/>
    <w:basedOn w:val="a"/>
    <w:link w:val="ab"/>
    <w:uiPriority w:val="99"/>
    <w:unhideWhenUsed/>
    <w:qFormat/>
    <w:pPr>
      <w:spacing w:after="120"/>
    </w:pPr>
  </w:style>
  <w:style w:type="paragraph" w:styleId="ac">
    <w:name w:val="Body Text Indent"/>
    <w:basedOn w:val="a"/>
    <w:link w:val="ad"/>
    <w:uiPriority w:val="99"/>
    <w:unhideWhenUsed/>
    <w:qFormat/>
    <w:pPr>
      <w:spacing w:after="120"/>
      <w:ind w:leftChars="200" w:left="420"/>
    </w:pPr>
  </w:style>
  <w:style w:type="paragraph" w:styleId="21">
    <w:name w:val="List 2"/>
    <w:basedOn w:val="a"/>
    <w:qFormat/>
    <w:pPr>
      <w:ind w:leftChars="200" w:left="100" w:hangingChars="200" w:hanging="200"/>
    </w:pPr>
    <w:rPr>
      <w:szCs w:val="24"/>
    </w:rPr>
  </w:style>
  <w:style w:type="paragraph" w:styleId="41">
    <w:name w:val="index 4"/>
    <w:basedOn w:val="a"/>
    <w:next w:val="a"/>
    <w:semiHidden/>
    <w:qFormat/>
    <w:pPr>
      <w:ind w:left="840" w:hanging="210"/>
    </w:pPr>
    <w:rPr>
      <w:sz w:val="20"/>
      <w:szCs w:val="20"/>
    </w:rPr>
  </w:style>
  <w:style w:type="paragraph" w:styleId="TOC5">
    <w:name w:val="toc 5"/>
    <w:basedOn w:val="a"/>
    <w:next w:val="a"/>
    <w:uiPriority w:val="39"/>
    <w:qFormat/>
    <w:pPr>
      <w:ind w:left="840"/>
    </w:pPr>
    <w:rPr>
      <w:sz w:val="18"/>
      <w:szCs w:val="18"/>
    </w:rPr>
  </w:style>
  <w:style w:type="paragraph" w:styleId="TOC3">
    <w:name w:val="toc 3"/>
    <w:basedOn w:val="a"/>
    <w:next w:val="a"/>
    <w:uiPriority w:val="39"/>
    <w:qFormat/>
    <w:pPr>
      <w:tabs>
        <w:tab w:val="left" w:pos="851"/>
        <w:tab w:val="left" w:pos="993"/>
        <w:tab w:val="right" w:leader="dot" w:pos="9736"/>
      </w:tabs>
      <w:snapToGrid w:val="0"/>
      <w:ind w:left="420"/>
    </w:pPr>
    <w:rPr>
      <w:iCs/>
      <w:sz w:val="20"/>
      <w:szCs w:val="20"/>
    </w:rPr>
  </w:style>
  <w:style w:type="paragraph" w:styleId="ae">
    <w:name w:val="Plain Text"/>
    <w:basedOn w:val="a"/>
    <w:link w:val="af"/>
    <w:qFormat/>
    <w:rPr>
      <w:rFonts w:ascii="宋体" w:hAnsi="Courier New"/>
    </w:rPr>
  </w:style>
  <w:style w:type="paragraph" w:styleId="TOC8">
    <w:name w:val="toc 8"/>
    <w:basedOn w:val="a"/>
    <w:next w:val="a"/>
    <w:uiPriority w:val="39"/>
    <w:qFormat/>
    <w:pPr>
      <w:ind w:left="1470"/>
    </w:pPr>
    <w:rPr>
      <w:sz w:val="18"/>
      <w:szCs w:val="18"/>
    </w:rPr>
  </w:style>
  <w:style w:type="paragraph" w:styleId="31">
    <w:name w:val="index 3"/>
    <w:basedOn w:val="a"/>
    <w:next w:val="a"/>
    <w:semiHidden/>
    <w:qFormat/>
    <w:pPr>
      <w:ind w:left="630" w:hanging="210"/>
    </w:pPr>
    <w:rPr>
      <w:sz w:val="20"/>
      <w:szCs w:val="20"/>
    </w:rPr>
  </w:style>
  <w:style w:type="paragraph" w:styleId="af0">
    <w:name w:val="Date"/>
    <w:basedOn w:val="a"/>
    <w:next w:val="a"/>
    <w:link w:val="af1"/>
    <w:uiPriority w:val="99"/>
    <w:qFormat/>
    <w:pPr>
      <w:autoSpaceDE w:val="0"/>
      <w:autoSpaceDN w:val="0"/>
      <w:adjustRightInd w:val="0"/>
      <w:textAlignment w:val="baseline"/>
    </w:pPr>
    <w:rPr>
      <w:rFonts w:ascii="宋体"/>
      <w:kern w:val="0"/>
      <w:sz w:val="28"/>
      <w:szCs w:val="20"/>
    </w:rPr>
  </w:style>
  <w:style w:type="paragraph" w:styleId="22">
    <w:name w:val="Body Text Indent 2"/>
    <w:basedOn w:val="a"/>
    <w:link w:val="23"/>
    <w:qFormat/>
    <w:pPr>
      <w:spacing w:after="120" w:line="480" w:lineRule="auto"/>
      <w:ind w:leftChars="200" w:left="420"/>
    </w:pPr>
  </w:style>
  <w:style w:type="paragraph" w:styleId="af2">
    <w:name w:val="endnote text"/>
    <w:basedOn w:val="a"/>
    <w:link w:val="af3"/>
    <w:qFormat/>
    <w:pPr>
      <w:adjustRightInd w:val="0"/>
      <w:snapToGrid w:val="0"/>
    </w:pPr>
    <w:rPr>
      <w:color w:val="000000"/>
      <w:kern w:val="0"/>
      <w:szCs w:val="24"/>
    </w:rPr>
  </w:style>
  <w:style w:type="paragraph" w:styleId="af4">
    <w:name w:val="Balloon Text"/>
    <w:basedOn w:val="a"/>
    <w:link w:val="af5"/>
    <w:uiPriority w:val="99"/>
    <w:qFormat/>
    <w:rPr>
      <w:sz w:val="18"/>
      <w:szCs w:val="18"/>
    </w:rPr>
  </w:style>
  <w:style w:type="paragraph" w:styleId="af6">
    <w:name w:val="footer"/>
    <w:basedOn w:val="a"/>
    <w:link w:val="af7"/>
    <w:uiPriority w:val="99"/>
    <w:unhideWhenUsed/>
    <w:qFormat/>
    <w:pPr>
      <w:tabs>
        <w:tab w:val="center" w:pos="4153"/>
        <w:tab w:val="right" w:pos="8306"/>
      </w:tabs>
      <w:snapToGrid w:val="0"/>
    </w:pPr>
    <w:rPr>
      <w:sz w:val="18"/>
      <w:szCs w:val="18"/>
    </w:rPr>
  </w:style>
  <w:style w:type="paragraph" w:styleId="af8">
    <w:name w:val="header"/>
    <w:basedOn w:val="a"/>
    <w:link w:val="af9"/>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left" w:pos="284"/>
        <w:tab w:val="right" w:leader="dot" w:pos="9736"/>
      </w:tabs>
      <w:snapToGrid w:val="0"/>
    </w:pPr>
    <w:rPr>
      <w:rFonts w:eastAsia="Calibri"/>
      <w:b/>
      <w:bCs/>
      <w:caps/>
      <w:sz w:val="20"/>
      <w:szCs w:val="20"/>
    </w:rPr>
  </w:style>
  <w:style w:type="paragraph" w:styleId="TOC4">
    <w:name w:val="toc 4"/>
    <w:basedOn w:val="a"/>
    <w:next w:val="a"/>
    <w:uiPriority w:val="39"/>
    <w:qFormat/>
    <w:pPr>
      <w:ind w:left="630"/>
    </w:pPr>
    <w:rPr>
      <w:sz w:val="18"/>
      <w:szCs w:val="18"/>
    </w:rPr>
  </w:style>
  <w:style w:type="paragraph" w:styleId="afa">
    <w:name w:val="index heading"/>
    <w:basedOn w:val="a"/>
    <w:next w:val="11"/>
    <w:semiHidden/>
    <w:qFormat/>
    <w:pPr>
      <w:spacing w:before="120" w:after="120"/>
    </w:pPr>
    <w:rPr>
      <w:b/>
      <w:bCs/>
      <w:i/>
      <w:iCs/>
      <w:sz w:val="20"/>
      <w:szCs w:val="20"/>
    </w:rPr>
  </w:style>
  <w:style w:type="paragraph" w:styleId="11">
    <w:name w:val="index 1"/>
    <w:basedOn w:val="a"/>
    <w:next w:val="a"/>
    <w:semiHidden/>
    <w:qFormat/>
    <w:pPr>
      <w:ind w:left="210" w:hanging="210"/>
    </w:pPr>
    <w:rPr>
      <w:sz w:val="20"/>
      <w:szCs w:val="20"/>
    </w:rPr>
  </w:style>
  <w:style w:type="paragraph" w:styleId="afb">
    <w:name w:val="Subtitle"/>
    <w:basedOn w:val="a"/>
    <w:next w:val="a"/>
    <w:link w:val="afc"/>
    <w:qFormat/>
    <w:pPr>
      <w:spacing w:before="240" w:after="60" w:line="312" w:lineRule="auto"/>
      <w:jc w:val="center"/>
      <w:outlineLvl w:val="1"/>
    </w:pPr>
    <w:rPr>
      <w:b/>
      <w:bCs/>
      <w:kern w:val="0"/>
      <w:sz w:val="28"/>
      <w:szCs w:val="28"/>
      <w:lang w:eastAsia="en-US"/>
    </w:rPr>
  </w:style>
  <w:style w:type="paragraph" w:styleId="afd">
    <w:name w:val="footnote text"/>
    <w:basedOn w:val="a"/>
    <w:link w:val="afe"/>
    <w:uiPriority w:val="9"/>
    <w:unhideWhenUsed/>
    <w:qFormat/>
    <w:pPr>
      <w:spacing w:after="200"/>
    </w:pPr>
    <w:rPr>
      <w:kern w:val="0"/>
      <w:sz w:val="22"/>
      <w:lang w:eastAsia="en-US"/>
    </w:rPr>
  </w:style>
  <w:style w:type="paragraph" w:styleId="TOC6">
    <w:name w:val="toc 6"/>
    <w:basedOn w:val="a"/>
    <w:next w:val="a"/>
    <w:uiPriority w:val="39"/>
    <w:qFormat/>
    <w:pPr>
      <w:ind w:left="1050"/>
    </w:pPr>
    <w:rPr>
      <w:sz w:val="18"/>
      <w:szCs w:val="18"/>
    </w:rPr>
  </w:style>
  <w:style w:type="paragraph" w:styleId="71">
    <w:name w:val="index 7"/>
    <w:basedOn w:val="a"/>
    <w:next w:val="a"/>
    <w:semiHidden/>
    <w:qFormat/>
    <w:pPr>
      <w:ind w:left="1470" w:hanging="210"/>
    </w:pPr>
    <w:rPr>
      <w:sz w:val="20"/>
      <w:szCs w:val="20"/>
    </w:rPr>
  </w:style>
  <w:style w:type="paragraph" w:styleId="91">
    <w:name w:val="index 9"/>
    <w:basedOn w:val="a"/>
    <w:next w:val="a"/>
    <w:semiHidden/>
    <w:qFormat/>
    <w:pPr>
      <w:ind w:left="1890" w:hanging="210"/>
    </w:pPr>
    <w:rPr>
      <w:sz w:val="20"/>
      <w:szCs w:val="20"/>
    </w:rPr>
  </w:style>
  <w:style w:type="paragraph" w:styleId="aff">
    <w:name w:val="table of figures"/>
    <w:basedOn w:val="a"/>
    <w:next w:val="a"/>
    <w:uiPriority w:val="99"/>
    <w:unhideWhenUsed/>
    <w:qFormat/>
    <w:pPr>
      <w:ind w:leftChars="200" w:left="200" w:hangingChars="200" w:hanging="200"/>
    </w:pPr>
    <w:rPr>
      <w:rFonts w:asciiTheme="minorHAnsi" w:eastAsiaTheme="minorEastAsia" w:hAnsiTheme="minorHAnsi" w:cstheme="minorBidi"/>
      <w:kern w:val="0"/>
      <w:sz w:val="22"/>
    </w:rPr>
  </w:style>
  <w:style w:type="paragraph" w:styleId="TOC2">
    <w:name w:val="toc 2"/>
    <w:basedOn w:val="a"/>
    <w:next w:val="a"/>
    <w:uiPriority w:val="39"/>
    <w:qFormat/>
    <w:pPr>
      <w:tabs>
        <w:tab w:val="left" w:pos="567"/>
        <w:tab w:val="right" w:leader="dot" w:pos="9736"/>
      </w:tabs>
      <w:snapToGrid w:val="0"/>
      <w:ind w:left="210"/>
    </w:pPr>
    <w:rPr>
      <w:smallCaps/>
      <w:sz w:val="20"/>
      <w:szCs w:val="20"/>
    </w:rPr>
  </w:style>
  <w:style w:type="paragraph" w:styleId="TOC9">
    <w:name w:val="toc 9"/>
    <w:basedOn w:val="a"/>
    <w:next w:val="a"/>
    <w:uiPriority w:val="39"/>
    <w:qFormat/>
    <w:pPr>
      <w:ind w:left="1680"/>
    </w:pPr>
    <w:rPr>
      <w:sz w:val="18"/>
      <w:szCs w:val="18"/>
    </w:rPr>
  </w:style>
  <w:style w:type="paragraph" w:styleId="24">
    <w:name w:val="Body Text 2"/>
    <w:basedOn w:val="a"/>
    <w:link w:val="25"/>
    <w:qFormat/>
    <w:pPr>
      <w:spacing w:after="120" w:line="480" w:lineRule="auto"/>
    </w:pPr>
    <w:rPr>
      <w:szCs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kern w:val="0"/>
    </w:rPr>
  </w:style>
  <w:style w:type="paragraph" w:styleId="aff0">
    <w:name w:val="Normal (Web)"/>
    <w:basedOn w:val="a"/>
    <w:uiPriority w:val="99"/>
    <w:unhideWhenUsed/>
    <w:qFormat/>
    <w:pPr>
      <w:spacing w:before="100" w:beforeAutospacing="1" w:after="100" w:afterAutospacing="1"/>
    </w:pPr>
    <w:rPr>
      <w:rFonts w:ascii="宋体" w:hAnsi="宋体" w:cs="宋体"/>
      <w:kern w:val="0"/>
      <w:sz w:val="24"/>
      <w:szCs w:val="24"/>
    </w:rPr>
  </w:style>
  <w:style w:type="paragraph" w:styleId="26">
    <w:name w:val="index 2"/>
    <w:basedOn w:val="a"/>
    <w:next w:val="a"/>
    <w:semiHidden/>
    <w:qFormat/>
    <w:pPr>
      <w:ind w:left="420" w:hanging="210"/>
    </w:pPr>
    <w:rPr>
      <w:sz w:val="20"/>
      <w:szCs w:val="20"/>
    </w:rPr>
  </w:style>
  <w:style w:type="paragraph" w:styleId="aff1">
    <w:name w:val="Title"/>
    <w:basedOn w:val="a"/>
    <w:next w:val="a"/>
    <w:link w:val="aff2"/>
    <w:uiPriority w:val="10"/>
    <w:qFormat/>
    <w:pPr>
      <w:pageBreakBefore/>
      <w:adjustRightInd w:val="0"/>
      <w:snapToGrid w:val="0"/>
      <w:jc w:val="center"/>
      <w:outlineLvl w:val="0"/>
    </w:pPr>
    <w:rPr>
      <w:b/>
      <w:bCs/>
      <w:color w:val="000000"/>
      <w:kern w:val="0"/>
      <w:sz w:val="24"/>
      <w:szCs w:val="32"/>
    </w:rPr>
  </w:style>
  <w:style w:type="character" w:styleId="aff3">
    <w:name w:val="endnote reference"/>
    <w:qFormat/>
    <w:rPr>
      <w:vertAlign w:val="superscript"/>
    </w:rPr>
  </w:style>
  <w:style w:type="character" w:styleId="aff4">
    <w:name w:val="page number"/>
    <w:basedOn w:val="a0"/>
    <w:qFormat/>
  </w:style>
  <w:style w:type="character" w:styleId="aff5">
    <w:name w:val="FollowedHyperlink"/>
    <w:qFormat/>
    <w:rPr>
      <w:color w:val="800080"/>
      <w:u w:val="single"/>
    </w:rPr>
  </w:style>
  <w:style w:type="character" w:styleId="aff6">
    <w:name w:val="Emphasis"/>
    <w:qFormat/>
    <w:rPr>
      <w:color w:val="CC0033"/>
    </w:rPr>
  </w:style>
  <w:style w:type="character" w:styleId="aff7">
    <w:name w:val="Hyperlink"/>
    <w:uiPriority w:val="99"/>
    <w:qFormat/>
    <w:rPr>
      <w:rFonts w:cs="Times New Roman"/>
      <w:color w:val="0000FF"/>
      <w:u w:val="single"/>
    </w:rPr>
  </w:style>
  <w:style w:type="character" w:styleId="aff8">
    <w:name w:val="annotation reference"/>
    <w:uiPriority w:val="99"/>
    <w:qFormat/>
    <w:rPr>
      <w:sz w:val="21"/>
      <w:szCs w:val="21"/>
    </w:rPr>
  </w:style>
  <w:style w:type="character" w:styleId="aff9">
    <w:name w:val="footnote reference"/>
    <w:basedOn w:val="a9"/>
    <w:qFormat/>
    <w:rPr>
      <w:rFonts w:ascii="Cambria" w:eastAsia="黑体" w:hAnsi="Cambria"/>
      <w:color w:val="000000"/>
      <w:vertAlign w:val="superscript"/>
    </w:rPr>
  </w:style>
  <w:style w:type="character" w:customStyle="1" w:styleId="a9">
    <w:name w:val="题注 字符"/>
    <w:basedOn w:val="a0"/>
    <w:link w:val="a8"/>
    <w:qFormat/>
    <w:rPr>
      <w:rFonts w:ascii="Cambria" w:eastAsia="黑体" w:hAnsi="Cambria"/>
      <w:color w:val="000000"/>
    </w:rPr>
  </w:style>
  <w:style w:type="table" w:styleId="aff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qFormat/>
    <w:rPr>
      <w:rFonts w:ascii="Times New Roman" w:eastAsiaTheme="minorEastAsia" w:hAnsi="Times New Roman"/>
      <w:b/>
      <w:kern w:val="44"/>
      <w:sz w:val="24"/>
      <w:szCs w:val="36"/>
    </w:rPr>
  </w:style>
  <w:style w:type="character" w:customStyle="1" w:styleId="20">
    <w:name w:val="标题 2 字符"/>
    <w:link w:val="2"/>
    <w:uiPriority w:val="9"/>
    <w:qFormat/>
    <w:rPr>
      <w:rFonts w:ascii="Times New Roman" w:eastAsiaTheme="minorEastAsia" w:hAnsi="Times New Roman"/>
      <w:b/>
      <w:bCs/>
      <w:kern w:val="2"/>
      <w:sz w:val="24"/>
      <w:szCs w:val="32"/>
    </w:rPr>
  </w:style>
  <w:style w:type="character" w:customStyle="1" w:styleId="30">
    <w:name w:val="标题 3 字符"/>
    <w:link w:val="3"/>
    <w:uiPriority w:val="9"/>
    <w:qFormat/>
    <w:rPr>
      <w:rFonts w:ascii="Times New Roman" w:eastAsiaTheme="minorEastAsia" w:hAnsi="Times New Roman"/>
      <w:b/>
      <w:bCs/>
      <w:kern w:val="2"/>
      <w:sz w:val="24"/>
      <w:szCs w:val="24"/>
    </w:rPr>
  </w:style>
  <w:style w:type="character" w:customStyle="1" w:styleId="40">
    <w:name w:val="标题 4 字符"/>
    <w:link w:val="4"/>
    <w:uiPriority w:val="9"/>
    <w:qFormat/>
    <w:rPr>
      <w:b/>
      <w:bCs/>
      <w:kern w:val="2"/>
      <w:sz w:val="24"/>
      <w:szCs w:val="24"/>
      <w:lang w:bidi="en-US"/>
    </w:rPr>
  </w:style>
  <w:style w:type="character" w:customStyle="1" w:styleId="50">
    <w:name w:val="标题 5 字符"/>
    <w:basedOn w:val="a0"/>
    <w:link w:val="5"/>
    <w:uiPriority w:val="9"/>
    <w:qFormat/>
    <w:rPr>
      <w:rFonts w:ascii="Times New Roman" w:eastAsiaTheme="minorEastAsia" w:hAnsi="Times New Roman"/>
      <w:b/>
      <w:bCs/>
      <w:color w:val="000000"/>
      <w:sz w:val="24"/>
      <w:szCs w:val="28"/>
    </w:rPr>
  </w:style>
  <w:style w:type="character" w:customStyle="1" w:styleId="60">
    <w:name w:val="标题 6 字符"/>
    <w:basedOn w:val="a0"/>
    <w:link w:val="6"/>
    <w:uiPriority w:val="9"/>
    <w:qFormat/>
    <w:rPr>
      <w:rFonts w:ascii="Times New Roman" w:eastAsiaTheme="majorEastAsia" w:hAnsi="Times New Roman" w:cstheme="majorBidi"/>
      <w:b/>
      <w:bCs/>
      <w:kern w:val="2"/>
      <w:sz w:val="24"/>
      <w:szCs w:val="24"/>
    </w:rPr>
  </w:style>
  <w:style w:type="character" w:customStyle="1" w:styleId="70">
    <w:name w:val="标题 7 字符"/>
    <w:basedOn w:val="a0"/>
    <w:link w:val="7"/>
    <w:uiPriority w:val="9"/>
    <w:qFormat/>
    <w:rPr>
      <w:b/>
      <w:bCs/>
      <w:kern w:val="2"/>
      <w:sz w:val="24"/>
      <w:szCs w:val="24"/>
    </w:rPr>
  </w:style>
  <w:style w:type="character" w:customStyle="1" w:styleId="80">
    <w:name w:val="标题 8 字符"/>
    <w:basedOn w:val="a0"/>
    <w:link w:val="8"/>
    <w:uiPriority w:val="9"/>
    <w:qFormat/>
    <w:rPr>
      <w:rFonts w:asciiTheme="majorHAnsi" w:eastAsiaTheme="majorEastAsia" w:hAnsiTheme="majorHAnsi" w:cstheme="majorBidi"/>
      <w:kern w:val="2"/>
      <w:sz w:val="24"/>
      <w:szCs w:val="24"/>
    </w:rPr>
  </w:style>
  <w:style w:type="character" w:customStyle="1" w:styleId="90">
    <w:name w:val="标题 9 字符"/>
    <w:basedOn w:val="a0"/>
    <w:link w:val="9"/>
    <w:uiPriority w:val="9"/>
    <w:qFormat/>
    <w:rPr>
      <w:rFonts w:asciiTheme="majorHAnsi" w:eastAsiaTheme="majorEastAsia" w:hAnsiTheme="majorHAnsi" w:cstheme="majorBidi"/>
      <w:kern w:val="2"/>
      <w:sz w:val="21"/>
      <w:szCs w:val="21"/>
    </w:rPr>
  </w:style>
  <w:style w:type="paragraph" w:customStyle="1" w:styleId="12">
    <w:name w:val="列表段落1"/>
    <w:basedOn w:val="a"/>
    <w:link w:val="affb"/>
    <w:uiPriority w:val="34"/>
    <w:qFormat/>
    <w:pPr>
      <w:ind w:firstLine="420"/>
    </w:pPr>
  </w:style>
  <w:style w:type="character" w:customStyle="1" w:styleId="af9">
    <w:name w:val="页眉 字符"/>
    <w:link w:val="af8"/>
    <w:uiPriority w:val="99"/>
    <w:qFormat/>
    <w:rPr>
      <w:kern w:val="2"/>
      <w:sz w:val="18"/>
      <w:szCs w:val="18"/>
    </w:rPr>
  </w:style>
  <w:style w:type="character" w:customStyle="1" w:styleId="af7">
    <w:name w:val="页脚 字符"/>
    <w:link w:val="af6"/>
    <w:uiPriority w:val="99"/>
    <w:qFormat/>
    <w:rPr>
      <w:kern w:val="2"/>
      <w:sz w:val="18"/>
      <w:szCs w:val="18"/>
    </w:rPr>
  </w:style>
  <w:style w:type="character" w:customStyle="1" w:styleId="25">
    <w:name w:val="正文文本 2 字符"/>
    <w:link w:val="24"/>
    <w:qFormat/>
    <w:rPr>
      <w:rFonts w:ascii="Times New Roman" w:hAnsi="Times New Roman"/>
      <w:kern w:val="2"/>
      <w:sz w:val="21"/>
      <w:szCs w:val="24"/>
    </w:rPr>
  </w:style>
  <w:style w:type="paragraph" w:customStyle="1" w:styleId="13">
    <w:name w:val="无间隔1"/>
    <w:uiPriority w:val="1"/>
    <w:qFormat/>
    <w:pPr>
      <w:widowControl w:val="0"/>
      <w:spacing w:line="360" w:lineRule="auto"/>
      <w:jc w:val="both"/>
    </w:pPr>
    <w:rPr>
      <w:rFonts w:ascii="Calibri" w:hAnsi="Calibri"/>
      <w:kern w:val="2"/>
      <w:sz w:val="21"/>
      <w:szCs w:val="22"/>
    </w:rPr>
  </w:style>
  <w:style w:type="paragraph" w:customStyle="1" w:styleId="affc">
    <w:name w:val=".."/>
    <w:basedOn w:val="a"/>
    <w:next w:val="a"/>
    <w:qFormat/>
    <w:pPr>
      <w:autoSpaceDE w:val="0"/>
      <w:autoSpaceDN w:val="0"/>
      <w:adjustRightInd w:val="0"/>
    </w:pPr>
    <w:rPr>
      <w:rFonts w:ascii="仿宋_GB2312" w:eastAsia="仿宋_GB2312"/>
      <w:kern w:val="0"/>
      <w:sz w:val="24"/>
      <w:szCs w:val="24"/>
    </w:rPr>
  </w:style>
  <w:style w:type="paragraph" w:customStyle="1" w:styleId="A-TableHeader">
    <w:name w:val="A-Table Header"/>
    <w:next w:val="a"/>
    <w:qFormat/>
    <w:pPr>
      <w:spacing w:before="60" w:after="60" w:line="360" w:lineRule="auto"/>
      <w:jc w:val="both"/>
    </w:pPr>
    <w:rPr>
      <w:b/>
      <w:lang w:val="en-GB"/>
    </w:rPr>
  </w:style>
  <w:style w:type="character" w:customStyle="1" w:styleId="ad">
    <w:name w:val="正文文本缩进 字符"/>
    <w:link w:val="ac"/>
    <w:uiPriority w:val="99"/>
    <w:qFormat/>
    <w:rPr>
      <w:kern w:val="2"/>
      <w:sz w:val="21"/>
      <w:szCs w:val="22"/>
    </w:rPr>
  </w:style>
  <w:style w:type="character" w:customStyle="1" w:styleId="ab">
    <w:name w:val="正文文本 字符"/>
    <w:link w:val="aa"/>
    <w:uiPriority w:val="99"/>
    <w:qFormat/>
    <w:rPr>
      <w:kern w:val="2"/>
      <w:sz w:val="21"/>
      <w:szCs w:val="22"/>
    </w:rPr>
  </w:style>
  <w:style w:type="paragraph" w:customStyle="1" w:styleId="xl43">
    <w:name w:val="xl43"/>
    <w:basedOn w:val="a"/>
    <w:qFormat/>
    <w:pPr>
      <w:spacing w:before="100" w:beforeAutospacing="1" w:after="100" w:afterAutospacing="1"/>
    </w:pPr>
    <w:rPr>
      <w:rFonts w:ascii="楷体_GB2312" w:eastAsia="楷体_GB2312" w:hAnsi="宋体" w:hint="eastAsia"/>
      <w:b/>
      <w:bCs/>
      <w:kern w:val="0"/>
      <w:sz w:val="28"/>
      <w:szCs w:val="28"/>
    </w:rPr>
  </w:style>
  <w:style w:type="character" w:customStyle="1" w:styleId="a6">
    <w:name w:val="批注文字 字符"/>
    <w:link w:val="a4"/>
    <w:uiPriority w:val="99"/>
    <w:qFormat/>
    <w:rPr>
      <w:rFonts w:ascii="Times New Roman" w:hAnsi="Times New Roman"/>
    </w:rPr>
  </w:style>
  <w:style w:type="character" w:customStyle="1" w:styleId="af5">
    <w:name w:val="批注框文本 字符"/>
    <w:link w:val="af4"/>
    <w:uiPriority w:val="99"/>
    <w:qFormat/>
    <w:rPr>
      <w:kern w:val="2"/>
      <w:sz w:val="18"/>
      <w:szCs w:val="18"/>
    </w:rPr>
  </w:style>
  <w:style w:type="paragraph" w:customStyle="1" w:styleId="tt1">
    <w:name w:val="tt1"/>
    <w:basedOn w:val="a"/>
    <w:qFormat/>
    <w:pPr>
      <w:spacing w:before="100" w:beforeAutospacing="1" w:after="100" w:afterAutospacing="1"/>
    </w:pPr>
    <w:rPr>
      <w:rFonts w:ascii="宋体" w:hAnsi="宋体"/>
      <w:kern w:val="0"/>
      <w:sz w:val="24"/>
      <w:szCs w:val="24"/>
    </w:rPr>
  </w:style>
  <w:style w:type="character" w:customStyle="1" w:styleId="23">
    <w:name w:val="正文文本缩进 2 字符"/>
    <w:link w:val="22"/>
    <w:qFormat/>
    <w:rPr>
      <w:kern w:val="2"/>
      <w:sz w:val="21"/>
      <w:szCs w:val="22"/>
    </w:rPr>
  </w:style>
  <w:style w:type="paragraph" w:customStyle="1" w:styleId="Text">
    <w:name w:val="Text"/>
    <w:basedOn w:val="a"/>
    <w:qFormat/>
    <w:pPr>
      <w:spacing w:before="120"/>
    </w:pPr>
    <w:rPr>
      <w:kern w:val="0"/>
      <w:sz w:val="24"/>
      <w:szCs w:val="20"/>
      <w:lang w:eastAsia="en-GB"/>
    </w:rPr>
  </w:style>
  <w:style w:type="character" w:customStyle="1" w:styleId="af">
    <w:name w:val="纯文本 字符"/>
    <w:link w:val="ae"/>
    <w:qFormat/>
    <w:rPr>
      <w:rFonts w:ascii="宋体" w:hAnsi="Courier New" w:cs="Courier New"/>
      <w:kern w:val="2"/>
      <w:sz w:val="21"/>
      <w:szCs w:val="21"/>
    </w:rPr>
  </w:style>
  <w:style w:type="character" w:customStyle="1" w:styleId="af1">
    <w:name w:val="日期 字符"/>
    <w:link w:val="af0"/>
    <w:uiPriority w:val="99"/>
    <w:qFormat/>
    <w:rPr>
      <w:rFonts w:ascii="宋体" w:hAnsi="Times New Roman"/>
      <w:sz w:val="28"/>
    </w:rPr>
  </w:style>
  <w:style w:type="paragraph" w:customStyle="1" w:styleId="CM10">
    <w:name w:val="CM10"/>
    <w:basedOn w:val="a"/>
    <w:next w:val="a"/>
    <w:qFormat/>
    <w:pPr>
      <w:autoSpaceDE w:val="0"/>
      <w:autoSpaceDN w:val="0"/>
      <w:adjustRightInd w:val="0"/>
      <w:spacing w:after="268"/>
    </w:pPr>
    <w:rPr>
      <w:rFonts w:ascii="仿宋_GB2312" w:eastAsia="仿宋_GB2312"/>
      <w:kern w:val="0"/>
      <w:sz w:val="24"/>
      <w:szCs w:val="24"/>
    </w:rPr>
  </w:style>
  <w:style w:type="character" w:customStyle="1" w:styleId="longtext1">
    <w:name w:val="long_text1"/>
    <w:qFormat/>
    <w:rPr>
      <w:sz w:val="20"/>
      <w:szCs w:val="20"/>
    </w:rPr>
  </w:style>
  <w:style w:type="character" w:customStyle="1" w:styleId="a5">
    <w:name w:val="批注主题 字符"/>
    <w:link w:val="a3"/>
    <w:uiPriority w:val="99"/>
    <w:semiHidden/>
    <w:qFormat/>
    <w:rPr>
      <w:rFonts w:ascii="Times New Roman" w:hAnsi="Times New Roman"/>
      <w:b/>
      <w:bCs/>
      <w:kern w:val="2"/>
      <w:sz w:val="21"/>
      <w:szCs w:val="22"/>
    </w:rPr>
  </w:style>
  <w:style w:type="character" w:customStyle="1" w:styleId="HTML0">
    <w:name w:val="HTML 预设格式 字符"/>
    <w:link w:val="HTML"/>
    <w:qFormat/>
    <w:rPr>
      <w:rFonts w:ascii="Arial" w:hAnsi="Arial" w:cs="Arial"/>
      <w:sz w:val="21"/>
      <w:szCs w:val="21"/>
    </w:rPr>
  </w:style>
  <w:style w:type="paragraph" w:customStyle="1" w:styleId="Default">
    <w:name w:val="Default"/>
    <w:qFormat/>
    <w:pPr>
      <w:widowControl w:val="0"/>
      <w:autoSpaceDE w:val="0"/>
      <w:autoSpaceDN w:val="0"/>
      <w:adjustRightInd w:val="0"/>
    </w:pPr>
    <w:rPr>
      <w:rFonts w:ascii="华文细黑" w:eastAsia="华文细黑" w:cs="华文细黑"/>
      <w:color w:val="000000"/>
      <w:sz w:val="24"/>
      <w:szCs w:val="24"/>
    </w:rPr>
  </w:style>
  <w:style w:type="character" w:customStyle="1" w:styleId="javascript">
    <w:name w:val="javascript"/>
    <w:qFormat/>
  </w:style>
  <w:style w:type="paragraph" w:customStyle="1" w:styleId="14">
    <w:name w:val="修订1"/>
    <w:hidden/>
    <w:uiPriority w:val="99"/>
    <w:semiHidden/>
    <w:qFormat/>
    <w:rPr>
      <w:rFonts w:ascii="Calibri" w:hAnsi="Calibri"/>
      <w:kern w:val="2"/>
      <w:sz w:val="21"/>
      <w:szCs w:val="22"/>
    </w:rPr>
  </w:style>
  <w:style w:type="paragraph" w:customStyle="1" w:styleId="TOC10">
    <w:name w:val="TOC 标题1"/>
    <w:basedOn w:val="1"/>
    <w:next w:val="a"/>
    <w:uiPriority w:val="39"/>
    <w:unhideWhenUsed/>
    <w:qFormat/>
    <w:pPr>
      <w:keepNext w:val="0"/>
      <w:spacing w:line="276" w:lineRule="auto"/>
      <w:outlineLvl w:val="9"/>
    </w:pPr>
    <w:rPr>
      <w:rFonts w:ascii="Cambria" w:hAnsi="Cambria"/>
      <w:bCs/>
      <w:color w:val="365F91"/>
      <w:kern w:val="0"/>
      <w:sz w:val="28"/>
      <w:szCs w:val="28"/>
      <w:lang w:bidi="en-US"/>
    </w:rPr>
  </w:style>
  <w:style w:type="character" w:customStyle="1" w:styleId="15">
    <w:name w:val="已访问的超链接1"/>
    <w:uiPriority w:val="99"/>
    <w:unhideWhenUsed/>
    <w:qFormat/>
    <w:rPr>
      <w:color w:val="800080"/>
      <w:u w:val="single"/>
    </w:rPr>
  </w:style>
  <w:style w:type="character" w:customStyle="1" w:styleId="af3">
    <w:name w:val="尾注文本 字符"/>
    <w:basedOn w:val="a0"/>
    <w:link w:val="af2"/>
    <w:qFormat/>
    <w:rPr>
      <w:rFonts w:ascii="Times New Roman" w:hAnsi="Times New Roman"/>
      <w:color w:val="000000"/>
      <w:sz w:val="21"/>
      <w:szCs w:val="24"/>
    </w:rPr>
  </w:style>
  <w:style w:type="character" w:customStyle="1" w:styleId="highlight">
    <w:name w:val="highlight"/>
    <w:basedOn w:val="a0"/>
    <w:qFormat/>
  </w:style>
  <w:style w:type="table" w:customStyle="1" w:styleId="16">
    <w:name w:val="浅色底纹1"/>
    <w:basedOn w:val="a1"/>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2">
    <w:name w:val="标题 字符"/>
    <w:basedOn w:val="a0"/>
    <w:link w:val="aff1"/>
    <w:uiPriority w:val="10"/>
    <w:qFormat/>
    <w:rPr>
      <w:rFonts w:ascii="Times New Roman" w:hAnsi="Times New Roman"/>
      <w:b/>
      <w:bCs/>
      <w:color w:val="000000"/>
      <w:sz w:val="24"/>
      <w:szCs w:val="32"/>
    </w:rPr>
  </w:style>
  <w:style w:type="character" w:customStyle="1" w:styleId="ecmean1">
    <w:name w:val="ec_mean1"/>
    <w:qFormat/>
    <w:rPr>
      <w:sz w:val="19"/>
      <w:szCs w:val="19"/>
    </w:rPr>
  </w:style>
  <w:style w:type="character" w:customStyle="1" w:styleId="hps">
    <w:name w:val="hps"/>
    <w:basedOn w:val="a0"/>
    <w:qFormat/>
  </w:style>
  <w:style w:type="character" w:customStyle="1" w:styleId="high-light-bg4">
    <w:name w:val="high-light-bg4"/>
    <w:basedOn w:val="a0"/>
    <w:qFormat/>
  </w:style>
  <w:style w:type="character" w:customStyle="1" w:styleId="ordinary-span-edit2">
    <w:name w:val="ordinary-span-edit2"/>
    <w:basedOn w:val="a0"/>
    <w:qFormat/>
  </w:style>
  <w:style w:type="character" w:customStyle="1" w:styleId="CourierNew">
    <w:name w:val="正文文本 + Courier New"/>
    <w:basedOn w:val="a0"/>
    <w:uiPriority w:val="99"/>
    <w:qFormat/>
    <w:rPr>
      <w:rFonts w:ascii="Courier New" w:eastAsia="Courier New" w:hAnsi="Courier New" w:cs="Courier New"/>
      <w:b/>
      <w:bCs/>
      <w:color w:val="000000"/>
      <w:spacing w:val="0"/>
      <w:w w:val="100"/>
      <w:position w:val="0"/>
      <w:sz w:val="14"/>
      <w:szCs w:val="14"/>
      <w:u w:val="none"/>
      <w:shd w:val="clear" w:color="auto" w:fill="FFFFFF"/>
      <w:lang w:val="en-US"/>
    </w:rPr>
  </w:style>
  <w:style w:type="character" w:customStyle="1" w:styleId="85pt">
    <w:name w:val="正文文本 + 8.5 pt"/>
    <w:basedOn w:val="a0"/>
    <w:uiPriority w:val="99"/>
    <w:qFormat/>
    <w:rPr>
      <w:rFonts w:ascii="Arial Unicode MS" w:eastAsia="Arial Unicode MS" w:cs="Arial Unicode MS"/>
      <w:sz w:val="17"/>
      <w:szCs w:val="17"/>
      <w:u w:val="none"/>
      <w:shd w:val="clear" w:color="auto" w:fill="FFFFFF"/>
    </w:rPr>
  </w:style>
  <w:style w:type="paragraph" w:customStyle="1" w:styleId="ordinary-output">
    <w:name w:val="ordinary-output"/>
    <w:basedOn w:val="a"/>
    <w:qFormat/>
    <w:pPr>
      <w:spacing w:before="100" w:beforeAutospacing="1" w:after="100" w:afterAutospacing="1"/>
    </w:pPr>
    <w:rPr>
      <w:rFonts w:ascii="宋体" w:hAnsi="宋体" w:cs="宋体"/>
      <w:kern w:val="0"/>
      <w:sz w:val="24"/>
      <w:szCs w:val="24"/>
    </w:rPr>
  </w:style>
  <w:style w:type="character" w:customStyle="1" w:styleId="luoma-output-kor">
    <w:name w:val="luoma-output-kor"/>
    <w:basedOn w:val="a0"/>
    <w:qFormat/>
  </w:style>
  <w:style w:type="character" w:customStyle="1" w:styleId="apple-converted-space">
    <w:name w:val="apple-converted-space"/>
    <w:basedOn w:val="a0"/>
    <w:qFormat/>
  </w:style>
  <w:style w:type="paragraph" w:customStyle="1" w:styleId="17">
    <w:name w:val="纯文本1"/>
    <w:basedOn w:val="a"/>
    <w:link w:val="Char"/>
    <w:qFormat/>
    <w:rPr>
      <w:rFonts w:ascii="宋体" w:hAnsi="Courier New"/>
      <w:szCs w:val="24"/>
    </w:rPr>
  </w:style>
  <w:style w:type="paragraph" w:customStyle="1" w:styleId="18">
    <w:name w:val="页眉1"/>
    <w:basedOn w:val="a"/>
    <w:qFormat/>
    <w:pPr>
      <w:pBdr>
        <w:bottom w:val="single" w:sz="6" w:space="1" w:color="auto"/>
      </w:pBdr>
      <w:tabs>
        <w:tab w:val="center" w:pos="4153"/>
        <w:tab w:val="right" w:pos="8306"/>
      </w:tabs>
      <w:adjustRightInd w:val="0"/>
      <w:snapToGrid w:val="0"/>
      <w:spacing w:line="240" w:lineRule="atLeast"/>
      <w:jc w:val="center"/>
      <w:textAlignment w:val="baseline"/>
    </w:pPr>
    <w:rPr>
      <w:kern w:val="0"/>
      <w:sz w:val="18"/>
      <w:szCs w:val="20"/>
    </w:rPr>
  </w:style>
  <w:style w:type="paragraph" w:customStyle="1" w:styleId="19">
    <w:name w:val="页脚1"/>
    <w:basedOn w:val="a"/>
    <w:qFormat/>
    <w:pPr>
      <w:tabs>
        <w:tab w:val="center" w:pos="4153"/>
        <w:tab w:val="right" w:pos="8306"/>
      </w:tabs>
      <w:snapToGrid w:val="0"/>
    </w:pPr>
    <w:rPr>
      <w:sz w:val="18"/>
      <w:szCs w:val="18"/>
    </w:rPr>
  </w:style>
  <w:style w:type="paragraph" w:customStyle="1" w:styleId="affd">
    <w:name w:val="！方案摘要"/>
    <w:next w:val="a"/>
    <w:qFormat/>
    <w:pPr>
      <w:topLinePunct/>
      <w:adjustRightInd w:val="0"/>
      <w:snapToGrid w:val="0"/>
      <w:spacing w:line="360" w:lineRule="auto"/>
      <w:jc w:val="center"/>
      <w:outlineLvl w:val="0"/>
    </w:pPr>
    <w:rPr>
      <w:rFonts w:eastAsia="黑体"/>
      <w:kern w:val="2"/>
      <w:sz w:val="24"/>
      <w:szCs w:val="24"/>
    </w:rPr>
  </w:style>
  <w:style w:type="paragraph" w:customStyle="1" w:styleId="affe">
    <w:name w:val="！正文"/>
    <w:link w:val="Char0"/>
    <w:qFormat/>
    <w:pPr>
      <w:widowControl w:val="0"/>
      <w:topLinePunct/>
      <w:adjustRightInd w:val="0"/>
      <w:snapToGrid w:val="0"/>
      <w:spacing w:line="360" w:lineRule="auto"/>
      <w:ind w:firstLineChars="200" w:firstLine="200"/>
      <w:jc w:val="both"/>
    </w:pPr>
    <w:rPr>
      <w:kern w:val="2"/>
      <w:sz w:val="24"/>
      <w:szCs w:val="24"/>
    </w:rPr>
  </w:style>
  <w:style w:type="character" w:customStyle="1" w:styleId="articlecontent">
    <w:name w:val="articlecontent"/>
    <w:basedOn w:val="a0"/>
    <w:qFormat/>
  </w:style>
  <w:style w:type="paragraph" w:customStyle="1" w:styleId="ListParagraph1">
    <w:name w:val="List Paragraph1"/>
    <w:basedOn w:val="a"/>
    <w:uiPriority w:val="34"/>
    <w:qFormat/>
    <w:pPr>
      <w:spacing w:after="200" w:line="276" w:lineRule="auto"/>
      <w:ind w:left="720"/>
      <w:contextualSpacing/>
    </w:pPr>
    <w:rPr>
      <w:kern w:val="0"/>
      <w:sz w:val="22"/>
    </w:rPr>
  </w:style>
  <w:style w:type="paragraph" w:customStyle="1" w:styleId="afff">
    <w:name w:val="文本"/>
    <w:basedOn w:val="a"/>
    <w:link w:val="Char1"/>
    <w:qFormat/>
    <w:pPr>
      <w:ind w:firstLineChars="200" w:firstLine="200"/>
    </w:pPr>
    <w:rPr>
      <w:sz w:val="24"/>
    </w:rPr>
  </w:style>
  <w:style w:type="character" w:customStyle="1" w:styleId="Char1">
    <w:name w:val="文本 Char"/>
    <w:link w:val="afff"/>
    <w:qFormat/>
    <w:rPr>
      <w:rFonts w:ascii="Times New Roman" w:hAnsi="Times New Roman"/>
      <w:kern w:val="2"/>
      <w:sz w:val="24"/>
      <w:szCs w:val="22"/>
    </w:rPr>
  </w:style>
  <w:style w:type="paragraph" w:customStyle="1" w:styleId="afff0">
    <w:name w:val="图表标题"/>
    <w:basedOn w:val="a"/>
    <w:link w:val="Char2"/>
    <w:qFormat/>
    <w:pPr>
      <w:jc w:val="center"/>
    </w:pPr>
    <w:rPr>
      <w:b/>
      <w:sz w:val="24"/>
    </w:rPr>
  </w:style>
  <w:style w:type="character" w:customStyle="1" w:styleId="Char2">
    <w:name w:val="图表标题 Char"/>
    <w:link w:val="afff0"/>
    <w:qFormat/>
    <w:rPr>
      <w:rFonts w:ascii="Times New Roman" w:hAnsi="Times New Roman"/>
      <w:b/>
      <w:kern w:val="2"/>
      <w:sz w:val="24"/>
      <w:szCs w:val="22"/>
    </w:rPr>
  </w:style>
  <w:style w:type="paragraph" w:customStyle="1" w:styleId="afff1">
    <w:name w:val="表格内容"/>
    <w:basedOn w:val="a"/>
    <w:link w:val="Char3"/>
    <w:qFormat/>
    <w:pPr>
      <w:jc w:val="center"/>
    </w:pPr>
  </w:style>
  <w:style w:type="character" w:customStyle="1" w:styleId="Char3">
    <w:name w:val="表格内容 Char"/>
    <w:link w:val="afff1"/>
    <w:qFormat/>
    <w:rPr>
      <w:rFonts w:ascii="Times New Roman" w:hAnsi="Times New Roman"/>
      <w:kern w:val="2"/>
      <w:sz w:val="21"/>
      <w:szCs w:val="22"/>
    </w:rPr>
  </w:style>
  <w:style w:type="character" w:customStyle="1" w:styleId="1a">
    <w:name w:val="@他1"/>
    <w:basedOn w:val="a0"/>
    <w:uiPriority w:val="99"/>
    <w:unhideWhenUsed/>
    <w:qFormat/>
    <w:rPr>
      <w:color w:val="2B579A"/>
      <w:shd w:val="clear" w:color="auto" w:fill="E6E6E6"/>
    </w:rPr>
  </w:style>
  <w:style w:type="paragraph" w:customStyle="1" w:styleId="TextTi12">
    <w:name w:val="Text:Ti12"/>
    <w:basedOn w:val="a"/>
    <w:qFormat/>
    <w:pPr>
      <w:spacing w:after="170" w:line="280" w:lineRule="atLeast"/>
    </w:pPr>
    <w:rPr>
      <w:rFonts w:eastAsia="Batang"/>
      <w:kern w:val="0"/>
      <w:sz w:val="24"/>
      <w:szCs w:val="20"/>
    </w:rPr>
  </w:style>
  <w:style w:type="character" w:customStyle="1" w:styleId="27">
    <w:name w:val="@他2"/>
    <w:basedOn w:val="a0"/>
    <w:uiPriority w:val="99"/>
    <w:unhideWhenUsed/>
    <w:rPr>
      <w:color w:val="2B579A"/>
      <w:shd w:val="clear" w:color="auto" w:fill="E6E6E6"/>
    </w:rPr>
  </w:style>
  <w:style w:type="character" w:customStyle="1" w:styleId="Char">
    <w:name w:val="纯文本 Char"/>
    <w:link w:val="17"/>
    <w:qFormat/>
    <w:locked/>
    <w:rPr>
      <w:rFonts w:ascii="宋体" w:hAnsi="Courier New"/>
      <w:kern w:val="2"/>
      <w:sz w:val="21"/>
      <w:szCs w:val="24"/>
    </w:rPr>
  </w:style>
  <w:style w:type="character" w:customStyle="1" w:styleId="Char0">
    <w:name w:val="！正文 Char"/>
    <w:link w:val="affe"/>
    <w:qFormat/>
    <w:rPr>
      <w:rFonts w:ascii="Times New Roman" w:hAnsi="Times New Roman"/>
      <w:kern w:val="2"/>
      <w:sz w:val="24"/>
      <w:szCs w:val="24"/>
    </w:rPr>
  </w:style>
  <w:style w:type="paragraph" w:customStyle="1" w:styleId="BayerBodytext">
    <w:name w:val="Bayer Body text"/>
    <w:basedOn w:val="a"/>
    <w:link w:val="BayerBodytextZchn"/>
    <w:qFormat/>
    <w:pPr>
      <w:tabs>
        <w:tab w:val="left" w:pos="1717"/>
      </w:tabs>
      <w:spacing w:after="240"/>
      <w:ind w:left="907"/>
    </w:pPr>
    <w:rPr>
      <w:kern w:val="0"/>
      <w:sz w:val="24"/>
      <w:szCs w:val="24"/>
      <w:lang w:eastAsia="ja-JP"/>
    </w:rPr>
  </w:style>
  <w:style w:type="character" w:customStyle="1" w:styleId="BayerBodytextZchn">
    <w:name w:val="Bayer Body text Zchn"/>
    <w:link w:val="BayerBodytext"/>
    <w:qFormat/>
    <w:rPr>
      <w:rFonts w:ascii="Times New Roman" w:hAnsi="Times New Roman"/>
      <w:sz w:val="24"/>
      <w:szCs w:val="24"/>
      <w:lang w:eastAsia="ja-JP"/>
    </w:rPr>
  </w:style>
  <w:style w:type="character" w:customStyle="1" w:styleId="affb">
    <w:name w:val="列表段落 字符"/>
    <w:link w:val="12"/>
    <w:uiPriority w:val="1"/>
    <w:qFormat/>
    <w:rPr>
      <w:kern w:val="2"/>
      <w:sz w:val="21"/>
      <w:szCs w:val="22"/>
    </w:rPr>
  </w:style>
  <w:style w:type="paragraph" w:customStyle="1" w:styleId="SageBodyText">
    <w:name w:val="Sage Body Text"/>
    <w:uiPriority w:val="99"/>
    <w:qFormat/>
    <w:pPr>
      <w:spacing w:before="240"/>
    </w:pPr>
    <w:rPr>
      <w:rFonts w:eastAsia="Arial Unicode MS"/>
      <w:sz w:val="24"/>
      <w:szCs w:val="24"/>
    </w:rPr>
  </w:style>
  <w:style w:type="paragraph" w:customStyle="1" w:styleId="TableParagraph">
    <w:name w:val="Table Paragraph"/>
    <w:basedOn w:val="a"/>
    <w:uiPriority w:val="1"/>
    <w:qFormat/>
    <w:rPr>
      <w:rFonts w:asciiTheme="minorHAnsi" w:eastAsiaTheme="minorEastAsia" w:hAnsiTheme="minorHAnsi" w:cstheme="minorBidi"/>
      <w:kern w:val="0"/>
      <w:sz w:val="22"/>
    </w:rPr>
  </w:style>
  <w:style w:type="paragraph" w:customStyle="1" w:styleId="tablebody">
    <w:name w:val="table body"/>
    <w:uiPriority w:val="1"/>
    <w:qFormat/>
    <w:pPr>
      <w:widowControl w:val="0"/>
    </w:pPr>
    <w:rPr>
      <w:rFonts w:cstheme="minorBidi"/>
      <w:sz w:val="24"/>
      <w:szCs w:val="24"/>
    </w:rPr>
  </w:style>
  <w:style w:type="paragraph" w:customStyle="1" w:styleId="1b">
    <w:name w:val="普通(网站)1"/>
    <w:basedOn w:val="a"/>
    <w:next w:val="aff0"/>
    <w:uiPriority w:val="99"/>
    <w:unhideWhenUsed/>
    <w:qFormat/>
    <w:rPr>
      <w:rFonts w:eastAsiaTheme="minorEastAsia"/>
      <w:kern w:val="0"/>
      <w:sz w:val="24"/>
      <w:szCs w:val="24"/>
    </w:rPr>
  </w:style>
  <w:style w:type="paragraph" w:customStyle="1" w:styleId="body1">
    <w:name w:val="body1"/>
    <w:uiPriority w:val="1"/>
    <w:qFormat/>
    <w:pPr>
      <w:widowControl w:val="0"/>
      <w:overflowPunct w:val="0"/>
      <w:autoSpaceDE w:val="0"/>
      <w:autoSpaceDN w:val="0"/>
      <w:adjustRightInd w:val="0"/>
      <w:snapToGrid w:val="0"/>
      <w:spacing w:beforeLines="70" w:afterLines="70"/>
    </w:pPr>
    <w:rPr>
      <w:rFonts w:cstheme="minorBidi"/>
      <w:sz w:val="24"/>
      <w:szCs w:val="24"/>
    </w:rPr>
  </w:style>
  <w:style w:type="paragraph" w:customStyle="1" w:styleId="tablebullet3">
    <w:name w:val="table bullet3"/>
    <w:uiPriority w:val="1"/>
    <w:qFormat/>
    <w:pPr>
      <w:widowControl w:val="0"/>
      <w:tabs>
        <w:tab w:val="left" w:pos="2516"/>
      </w:tabs>
      <w:overflowPunct w:val="0"/>
      <w:autoSpaceDE w:val="0"/>
      <w:autoSpaceDN w:val="0"/>
      <w:adjustRightInd w:val="0"/>
      <w:snapToGrid w:val="0"/>
      <w:spacing w:before="18"/>
      <w:ind w:left="365" w:hangingChars="152" w:hanging="365"/>
    </w:pPr>
    <w:rPr>
      <w:rFonts w:cstheme="minorBidi"/>
      <w:sz w:val="24"/>
      <w:szCs w:val="24"/>
    </w:rPr>
  </w:style>
  <w:style w:type="character" w:customStyle="1" w:styleId="Instructions">
    <w:name w:val="Instructions"/>
    <w:qFormat/>
    <w:rPr>
      <w:i/>
      <w:iCs/>
      <w:color w:val="008000"/>
    </w:rPr>
  </w:style>
  <w:style w:type="character" w:customStyle="1" w:styleId="ParagraphChar">
    <w:name w:val="Paragraph Char"/>
    <w:link w:val="Paragraph"/>
    <w:qFormat/>
    <w:rPr>
      <w:sz w:val="24"/>
      <w:szCs w:val="24"/>
    </w:rPr>
  </w:style>
  <w:style w:type="paragraph" w:customStyle="1" w:styleId="Paragraph">
    <w:name w:val="Paragraph"/>
    <w:link w:val="ParagraphChar"/>
    <w:qFormat/>
    <w:pPr>
      <w:spacing w:after="240"/>
    </w:pPr>
    <w:rPr>
      <w:rFonts w:ascii="Calibri" w:hAnsi="Calibri"/>
      <w:sz w:val="24"/>
      <w:szCs w:val="24"/>
    </w:rPr>
  </w:style>
  <w:style w:type="paragraph" w:customStyle="1" w:styleId="TOCX1">
    <w:name w:val="TOCX 1"/>
    <w:qFormat/>
    <w:pPr>
      <w:tabs>
        <w:tab w:val="left" w:pos="648"/>
        <w:tab w:val="right" w:leader="dot" w:pos="9000"/>
      </w:tabs>
      <w:spacing w:before="60" w:after="60"/>
      <w:ind w:left="547" w:right="-288" w:hanging="547"/>
    </w:pPr>
    <w:rPr>
      <w:rFonts w:ascii="Calibri" w:hAnsi="Calibri"/>
      <w:caps/>
      <w:sz w:val="24"/>
      <w:lang w:eastAsia="en-US"/>
    </w:rPr>
  </w:style>
  <w:style w:type="paragraph" w:customStyle="1" w:styleId="Paragraph10pt">
    <w:name w:val="Paragraph 10 pt"/>
    <w:basedOn w:val="Paragraph"/>
    <w:uiPriority w:val="6"/>
    <w:qFormat/>
    <w:pPr>
      <w:spacing w:after="120" w:line="240" w:lineRule="atLeast"/>
    </w:pPr>
    <w:rPr>
      <w:rFonts w:ascii="Times New Roman" w:eastAsia="Arial" w:hAnsi="Times New Roman"/>
      <w:sz w:val="20"/>
    </w:rPr>
  </w:style>
  <w:style w:type="paragraph" w:customStyle="1" w:styleId="TableCenter">
    <w:name w:val="Table Center"/>
    <w:basedOn w:val="a"/>
    <w:link w:val="TableCenterChar"/>
    <w:uiPriority w:val="11"/>
    <w:qFormat/>
    <w:pPr>
      <w:tabs>
        <w:tab w:val="left" w:pos="360"/>
      </w:tabs>
      <w:spacing w:before="20" w:after="20"/>
      <w:jc w:val="center"/>
    </w:pPr>
    <w:rPr>
      <w:rFonts w:eastAsia="Arial"/>
      <w:kern w:val="0"/>
      <w:sz w:val="20"/>
      <w:szCs w:val="20"/>
      <w:lang w:eastAsia="en-US"/>
    </w:rPr>
  </w:style>
  <w:style w:type="character" w:customStyle="1" w:styleId="TableCenterChar">
    <w:name w:val="Table Center Char"/>
    <w:link w:val="TableCenter"/>
    <w:uiPriority w:val="11"/>
    <w:qFormat/>
    <w:rPr>
      <w:rFonts w:ascii="Times New Roman" w:eastAsia="Arial" w:hAnsi="Times New Roman"/>
      <w:lang w:eastAsia="en-US"/>
    </w:rPr>
  </w:style>
  <w:style w:type="character" w:customStyle="1" w:styleId="mdInstructionsChar">
    <w:name w:val="md_Instructions Char"/>
    <w:link w:val="mdInstructions"/>
    <w:qFormat/>
    <w:rPr>
      <w:color w:val="FF0000"/>
      <w:szCs w:val="24"/>
    </w:rPr>
  </w:style>
  <w:style w:type="paragraph" w:customStyle="1" w:styleId="mdInstructions">
    <w:name w:val="md_Instructions"/>
    <w:basedOn w:val="a"/>
    <w:link w:val="mdInstructionsChar"/>
    <w:qFormat/>
    <w:pPr>
      <w:spacing w:after="120" w:line="240" w:lineRule="atLeast"/>
    </w:pPr>
    <w:rPr>
      <w:color w:val="FF0000"/>
      <w:kern w:val="0"/>
      <w:sz w:val="20"/>
      <w:szCs w:val="24"/>
    </w:rPr>
  </w:style>
  <w:style w:type="paragraph" w:customStyle="1" w:styleId="28">
    <w:name w:val="修订2"/>
    <w:hidden/>
    <w:uiPriority w:val="99"/>
    <w:semiHidden/>
    <w:qFormat/>
    <w:rPr>
      <w:rFonts w:ascii="Calibri" w:hAnsi="Calibri"/>
      <w:kern w:val="2"/>
      <w:sz w:val="21"/>
      <w:szCs w:val="22"/>
    </w:rPr>
  </w:style>
  <w:style w:type="paragraph" w:customStyle="1" w:styleId="bullet1">
    <w:name w:val="bullet1"/>
    <w:uiPriority w:val="1"/>
    <w:qFormat/>
    <w:pPr>
      <w:widowControl w:val="0"/>
      <w:tabs>
        <w:tab w:val="left" w:pos="891"/>
      </w:tabs>
      <w:overflowPunct w:val="0"/>
      <w:autoSpaceDE w:val="0"/>
      <w:autoSpaceDN w:val="0"/>
      <w:adjustRightInd w:val="0"/>
      <w:snapToGrid w:val="0"/>
      <w:spacing w:beforeLines="70" w:afterLines="70"/>
      <w:ind w:left="494" w:hangingChars="206" w:hanging="494"/>
    </w:pPr>
    <w:rPr>
      <w:rFonts w:cstheme="minorBidi"/>
      <w:sz w:val="24"/>
      <w:szCs w:val="24"/>
    </w:rPr>
  </w:style>
  <w:style w:type="paragraph" w:customStyle="1" w:styleId="410">
    <w:name w:val="标题 41"/>
    <w:basedOn w:val="a"/>
    <w:next w:val="a"/>
    <w:uiPriority w:val="9"/>
    <w:unhideWhenUsed/>
    <w:qFormat/>
    <w:pPr>
      <w:keepNext/>
      <w:keepLines/>
      <w:adjustRightInd w:val="0"/>
      <w:snapToGrid w:val="0"/>
      <w:ind w:left="864" w:hanging="864"/>
      <w:outlineLvl w:val="3"/>
    </w:pPr>
    <w:rPr>
      <w:rFonts w:ascii="Cambria" w:hAnsi="Cambria"/>
      <w:b/>
      <w:bCs/>
      <w:kern w:val="0"/>
      <w:sz w:val="24"/>
      <w:szCs w:val="28"/>
    </w:rPr>
  </w:style>
  <w:style w:type="paragraph" w:customStyle="1" w:styleId="610">
    <w:name w:val="标题 61"/>
    <w:basedOn w:val="a"/>
    <w:next w:val="a"/>
    <w:uiPriority w:val="9"/>
    <w:unhideWhenUsed/>
    <w:qFormat/>
    <w:pPr>
      <w:keepNext/>
      <w:keepLines/>
      <w:adjustRightInd w:val="0"/>
      <w:snapToGrid w:val="0"/>
      <w:ind w:left="1152" w:hanging="1152"/>
      <w:outlineLvl w:val="5"/>
    </w:pPr>
    <w:rPr>
      <w:rFonts w:ascii="Cambria" w:hAnsi="Cambria"/>
      <w:b/>
      <w:bCs/>
      <w:kern w:val="0"/>
      <w:sz w:val="24"/>
      <w:szCs w:val="24"/>
    </w:rPr>
  </w:style>
  <w:style w:type="paragraph" w:customStyle="1" w:styleId="810">
    <w:name w:val="标题 81"/>
    <w:basedOn w:val="a"/>
    <w:next w:val="a"/>
    <w:uiPriority w:val="9"/>
    <w:unhideWhenUsed/>
    <w:qFormat/>
    <w:pPr>
      <w:keepNext/>
      <w:keepLines/>
      <w:spacing w:before="240" w:after="64" w:line="320" w:lineRule="auto"/>
      <w:outlineLvl w:val="7"/>
    </w:pPr>
    <w:rPr>
      <w:rFonts w:ascii="Cambria" w:hAnsi="Cambria"/>
      <w:kern w:val="0"/>
      <w:sz w:val="24"/>
      <w:szCs w:val="24"/>
    </w:rPr>
  </w:style>
  <w:style w:type="paragraph" w:customStyle="1" w:styleId="910">
    <w:name w:val="标题 91"/>
    <w:basedOn w:val="a"/>
    <w:next w:val="a"/>
    <w:uiPriority w:val="9"/>
    <w:unhideWhenUsed/>
    <w:qFormat/>
    <w:pPr>
      <w:keepNext/>
      <w:keepLines/>
      <w:spacing w:before="240" w:after="64" w:line="320" w:lineRule="auto"/>
      <w:outlineLvl w:val="8"/>
    </w:pPr>
    <w:rPr>
      <w:rFonts w:ascii="Cambria" w:hAnsi="Cambria"/>
      <w:kern w:val="0"/>
    </w:rPr>
  </w:style>
  <w:style w:type="paragraph" w:customStyle="1" w:styleId="TOC71">
    <w:name w:val="TOC 71"/>
    <w:basedOn w:val="a"/>
    <w:next w:val="a"/>
    <w:uiPriority w:val="39"/>
    <w:unhideWhenUsed/>
    <w:qFormat/>
    <w:pPr>
      <w:ind w:left="1320"/>
    </w:pPr>
    <w:rPr>
      <w:rFonts w:asciiTheme="minorHAnsi" w:eastAsiaTheme="minorEastAsia" w:hAnsiTheme="minorHAnsi" w:cs="Calibri"/>
      <w:kern w:val="0"/>
      <w:sz w:val="18"/>
      <w:szCs w:val="18"/>
    </w:rPr>
  </w:style>
  <w:style w:type="paragraph" w:customStyle="1" w:styleId="TOC51">
    <w:name w:val="TOC 51"/>
    <w:basedOn w:val="a"/>
    <w:next w:val="a"/>
    <w:uiPriority w:val="39"/>
    <w:unhideWhenUsed/>
    <w:qFormat/>
    <w:pPr>
      <w:ind w:left="880"/>
    </w:pPr>
    <w:rPr>
      <w:rFonts w:asciiTheme="minorHAnsi" w:eastAsiaTheme="minorEastAsia" w:hAnsiTheme="minorHAnsi" w:cs="Calibri"/>
      <w:kern w:val="0"/>
      <w:sz w:val="18"/>
      <w:szCs w:val="18"/>
    </w:rPr>
  </w:style>
  <w:style w:type="paragraph" w:customStyle="1" w:styleId="TOC31">
    <w:name w:val="TOC 31"/>
    <w:basedOn w:val="a"/>
    <w:next w:val="a"/>
    <w:uiPriority w:val="39"/>
    <w:unhideWhenUsed/>
    <w:qFormat/>
    <w:pPr>
      <w:ind w:left="440"/>
    </w:pPr>
    <w:rPr>
      <w:rFonts w:asciiTheme="minorHAnsi" w:eastAsiaTheme="minorEastAsia" w:hAnsiTheme="minorHAnsi" w:cs="Calibri"/>
      <w:i/>
      <w:iCs/>
      <w:kern w:val="0"/>
      <w:sz w:val="20"/>
      <w:szCs w:val="20"/>
    </w:rPr>
  </w:style>
  <w:style w:type="paragraph" w:customStyle="1" w:styleId="TOC81">
    <w:name w:val="TOC 81"/>
    <w:basedOn w:val="a"/>
    <w:next w:val="a"/>
    <w:uiPriority w:val="39"/>
    <w:unhideWhenUsed/>
    <w:qFormat/>
    <w:pPr>
      <w:ind w:left="1540"/>
    </w:pPr>
    <w:rPr>
      <w:rFonts w:asciiTheme="minorHAnsi" w:eastAsiaTheme="minorEastAsia" w:hAnsiTheme="minorHAnsi" w:cs="Calibri"/>
      <w:kern w:val="0"/>
      <w:sz w:val="18"/>
      <w:szCs w:val="18"/>
    </w:rPr>
  </w:style>
  <w:style w:type="paragraph" w:customStyle="1" w:styleId="TOC11">
    <w:name w:val="TOC 11"/>
    <w:basedOn w:val="a"/>
    <w:next w:val="a"/>
    <w:uiPriority w:val="39"/>
    <w:qFormat/>
    <w:pPr>
      <w:spacing w:before="120" w:after="120"/>
    </w:pPr>
    <w:rPr>
      <w:rFonts w:asciiTheme="minorHAnsi" w:eastAsiaTheme="minorEastAsia" w:hAnsiTheme="minorHAnsi" w:cs="Calibri"/>
      <w:b/>
      <w:bCs/>
      <w:caps/>
      <w:kern w:val="0"/>
      <w:sz w:val="20"/>
      <w:szCs w:val="20"/>
    </w:rPr>
  </w:style>
  <w:style w:type="paragraph" w:customStyle="1" w:styleId="TOC41">
    <w:name w:val="TOC 41"/>
    <w:basedOn w:val="a"/>
    <w:next w:val="a"/>
    <w:uiPriority w:val="39"/>
    <w:unhideWhenUsed/>
    <w:qFormat/>
    <w:pPr>
      <w:ind w:left="660"/>
    </w:pPr>
    <w:rPr>
      <w:rFonts w:asciiTheme="minorHAnsi" w:eastAsiaTheme="minorEastAsia" w:hAnsiTheme="minorHAnsi" w:cs="Calibri"/>
      <w:kern w:val="0"/>
      <w:sz w:val="18"/>
      <w:szCs w:val="18"/>
    </w:rPr>
  </w:style>
  <w:style w:type="paragraph" w:customStyle="1" w:styleId="TOC61">
    <w:name w:val="TOC 61"/>
    <w:basedOn w:val="a"/>
    <w:next w:val="a"/>
    <w:uiPriority w:val="39"/>
    <w:unhideWhenUsed/>
    <w:qFormat/>
    <w:pPr>
      <w:ind w:left="1100"/>
    </w:pPr>
    <w:rPr>
      <w:rFonts w:asciiTheme="minorHAnsi" w:eastAsiaTheme="minorEastAsia" w:hAnsiTheme="minorHAnsi" w:cs="Calibri"/>
      <w:kern w:val="0"/>
      <w:sz w:val="18"/>
      <w:szCs w:val="18"/>
    </w:rPr>
  </w:style>
  <w:style w:type="paragraph" w:customStyle="1" w:styleId="TOC21">
    <w:name w:val="TOC 21"/>
    <w:basedOn w:val="a"/>
    <w:next w:val="a"/>
    <w:uiPriority w:val="39"/>
    <w:qFormat/>
    <w:pPr>
      <w:ind w:left="220"/>
    </w:pPr>
    <w:rPr>
      <w:rFonts w:asciiTheme="minorHAnsi" w:eastAsiaTheme="minorEastAsia" w:hAnsiTheme="minorHAnsi" w:cs="Calibri"/>
      <w:smallCaps/>
      <w:kern w:val="0"/>
      <w:sz w:val="20"/>
      <w:szCs w:val="20"/>
    </w:rPr>
  </w:style>
  <w:style w:type="paragraph" w:customStyle="1" w:styleId="TOC91">
    <w:name w:val="TOC 91"/>
    <w:basedOn w:val="a"/>
    <w:next w:val="a"/>
    <w:uiPriority w:val="39"/>
    <w:unhideWhenUsed/>
    <w:qFormat/>
    <w:pPr>
      <w:ind w:left="1760"/>
    </w:pPr>
    <w:rPr>
      <w:rFonts w:asciiTheme="minorHAnsi" w:eastAsiaTheme="minorEastAsia" w:hAnsiTheme="minorHAnsi" w:cs="Calibri"/>
      <w:kern w:val="0"/>
      <w:sz w:val="18"/>
      <w:szCs w:val="18"/>
    </w:rPr>
  </w:style>
  <w:style w:type="character" w:customStyle="1" w:styleId="1c">
    <w:name w:val="超链接1"/>
    <w:basedOn w:val="a0"/>
    <w:unhideWhenUsed/>
    <w:qFormat/>
    <w:rPr>
      <w:color w:val="0000FF"/>
      <w:u w:val="single"/>
    </w:rPr>
  </w:style>
  <w:style w:type="table" w:customStyle="1" w:styleId="1d">
    <w:name w:val="网格型1"/>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1"/>
    <w:uiPriority w:val="1"/>
    <w:qFormat/>
    <w:pPr>
      <w:widowControl w:val="0"/>
      <w:tabs>
        <w:tab w:val="left" w:pos="2515"/>
      </w:tabs>
      <w:overflowPunct w:val="0"/>
      <w:autoSpaceDE w:val="0"/>
      <w:autoSpaceDN w:val="0"/>
      <w:adjustRightInd w:val="0"/>
      <w:snapToGrid w:val="0"/>
      <w:ind w:left="366" w:hangingChars="152" w:hanging="366"/>
    </w:pPr>
    <w:rPr>
      <w:rFonts w:cstheme="minorBidi"/>
      <w:sz w:val="24"/>
      <w:szCs w:val="24"/>
    </w:rPr>
  </w:style>
  <w:style w:type="paragraph" w:customStyle="1" w:styleId="tablebullet2">
    <w:name w:val="table bullet2"/>
    <w:uiPriority w:val="1"/>
    <w:qFormat/>
    <w:pPr>
      <w:widowControl w:val="0"/>
      <w:tabs>
        <w:tab w:val="left" w:pos="2863"/>
      </w:tabs>
      <w:overflowPunct w:val="0"/>
      <w:autoSpaceDE w:val="0"/>
      <w:autoSpaceDN w:val="0"/>
      <w:adjustRightInd w:val="0"/>
      <w:snapToGrid w:val="0"/>
      <w:spacing w:before="38"/>
      <w:ind w:left="687" w:hanging="335"/>
    </w:pPr>
    <w:rPr>
      <w:rFonts w:cstheme="minorBidi"/>
      <w:sz w:val="24"/>
      <w:szCs w:val="24"/>
    </w:rPr>
  </w:style>
  <w:style w:type="paragraph" w:customStyle="1" w:styleId="tablebold">
    <w:name w:val="table bold"/>
    <w:uiPriority w:val="1"/>
    <w:qFormat/>
    <w:pPr>
      <w:widowControl w:val="0"/>
    </w:pPr>
    <w:rPr>
      <w:b/>
      <w:bCs/>
      <w:sz w:val="24"/>
      <w:szCs w:val="24"/>
    </w:rPr>
  </w:style>
  <w:style w:type="paragraph" w:customStyle="1" w:styleId="tablebullet4">
    <w:name w:val="table bullet4"/>
    <w:uiPriority w:val="1"/>
    <w:qFormat/>
    <w:pPr>
      <w:widowControl w:val="0"/>
      <w:tabs>
        <w:tab w:val="left" w:pos="2876"/>
      </w:tabs>
      <w:overflowPunct w:val="0"/>
      <w:autoSpaceDE w:val="0"/>
      <w:autoSpaceDN w:val="0"/>
      <w:adjustRightInd w:val="0"/>
      <w:snapToGrid w:val="0"/>
      <w:spacing w:line="276" w:lineRule="exact"/>
      <w:ind w:left="687" w:hanging="335"/>
    </w:pPr>
    <w:rPr>
      <w:rFonts w:cstheme="minorBidi"/>
      <w:sz w:val="24"/>
      <w:szCs w:val="24"/>
    </w:rPr>
  </w:style>
  <w:style w:type="paragraph" w:customStyle="1" w:styleId="tablebody2">
    <w:name w:val="table body2"/>
    <w:uiPriority w:val="1"/>
    <w:qFormat/>
    <w:pPr>
      <w:widowControl w:val="0"/>
      <w:overflowPunct w:val="0"/>
      <w:autoSpaceDE w:val="0"/>
      <w:autoSpaceDN w:val="0"/>
      <w:adjustRightInd w:val="0"/>
      <w:snapToGrid w:val="0"/>
      <w:ind w:left="704"/>
    </w:pPr>
    <w:rPr>
      <w:rFonts w:cstheme="minorBidi"/>
      <w:sz w:val="24"/>
      <w:szCs w:val="24"/>
    </w:rPr>
  </w:style>
  <w:style w:type="paragraph" w:customStyle="1" w:styleId="tablebody3">
    <w:name w:val="table body3"/>
    <w:uiPriority w:val="1"/>
    <w:qFormat/>
    <w:pPr>
      <w:widowControl w:val="0"/>
      <w:ind w:left="368"/>
    </w:pPr>
    <w:rPr>
      <w:rFonts w:cstheme="minorBidi"/>
      <w:sz w:val="24"/>
      <w:szCs w:val="24"/>
    </w:rPr>
  </w:style>
  <w:style w:type="paragraph" w:customStyle="1" w:styleId="1e">
    <w:name w:val="样式1"/>
    <w:basedOn w:val="a"/>
    <w:uiPriority w:val="1"/>
    <w:qFormat/>
    <w:pPr>
      <w:snapToGrid w:val="0"/>
      <w:spacing w:beforeLines="50" w:afterLines="50"/>
      <w:ind w:hangingChars="200" w:hanging="200"/>
    </w:pPr>
    <w:rPr>
      <w:rFonts w:ascii="Arial" w:hAnsi="Arial" w:cs="Arial"/>
      <w:b/>
      <w:bCs/>
      <w:snapToGrid w:val="0"/>
      <w:kern w:val="0"/>
      <w:sz w:val="28"/>
      <w:szCs w:val="28"/>
    </w:rPr>
  </w:style>
  <w:style w:type="paragraph" w:customStyle="1" w:styleId="29">
    <w:name w:val="样式2"/>
    <w:basedOn w:val="a"/>
    <w:uiPriority w:val="1"/>
    <w:qFormat/>
    <w:pPr>
      <w:spacing w:beforeLines="100" w:afterLines="100"/>
      <w:ind w:hangingChars="299" w:hanging="658"/>
    </w:pPr>
    <w:rPr>
      <w:rFonts w:ascii="Arial" w:hAnsi="Arial" w:cs="Arial"/>
      <w:b/>
      <w:bCs/>
      <w:snapToGrid w:val="0"/>
      <w:kern w:val="0"/>
      <w:sz w:val="24"/>
      <w:szCs w:val="24"/>
    </w:rPr>
  </w:style>
  <w:style w:type="paragraph" w:customStyle="1" w:styleId="t">
    <w:name w:val="t"/>
    <w:basedOn w:val="2"/>
    <w:uiPriority w:val="1"/>
    <w:qFormat/>
    <w:pPr>
      <w:keepNext w:val="0"/>
      <w:keepLines w:val="0"/>
      <w:numPr>
        <w:numId w:val="0"/>
      </w:numPr>
      <w:spacing w:beforeLines="50" w:afterLines="50"/>
      <w:ind w:left="576" w:hanging="576"/>
    </w:pPr>
    <w:rPr>
      <w:rFonts w:ascii="Arial" w:eastAsia="宋体" w:hAnsi="Arial" w:cstheme="minorBidi"/>
      <w:snapToGrid w:val="0"/>
      <w:kern w:val="0"/>
      <w:szCs w:val="24"/>
    </w:rPr>
  </w:style>
  <w:style w:type="paragraph" w:customStyle="1" w:styleId="32">
    <w:name w:val="样式3"/>
    <w:basedOn w:val="3"/>
    <w:uiPriority w:val="1"/>
    <w:qFormat/>
    <w:pPr>
      <w:numPr>
        <w:numId w:val="0"/>
      </w:numPr>
      <w:tabs>
        <w:tab w:val="clear" w:pos="567"/>
        <w:tab w:val="clear" w:pos="1134"/>
      </w:tabs>
      <w:spacing w:beforeLines="100" w:afterLines="100"/>
    </w:pPr>
    <w:rPr>
      <w:rFonts w:ascii="Arial" w:eastAsia="宋体" w:hAnsi="Arial" w:cstheme="minorBidi"/>
      <w:snapToGrid w:val="0"/>
      <w:kern w:val="0"/>
    </w:rPr>
  </w:style>
  <w:style w:type="paragraph" w:customStyle="1" w:styleId="b">
    <w:name w:val="b"/>
    <w:basedOn w:val="2"/>
    <w:uiPriority w:val="1"/>
    <w:qFormat/>
    <w:pPr>
      <w:keepNext w:val="0"/>
      <w:keepLines w:val="0"/>
      <w:numPr>
        <w:numId w:val="0"/>
      </w:numPr>
      <w:tabs>
        <w:tab w:val="left" w:pos="1276"/>
      </w:tabs>
      <w:spacing w:beforeLines="50" w:afterLines="50"/>
      <w:ind w:left="576" w:hanging="576"/>
    </w:pPr>
    <w:rPr>
      <w:rFonts w:ascii="Arial" w:eastAsia="宋体" w:hAnsi="Arial" w:cstheme="minorBidi"/>
      <w:snapToGrid w:val="0"/>
      <w:kern w:val="0"/>
      <w:szCs w:val="24"/>
    </w:rPr>
  </w:style>
  <w:style w:type="character" w:customStyle="1" w:styleId="Char10">
    <w:name w:val="标题 Char1"/>
    <w:basedOn w:val="a0"/>
    <w:uiPriority w:val="10"/>
    <w:qFormat/>
    <w:rPr>
      <w:rFonts w:ascii="Cambria" w:eastAsia="宋体" w:hAnsi="Cambria" w:cs="Times New Roman"/>
      <w:b/>
      <w:bCs/>
      <w:sz w:val="32"/>
      <w:szCs w:val="32"/>
    </w:rPr>
  </w:style>
  <w:style w:type="character" w:customStyle="1" w:styleId="Char20">
    <w:name w:val="纯文本 Char2"/>
    <w:basedOn w:val="a0"/>
    <w:uiPriority w:val="99"/>
    <w:semiHidden/>
    <w:qFormat/>
    <w:rPr>
      <w:rFonts w:ascii="宋体" w:eastAsia="宋体" w:hAnsi="Courier New" w:cs="Courier New"/>
      <w:sz w:val="21"/>
      <w:szCs w:val="21"/>
    </w:rPr>
  </w:style>
  <w:style w:type="paragraph" w:customStyle="1" w:styleId="42">
    <w:name w:val="标题4"/>
    <w:basedOn w:val="a"/>
    <w:next w:val="a"/>
    <w:link w:val="4Char"/>
    <w:qFormat/>
    <w:pPr>
      <w:outlineLvl w:val="3"/>
    </w:pPr>
    <w:rPr>
      <w:b/>
      <w:sz w:val="24"/>
      <w:szCs w:val="24"/>
    </w:rPr>
  </w:style>
  <w:style w:type="character" w:customStyle="1" w:styleId="4Char">
    <w:name w:val="标题4 Char"/>
    <w:link w:val="42"/>
    <w:qFormat/>
    <w:rPr>
      <w:rFonts w:ascii="Times New Roman" w:hAnsi="Times New Roman"/>
      <w:b/>
      <w:kern w:val="2"/>
      <w:sz w:val="24"/>
      <w:szCs w:val="24"/>
    </w:rPr>
  </w:style>
  <w:style w:type="paragraph" w:customStyle="1" w:styleId="43">
    <w:name w:val="列出段落4"/>
    <w:basedOn w:val="a"/>
    <w:uiPriority w:val="99"/>
    <w:qFormat/>
    <w:pPr>
      <w:ind w:firstLineChars="200" w:firstLine="420"/>
    </w:pPr>
    <w:rPr>
      <w:szCs w:val="20"/>
    </w:rPr>
  </w:style>
  <w:style w:type="character" w:customStyle="1" w:styleId="WXBodyTextChar">
    <w:name w:val="WX Body Text Char"/>
    <w:link w:val="WXBodyText"/>
    <w:qFormat/>
    <w:locked/>
    <w:rPr>
      <w:kern w:val="32"/>
      <w:sz w:val="24"/>
    </w:rPr>
  </w:style>
  <w:style w:type="paragraph" w:customStyle="1" w:styleId="WXBodyText">
    <w:name w:val="WX Body Text"/>
    <w:link w:val="WXBodyTextChar"/>
    <w:qFormat/>
    <w:pPr>
      <w:spacing w:before="120" w:after="120"/>
      <w:ind w:left="720"/>
      <w:jc w:val="both"/>
    </w:pPr>
    <w:rPr>
      <w:rFonts w:ascii="Calibri" w:hAnsi="Calibri"/>
      <w:kern w:val="32"/>
      <w:sz w:val="24"/>
    </w:rPr>
  </w:style>
  <w:style w:type="paragraph" w:customStyle="1" w:styleId="110">
    <w:name w:val="修订11"/>
    <w:hidden/>
    <w:uiPriority w:val="99"/>
    <w:semiHidden/>
    <w:qFormat/>
    <w:rPr>
      <w:rFonts w:ascii="Calibri" w:hAnsi="Calibri"/>
      <w:kern w:val="2"/>
      <w:sz w:val="21"/>
      <w:szCs w:val="22"/>
    </w:rPr>
  </w:style>
  <w:style w:type="paragraph" w:customStyle="1" w:styleId="TOC110">
    <w:name w:val="TOC 标题11"/>
    <w:basedOn w:val="1"/>
    <w:next w:val="a"/>
    <w:uiPriority w:val="39"/>
    <w:unhideWhenUsed/>
    <w:qFormat/>
    <w:pPr>
      <w:keepNext w:val="0"/>
      <w:numPr>
        <w:numId w:val="0"/>
      </w:numPr>
      <w:spacing w:line="276" w:lineRule="auto"/>
      <w:ind w:left="432" w:hanging="432"/>
      <w:outlineLvl w:val="9"/>
    </w:pPr>
    <w:rPr>
      <w:rFonts w:ascii="Cambria" w:eastAsia="宋体" w:hAnsi="Cambria"/>
      <w:bCs/>
      <w:color w:val="365F91"/>
      <w:kern w:val="0"/>
      <w:sz w:val="28"/>
      <w:szCs w:val="28"/>
      <w:lang w:bidi="en-US"/>
    </w:rPr>
  </w:style>
  <w:style w:type="character" w:customStyle="1" w:styleId="210">
    <w:name w:val="@他21"/>
    <w:basedOn w:val="a0"/>
    <w:uiPriority w:val="99"/>
    <w:unhideWhenUsed/>
    <w:qFormat/>
    <w:rPr>
      <w:color w:val="2B579A"/>
      <w:shd w:val="clear" w:color="auto" w:fill="E6E6E6"/>
    </w:rPr>
  </w:style>
  <w:style w:type="character" w:customStyle="1" w:styleId="1f">
    <w:name w:val="占位符文本1"/>
    <w:basedOn w:val="a0"/>
    <w:uiPriority w:val="99"/>
    <w:semiHidden/>
    <w:qFormat/>
    <w:rPr>
      <w:color w:val="808080"/>
    </w:rPr>
  </w:style>
  <w:style w:type="paragraph" w:customStyle="1" w:styleId="33">
    <w:name w:val="修订3"/>
    <w:hidden/>
    <w:uiPriority w:val="99"/>
    <w:semiHidden/>
    <w:qFormat/>
    <w:rPr>
      <w:rFonts w:asciiTheme="minorHAnsi" w:eastAsiaTheme="minorEastAsia" w:hAnsiTheme="minorHAnsi" w:cstheme="minorBidi"/>
      <w:sz w:val="22"/>
      <w:szCs w:val="22"/>
    </w:rPr>
  </w:style>
  <w:style w:type="paragraph" w:customStyle="1" w:styleId="FirstParagraph">
    <w:name w:val="First Paragraph"/>
    <w:basedOn w:val="aa"/>
    <w:next w:val="aa"/>
    <w:qFormat/>
    <w:pPr>
      <w:spacing w:before="180" w:after="180"/>
    </w:pPr>
    <w:rPr>
      <w:kern w:val="0"/>
      <w:sz w:val="22"/>
      <w:lang w:eastAsia="en-US"/>
    </w:rPr>
  </w:style>
  <w:style w:type="paragraph" w:customStyle="1" w:styleId="Compact">
    <w:name w:val="Compact"/>
    <w:basedOn w:val="aa"/>
    <w:qFormat/>
    <w:pPr>
      <w:numPr>
        <w:numId w:val="2"/>
      </w:numPr>
      <w:spacing w:before="36" w:after="36"/>
    </w:pPr>
    <w:rPr>
      <w:kern w:val="0"/>
      <w:sz w:val="22"/>
      <w:lang w:eastAsia="en-US"/>
    </w:rPr>
  </w:style>
  <w:style w:type="table" w:customStyle="1" w:styleId="TableNormal1">
    <w:name w:val="Table Normal1"/>
    <w:uiPriority w:val="2"/>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msonormal0">
    <w:name w:val="msonormal"/>
    <w:basedOn w:val="a"/>
    <w:qFormat/>
    <w:pPr>
      <w:spacing w:before="100" w:beforeAutospacing="1" w:after="100" w:afterAutospacing="1"/>
    </w:pPr>
    <w:rPr>
      <w:rFonts w:eastAsia="Times New Roman"/>
      <w:kern w:val="0"/>
      <w:sz w:val="24"/>
      <w:szCs w:val="24"/>
    </w:rPr>
  </w:style>
  <w:style w:type="character" w:customStyle="1" w:styleId="1f0">
    <w:name w:val="未处理的提及1"/>
    <w:basedOn w:val="a0"/>
    <w:uiPriority w:val="99"/>
    <w:unhideWhenUsed/>
    <w:qFormat/>
    <w:rPr>
      <w:color w:val="605E5C"/>
      <w:shd w:val="clear" w:color="auto" w:fill="E1DFDD"/>
    </w:rPr>
  </w:style>
  <w:style w:type="paragraph" w:customStyle="1" w:styleId="1f1">
    <w:name w:val="副标题1"/>
    <w:basedOn w:val="aff1"/>
    <w:next w:val="aa"/>
    <w:qFormat/>
    <w:pPr>
      <w:keepNext/>
      <w:keepLines/>
      <w:pageBreakBefore w:val="0"/>
      <w:adjustRightInd/>
      <w:snapToGrid/>
      <w:spacing w:before="240" w:after="240"/>
      <w:outlineLvl w:val="9"/>
    </w:pPr>
    <w:rPr>
      <w:color w:val="auto"/>
      <w:sz w:val="28"/>
      <w:szCs w:val="28"/>
      <w:lang w:eastAsia="en-US"/>
    </w:rPr>
  </w:style>
  <w:style w:type="character" w:customStyle="1" w:styleId="afc">
    <w:name w:val="副标题 字符"/>
    <w:basedOn w:val="a0"/>
    <w:link w:val="afb"/>
    <w:qFormat/>
    <w:rPr>
      <w:rFonts w:ascii="Times New Roman" w:hAnsi="Times New Roman"/>
      <w:b/>
      <w:bCs/>
      <w:sz w:val="28"/>
      <w:szCs w:val="28"/>
      <w:lang w:eastAsia="en-US"/>
    </w:rPr>
  </w:style>
  <w:style w:type="paragraph" w:customStyle="1" w:styleId="Author">
    <w:name w:val="Author"/>
    <w:next w:val="aa"/>
    <w:qFormat/>
    <w:pPr>
      <w:keepNext/>
      <w:keepLines/>
      <w:spacing w:after="200"/>
      <w:jc w:val="center"/>
    </w:pPr>
    <w:rPr>
      <w:sz w:val="22"/>
      <w:szCs w:val="22"/>
      <w:lang w:eastAsia="en-US"/>
    </w:rPr>
  </w:style>
  <w:style w:type="paragraph" w:customStyle="1" w:styleId="Abstract">
    <w:name w:val="Abstract"/>
    <w:basedOn w:val="a"/>
    <w:next w:val="aa"/>
    <w:qFormat/>
    <w:pPr>
      <w:keepNext/>
      <w:keepLines/>
      <w:spacing w:before="300" w:after="300"/>
    </w:pPr>
    <w:rPr>
      <w:kern w:val="0"/>
      <w:sz w:val="20"/>
      <w:szCs w:val="20"/>
      <w:lang w:eastAsia="en-US"/>
    </w:rPr>
  </w:style>
  <w:style w:type="paragraph" w:customStyle="1" w:styleId="1f2">
    <w:name w:val="书目1"/>
    <w:basedOn w:val="a"/>
    <w:qFormat/>
    <w:pPr>
      <w:spacing w:after="200"/>
    </w:pPr>
    <w:rPr>
      <w:kern w:val="0"/>
      <w:sz w:val="22"/>
      <w:lang w:eastAsia="en-US"/>
    </w:rPr>
  </w:style>
  <w:style w:type="paragraph" w:customStyle="1" w:styleId="1f3">
    <w:name w:val="文本块1"/>
    <w:basedOn w:val="aa"/>
    <w:next w:val="aa"/>
    <w:uiPriority w:val="9"/>
    <w:unhideWhenUsed/>
    <w:qFormat/>
    <w:pPr>
      <w:spacing w:before="480" w:after="240"/>
    </w:pPr>
    <w:rPr>
      <w:bCs/>
      <w:i/>
      <w:iCs/>
      <w:kern w:val="0"/>
      <w:sz w:val="22"/>
      <w:u w:val="single"/>
    </w:rPr>
  </w:style>
  <w:style w:type="character" w:customStyle="1" w:styleId="afe">
    <w:name w:val="脚注文本 字符"/>
    <w:basedOn w:val="a0"/>
    <w:link w:val="afd"/>
    <w:uiPriority w:val="9"/>
    <w:qFormat/>
    <w:rPr>
      <w:rFonts w:ascii="Times New Roman" w:hAnsi="Times New Roman"/>
      <w:sz w:val="22"/>
      <w:szCs w:val="22"/>
      <w:lang w:eastAsia="en-US"/>
    </w:rPr>
  </w:style>
  <w:style w:type="table" w:customStyle="1" w:styleId="Table">
    <w:name w:val="Table"/>
    <w:unhideWhenUsed/>
    <w:qFormat/>
    <w:pPr>
      <w:spacing w:after="200"/>
    </w:pPr>
    <w:rPr>
      <w:rFonts w:asciiTheme="minorHAnsi" w:hAnsiTheme="minorHAnsi" w:cstheme="minorBidi"/>
      <w:sz w:val="24"/>
      <w:szCs w:val="24"/>
      <w:lang w:eastAsia="en-US"/>
    </w:rPr>
    <w:tblPr>
      <w:tblCellMar>
        <w:top w:w="0" w:type="dxa"/>
        <w:left w:w="108" w:type="dxa"/>
        <w:bottom w:w="0" w:type="dxa"/>
        <w:right w:w="108" w:type="dxa"/>
      </w:tblCellMar>
    </w:tblPr>
  </w:style>
  <w:style w:type="paragraph" w:customStyle="1" w:styleId="DefinitionTerm">
    <w:name w:val="Definition Term"/>
    <w:basedOn w:val="a"/>
    <w:next w:val="Definition"/>
    <w:qFormat/>
    <w:pPr>
      <w:keepNext/>
      <w:keepLines/>
    </w:pPr>
    <w:rPr>
      <w:b/>
      <w:kern w:val="0"/>
      <w:sz w:val="22"/>
      <w:lang w:eastAsia="en-US"/>
    </w:rPr>
  </w:style>
  <w:style w:type="paragraph" w:customStyle="1" w:styleId="Definition">
    <w:name w:val="Definition"/>
    <w:basedOn w:val="a"/>
    <w:qFormat/>
    <w:pPr>
      <w:spacing w:after="200"/>
    </w:pPr>
    <w:rPr>
      <w:kern w:val="0"/>
      <w:sz w:val="22"/>
      <w:lang w:eastAsia="en-US"/>
    </w:rPr>
  </w:style>
  <w:style w:type="paragraph" w:customStyle="1" w:styleId="TableCaption">
    <w:name w:val="Table Caption"/>
    <w:basedOn w:val="a8"/>
    <w:qFormat/>
    <w:pPr>
      <w:adjustRightInd/>
      <w:snapToGrid/>
      <w:spacing w:after="120"/>
      <w:ind w:firstLineChars="0" w:firstLine="0"/>
    </w:pPr>
    <w:rPr>
      <w:rFonts w:ascii="Times New Roman" w:eastAsia="宋体" w:hAnsi="Times New Roman"/>
      <w:i/>
      <w:color w:val="auto"/>
      <w:sz w:val="22"/>
      <w:szCs w:val="22"/>
      <w:lang w:eastAsia="en-US"/>
    </w:rPr>
  </w:style>
  <w:style w:type="paragraph" w:customStyle="1" w:styleId="ImageCaption">
    <w:name w:val="Image Caption"/>
    <w:basedOn w:val="a8"/>
    <w:qFormat/>
    <w:pPr>
      <w:keepNext w:val="0"/>
      <w:adjustRightInd/>
      <w:snapToGrid/>
      <w:spacing w:after="120"/>
      <w:ind w:firstLineChars="0" w:firstLine="0"/>
    </w:pPr>
    <w:rPr>
      <w:rFonts w:ascii="Times New Roman" w:eastAsia="宋体" w:hAnsi="Times New Roman"/>
      <w:i/>
      <w:color w:val="auto"/>
      <w:sz w:val="22"/>
      <w:szCs w:val="22"/>
      <w:lang w:eastAsia="en-US"/>
    </w:rPr>
  </w:style>
  <w:style w:type="paragraph" w:customStyle="1" w:styleId="Figure">
    <w:name w:val="Figure"/>
    <w:basedOn w:val="a"/>
    <w:qFormat/>
    <w:pPr>
      <w:spacing w:after="200"/>
    </w:pPr>
    <w:rPr>
      <w:kern w:val="0"/>
      <w:sz w:val="22"/>
      <w:lang w:eastAsia="en-US"/>
    </w:rPr>
  </w:style>
  <w:style w:type="paragraph" w:customStyle="1" w:styleId="CaptionedFigure">
    <w:name w:val="Captioned Figure"/>
    <w:basedOn w:val="Figure"/>
    <w:qFormat/>
    <w:pPr>
      <w:keepNext/>
    </w:pPr>
  </w:style>
  <w:style w:type="character" w:customStyle="1" w:styleId="VerbatimChar">
    <w:name w:val="Verbatim Char"/>
    <w:basedOn w:val="a9"/>
    <w:link w:val="SourceCode"/>
    <w:qFormat/>
    <w:rPr>
      <w:rFonts w:ascii="Consolas" w:eastAsia="黑体" w:hAnsi="Consolas"/>
      <w:color w:val="000000"/>
      <w:sz w:val="22"/>
      <w:shd w:val="clear" w:color="auto" w:fill="F8F8F8"/>
    </w:rPr>
  </w:style>
  <w:style w:type="paragraph" w:customStyle="1" w:styleId="SourceCode">
    <w:name w:val="Source Code"/>
    <w:basedOn w:val="a"/>
    <w:link w:val="VerbatimChar"/>
    <w:qFormat/>
    <w:pPr>
      <w:shd w:val="clear" w:color="auto" w:fill="F8F8F8"/>
      <w:wordWrap w:val="0"/>
      <w:spacing w:after="200"/>
    </w:pPr>
    <w:rPr>
      <w:rFonts w:ascii="Consolas" w:eastAsia="黑体" w:hAnsi="Consolas"/>
      <w:color w:val="000000"/>
      <w:kern w:val="0"/>
      <w:sz w:val="22"/>
      <w:szCs w:val="20"/>
    </w:rPr>
  </w:style>
  <w:style w:type="paragraph" w:customStyle="1" w:styleId="TOC20">
    <w:name w:val="TOC 标题2"/>
    <w:basedOn w:val="1"/>
    <w:next w:val="aa"/>
    <w:uiPriority w:val="39"/>
    <w:unhideWhenUsed/>
    <w:qFormat/>
    <w:pPr>
      <w:keepLines/>
      <w:numPr>
        <w:numId w:val="0"/>
      </w:numPr>
      <w:spacing w:before="240" w:after="240" w:line="259" w:lineRule="auto"/>
      <w:outlineLvl w:val="9"/>
    </w:pPr>
    <w:rPr>
      <w:rFonts w:ascii="Cambria" w:eastAsia="宋体" w:hAnsi="Cambria"/>
      <w:b w:val="0"/>
      <w:color w:val="365F91"/>
      <w:kern w:val="0"/>
      <w:sz w:val="32"/>
      <w:szCs w:val="32"/>
      <w:lang w:eastAsia="en-US"/>
    </w:rPr>
  </w:style>
  <w:style w:type="character" w:customStyle="1" w:styleId="KeywordTok">
    <w:name w:val="KeywordTok"/>
    <w:basedOn w:val="VerbatimChar"/>
    <w:qFormat/>
    <w:rPr>
      <w:rFonts w:ascii="Consolas" w:eastAsia="黑体" w:hAnsi="Consolas"/>
      <w:b/>
      <w:color w:val="204A87"/>
      <w:sz w:val="22"/>
      <w:shd w:val="clear" w:color="auto" w:fill="F8F8F8"/>
    </w:rPr>
  </w:style>
  <w:style w:type="character" w:customStyle="1" w:styleId="DataTypeTok">
    <w:name w:val="DataTypeTok"/>
    <w:basedOn w:val="VerbatimChar"/>
    <w:qFormat/>
    <w:rPr>
      <w:rFonts w:ascii="Consolas" w:eastAsia="黑体" w:hAnsi="Consolas"/>
      <w:color w:val="204A87"/>
      <w:sz w:val="22"/>
      <w:shd w:val="clear" w:color="auto" w:fill="F8F8F8"/>
    </w:rPr>
  </w:style>
  <w:style w:type="character" w:customStyle="1" w:styleId="DecValTok">
    <w:name w:val="DecValTok"/>
    <w:basedOn w:val="VerbatimChar"/>
    <w:qFormat/>
    <w:rPr>
      <w:rFonts w:ascii="Consolas" w:eastAsia="黑体" w:hAnsi="Consolas"/>
      <w:color w:val="0000CF"/>
      <w:sz w:val="22"/>
      <w:shd w:val="clear" w:color="auto" w:fill="F8F8F8"/>
    </w:rPr>
  </w:style>
  <w:style w:type="character" w:customStyle="1" w:styleId="BaseNTok">
    <w:name w:val="BaseNTok"/>
    <w:basedOn w:val="VerbatimChar"/>
    <w:qFormat/>
    <w:rPr>
      <w:rFonts w:ascii="Consolas" w:eastAsia="黑体" w:hAnsi="Consolas"/>
      <w:color w:val="0000CF"/>
      <w:sz w:val="22"/>
      <w:shd w:val="clear" w:color="auto" w:fill="F8F8F8"/>
    </w:rPr>
  </w:style>
  <w:style w:type="character" w:customStyle="1" w:styleId="FloatTok">
    <w:name w:val="FloatTok"/>
    <w:basedOn w:val="VerbatimChar"/>
    <w:qFormat/>
    <w:rPr>
      <w:rFonts w:ascii="Consolas" w:eastAsia="黑体" w:hAnsi="Consolas"/>
      <w:color w:val="0000CF"/>
      <w:sz w:val="22"/>
      <w:shd w:val="clear" w:color="auto" w:fill="F8F8F8"/>
    </w:rPr>
  </w:style>
  <w:style w:type="character" w:customStyle="1" w:styleId="ConstantTok">
    <w:name w:val="ConstantTok"/>
    <w:basedOn w:val="VerbatimChar"/>
    <w:qFormat/>
    <w:rPr>
      <w:rFonts w:ascii="Consolas" w:eastAsia="黑体" w:hAnsi="Consolas"/>
      <w:color w:val="000000"/>
      <w:sz w:val="22"/>
      <w:shd w:val="clear" w:color="auto" w:fill="F8F8F8"/>
    </w:rPr>
  </w:style>
  <w:style w:type="character" w:customStyle="1" w:styleId="CharTok">
    <w:name w:val="CharTok"/>
    <w:basedOn w:val="VerbatimChar"/>
    <w:qFormat/>
    <w:rPr>
      <w:rFonts w:ascii="Consolas" w:eastAsia="黑体" w:hAnsi="Consolas"/>
      <w:color w:val="4E9A06"/>
      <w:sz w:val="22"/>
      <w:shd w:val="clear" w:color="auto" w:fill="F8F8F8"/>
    </w:rPr>
  </w:style>
  <w:style w:type="character" w:customStyle="1" w:styleId="SpecialCharTok">
    <w:name w:val="SpecialCharTok"/>
    <w:basedOn w:val="VerbatimChar"/>
    <w:qFormat/>
    <w:rPr>
      <w:rFonts w:ascii="Consolas" w:eastAsia="黑体" w:hAnsi="Consolas"/>
      <w:color w:val="000000"/>
      <w:sz w:val="22"/>
      <w:shd w:val="clear" w:color="auto" w:fill="F8F8F8"/>
    </w:rPr>
  </w:style>
  <w:style w:type="character" w:customStyle="1" w:styleId="StringTok">
    <w:name w:val="StringTok"/>
    <w:basedOn w:val="VerbatimChar"/>
    <w:qFormat/>
    <w:rPr>
      <w:rFonts w:ascii="Consolas" w:eastAsia="黑体" w:hAnsi="Consolas"/>
      <w:color w:val="4E9A06"/>
      <w:sz w:val="22"/>
      <w:shd w:val="clear" w:color="auto" w:fill="F8F8F8"/>
    </w:rPr>
  </w:style>
  <w:style w:type="character" w:customStyle="1" w:styleId="VerbatimStringTok">
    <w:name w:val="VerbatimStringTok"/>
    <w:basedOn w:val="VerbatimChar"/>
    <w:qFormat/>
    <w:rPr>
      <w:rFonts w:ascii="Consolas" w:eastAsia="黑体" w:hAnsi="Consolas"/>
      <w:color w:val="4E9A06"/>
      <w:sz w:val="22"/>
      <w:shd w:val="clear" w:color="auto" w:fill="F8F8F8"/>
    </w:rPr>
  </w:style>
  <w:style w:type="character" w:customStyle="1" w:styleId="SpecialStringTok">
    <w:name w:val="SpecialStringTok"/>
    <w:basedOn w:val="VerbatimChar"/>
    <w:qFormat/>
    <w:rPr>
      <w:rFonts w:ascii="Consolas" w:eastAsia="黑体" w:hAnsi="Consolas"/>
      <w:color w:val="4E9A06"/>
      <w:sz w:val="22"/>
      <w:shd w:val="clear" w:color="auto" w:fill="F8F8F8"/>
    </w:rPr>
  </w:style>
  <w:style w:type="character" w:customStyle="1" w:styleId="ImportTok">
    <w:name w:val="ImportTok"/>
    <w:basedOn w:val="VerbatimChar"/>
    <w:qFormat/>
    <w:rPr>
      <w:rFonts w:ascii="Consolas" w:eastAsia="黑体" w:hAnsi="Consolas"/>
      <w:color w:val="000000"/>
      <w:sz w:val="22"/>
      <w:shd w:val="clear" w:color="auto" w:fill="F8F8F8"/>
    </w:rPr>
  </w:style>
  <w:style w:type="character" w:customStyle="1" w:styleId="CommentTok">
    <w:name w:val="CommentTok"/>
    <w:basedOn w:val="VerbatimChar"/>
    <w:qFormat/>
    <w:rPr>
      <w:rFonts w:ascii="Consolas" w:eastAsia="黑体" w:hAnsi="Consolas"/>
      <w:i/>
      <w:color w:val="8F5902"/>
      <w:sz w:val="22"/>
      <w:shd w:val="clear" w:color="auto" w:fill="F8F8F8"/>
    </w:rPr>
  </w:style>
  <w:style w:type="character" w:customStyle="1" w:styleId="DocumentationTok">
    <w:name w:val="DocumentationTok"/>
    <w:basedOn w:val="VerbatimChar"/>
    <w:qFormat/>
    <w:rPr>
      <w:rFonts w:ascii="Consolas" w:eastAsia="黑体" w:hAnsi="Consolas"/>
      <w:b/>
      <w:i/>
      <w:color w:val="8F5902"/>
      <w:sz w:val="22"/>
      <w:shd w:val="clear" w:color="auto" w:fill="F8F8F8"/>
    </w:rPr>
  </w:style>
  <w:style w:type="character" w:customStyle="1" w:styleId="AnnotationTok">
    <w:name w:val="AnnotationTok"/>
    <w:basedOn w:val="VerbatimChar"/>
    <w:qFormat/>
    <w:rPr>
      <w:rFonts w:ascii="Consolas" w:eastAsia="黑体" w:hAnsi="Consolas"/>
      <w:b/>
      <w:i/>
      <w:color w:val="8F5902"/>
      <w:sz w:val="22"/>
      <w:shd w:val="clear" w:color="auto" w:fill="F8F8F8"/>
    </w:rPr>
  </w:style>
  <w:style w:type="character" w:customStyle="1" w:styleId="CommentVarTok">
    <w:name w:val="CommentVarTok"/>
    <w:basedOn w:val="VerbatimChar"/>
    <w:qFormat/>
    <w:rPr>
      <w:rFonts w:ascii="Consolas" w:eastAsia="黑体" w:hAnsi="Consolas"/>
      <w:b/>
      <w:i/>
      <w:color w:val="8F5902"/>
      <w:sz w:val="22"/>
      <w:shd w:val="clear" w:color="auto" w:fill="F8F8F8"/>
    </w:rPr>
  </w:style>
  <w:style w:type="character" w:customStyle="1" w:styleId="OtherTok">
    <w:name w:val="OtherTok"/>
    <w:basedOn w:val="VerbatimChar"/>
    <w:qFormat/>
    <w:rPr>
      <w:rFonts w:ascii="Consolas" w:eastAsia="黑体" w:hAnsi="Consolas"/>
      <w:color w:val="8F5902"/>
      <w:sz w:val="22"/>
      <w:shd w:val="clear" w:color="auto" w:fill="F8F8F8"/>
    </w:rPr>
  </w:style>
  <w:style w:type="character" w:customStyle="1" w:styleId="FunctionTok">
    <w:name w:val="FunctionTok"/>
    <w:basedOn w:val="VerbatimChar"/>
    <w:qFormat/>
    <w:rPr>
      <w:rFonts w:ascii="Consolas" w:eastAsia="黑体" w:hAnsi="Consolas"/>
      <w:color w:val="000000"/>
      <w:sz w:val="22"/>
      <w:shd w:val="clear" w:color="auto" w:fill="F8F8F8"/>
    </w:rPr>
  </w:style>
  <w:style w:type="character" w:customStyle="1" w:styleId="VariableTok">
    <w:name w:val="VariableTok"/>
    <w:basedOn w:val="VerbatimChar"/>
    <w:qFormat/>
    <w:rPr>
      <w:rFonts w:ascii="Consolas" w:eastAsia="黑体" w:hAnsi="Consolas"/>
      <w:color w:val="000000"/>
      <w:sz w:val="22"/>
      <w:shd w:val="clear" w:color="auto" w:fill="F8F8F8"/>
    </w:rPr>
  </w:style>
  <w:style w:type="character" w:customStyle="1" w:styleId="ControlFlowTok">
    <w:name w:val="ControlFlowTok"/>
    <w:basedOn w:val="VerbatimChar"/>
    <w:qFormat/>
    <w:rPr>
      <w:rFonts w:ascii="Consolas" w:eastAsia="黑体" w:hAnsi="Consolas"/>
      <w:b/>
      <w:color w:val="204A87"/>
      <w:sz w:val="22"/>
      <w:shd w:val="clear" w:color="auto" w:fill="F8F8F8"/>
    </w:rPr>
  </w:style>
  <w:style w:type="character" w:customStyle="1" w:styleId="OperatorTok">
    <w:name w:val="OperatorTok"/>
    <w:basedOn w:val="VerbatimChar"/>
    <w:qFormat/>
    <w:rPr>
      <w:rFonts w:ascii="Consolas" w:eastAsia="黑体" w:hAnsi="Consolas"/>
      <w:b/>
      <w:color w:val="CE5C00"/>
      <w:sz w:val="22"/>
      <w:shd w:val="clear" w:color="auto" w:fill="F8F8F8"/>
    </w:rPr>
  </w:style>
  <w:style w:type="character" w:customStyle="1" w:styleId="BuiltInTok">
    <w:name w:val="BuiltInTok"/>
    <w:basedOn w:val="VerbatimChar"/>
    <w:qFormat/>
    <w:rPr>
      <w:rFonts w:ascii="Consolas" w:eastAsia="黑体" w:hAnsi="Consolas"/>
      <w:color w:val="000000"/>
      <w:sz w:val="22"/>
      <w:shd w:val="clear" w:color="auto" w:fill="F8F8F8"/>
    </w:rPr>
  </w:style>
  <w:style w:type="character" w:customStyle="1" w:styleId="ExtensionTok">
    <w:name w:val="ExtensionTok"/>
    <w:basedOn w:val="VerbatimChar"/>
    <w:qFormat/>
    <w:rPr>
      <w:rFonts w:ascii="Consolas" w:eastAsia="黑体" w:hAnsi="Consolas"/>
      <w:color w:val="000000"/>
      <w:sz w:val="22"/>
      <w:shd w:val="clear" w:color="auto" w:fill="F8F8F8"/>
    </w:rPr>
  </w:style>
  <w:style w:type="character" w:customStyle="1" w:styleId="PreprocessorTok">
    <w:name w:val="PreprocessorTok"/>
    <w:basedOn w:val="VerbatimChar"/>
    <w:qFormat/>
    <w:rPr>
      <w:rFonts w:ascii="Consolas" w:eastAsia="黑体" w:hAnsi="Consolas"/>
      <w:i/>
      <w:color w:val="8F5902"/>
      <w:sz w:val="22"/>
      <w:shd w:val="clear" w:color="auto" w:fill="F8F8F8"/>
    </w:rPr>
  </w:style>
  <w:style w:type="character" w:customStyle="1" w:styleId="AttributeTok">
    <w:name w:val="AttributeTok"/>
    <w:basedOn w:val="VerbatimChar"/>
    <w:qFormat/>
    <w:rPr>
      <w:rFonts w:ascii="Consolas" w:eastAsia="黑体" w:hAnsi="Consolas"/>
      <w:color w:val="C4A000"/>
      <w:sz w:val="22"/>
      <w:shd w:val="clear" w:color="auto" w:fill="F8F8F8"/>
    </w:rPr>
  </w:style>
  <w:style w:type="character" w:customStyle="1" w:styleId="RegionMarkerTok">
    <w:name w:val="RegionMarkerTok"/>
    <w:basedOn w:val="VerbatimChar"/>
    <w:qFormat/>
    <w:rPr>
      <w:rFonts w:ascii="Consolas" w:eastAsia="黑体" w:hAnsi="Consolas"/>
      <w:color w:val="000000"/>
      <w:sz w:val="22"/>
      <w:shd w:val="clear" w:color="auto" w:fill="F8F8F8"/>
    </w:rPr>
  </w:style>
  <w:style w:type="character" w:customStyle="1" w:styleId="InformationTok">
    <w:name w:val="InformationTok"/>
    <w:basedOn w:val="VerbatimChar"/>
    <w:qFormat/>
    <w:rPr>
      <w:rFonts w:ascii="Consolas" w:eastAsia="黑体" w:hAnsi="Consolas"/>
      <w:b/>
      <w:i/>
      <w:color w:val="8F5902"/>
      <w:sz w:val="22"/>
      <w:shd w:val="clear" w:color="auto" w:fill="F8F8F8"/>
    </w:rPr>
  </w:style>
  <w:style w:type="character" w:customStyle="1" w:styleId="WarningTok">
    <w:name w:val="WarningTok"/>
    <w:basedOn w:val="VerbatimChar"/>
    <w:qFormat/>
    <w:rPr>
      <w:rFonts w:ascii="Consolas" w:eastAsia="黑体" w:hAnsi="Consolas"/>
      <w:b/>
      <w:i/>
      <w:color w:val="8F5902"/>
      <w:sz w:val="22"/>
      <w:shd w:val="clear" w:color="auto" w:fill="F8F8F8"/>
    </w:rPr>
  </w:style>
  <w:style w:type="character" w:customStyle="1" w:styleId="AlertTok">
    <w:name w:val="AlertTok"/>
    <w:basedOn w:val="VerbatimChar"/>
    <w:qFormat/>
    <w:rPr>
      <w:rFonts w:ascii="Consolas" w:eastAsia="黑体" w:hAnsi="Consolas"/>
      <w:color w:val="EF2929"/>
      <w:sz w:val="22"/>
      <w:shd w:val="clear" w:color="auto" w:fill="F8F8F8"/>
    </w:rPr>
  </w:style>
  <w:style w:type="character" w:customStyle="1" w:styleId="ErrorTok">
    <w:name w:val="ErrorTok"/>
    <w:basedOn w:val="VerbatimChar"/>
    <w:qFormat/>
    <w:rPr>
      <w:rFonts w:ascii="Consolas" w:eastAsia="黑体" w:hAnsi="Consolas"/>
      <w:b/>
      <w:color w:val="A40000"/>
      <w:sz w:val="22"/>
      <w:shd w:val="clear" w:color="auto" w:fill="F8F8F8"/>
    </w:rPr>
  </w:style>
  <w:style w:type="character" w:customStyle="1" w:styleId="NormalTok">
    <w:name w:val="NormalTok"/>
    <w:basedOn w:val="VerbatimChar"/>
    <w:qFormat/>
    <w:rPr>
      <w:rFonts w:ascii="Consolas" w:eastAsia="黑体" w:hAnsi="Consolas"/>
      <w:color w:val="000000"/>
      <w:sz w:val="22"/>
      <w:shd w:val="clear" w:color="auto" w:fill="F8F8F8"/>
    </w:rPr>
  </w:style>
  <w:style w:type="character" w:customStyle="1" w:styleId="411">
    <w:name w:val="标题 4 字符1"/>
    <w:basedOn w:val="a0"/>
    <w:uiPriority w:val="9"/>
    <w:semiHidden/>
    <w:qFormat/>
    <w:rPr>
      <w:rFonts w:asciiTheme="majorHAnsi" w:eastAsiaTheme="majorEastAsia" w:hAnsiTheme="majorHAnsi" w:cstheme="majorBidi"/>
      <w:b/>
      <w:bCs/>
      <w:sz w:val="28"/>
      <w:szCs w:val="28"/>
    </w:rPr>
  </w:style>
  <w:style w:type="character" w:customStyle="1" w:styleId="611">
    <w:name w:val="标题 6 字符1"/>
    <w:basedOn w:val="a0"/>
    <w:uiPriority w:val="9"/>
    <w:semiHidden/>
    <w:qFormat/>
    <w:rPr>
      <w:rFonts w:asciiTheme="majorHAnsi" w:eastAsiaTheme="majorEastAsia" w:hAnsiTheme="majorHAnsi" w:cstheme="majorBidi"/>
      <w:b/>
      <w:bCs/>
      <w:sz w:val="24"/>
      <w:szCs w:val="24"/>
    </w:rPr>
  </w:style>
  <w:style w:type="character" w:customStyle="1" w:styleId="811">
    <w:name w:val="标题 8 字符1"/>
    <w:basedOn w:val="a0"/>
    <w:uiPriority w:val="9"/>
    <w:semiHidden/>
    <w:qFormat/>
    <w:rPr>
      <w:rFonts w:asciiTheme="majorHAnsi" w:eastAsiaTheme="majorEastAsia" w:hAnsiTheme="majorHAnsi" w:cstheme="majorBidi"/>
      <w:sz w:val="24"/>
      <w:szCs w:val="24"/>
    </w:rPr>
  </w:style>
  <w:style w:type="character" w:customStyle="1" w:styleId="911">
    <w:name w:val="标题 9 字符1"/>
    <w:basedOn w:val="a0"/>
    <w:uiPriority w:val="9"/>
    <w:semiHidden/>
    <w:qFormat/>
    <w:rPr>
      <w:rFonts w:asciiTheme="majorHAnsi" w:eastAsiaTheme="majorEastAsia" w:hAnsiTheme="majorHAnsi" w:cstheme="majorBidi"/>
      <w:szCs w:val="21"/>
    </w:rPr>
  </w:style>
  <w:style w:type="character" w:customStyle="1" w:styleId="Char11">
    <w:name w:val="副标题 Char1"/>
    <w:basedOn w:val="a0"/>
    <w:uiPriority w:val="11"/>
    <w:qFormat/>
    <w:rPr>
      <w:rFonts w:asciiTheme="majorHAnsi" w:hAnsiTheme="majorHAnsi" w:cstheme="majorBidi"/>
      <w:b/>
      <w:bCs/>
      <w:kern w:val="28"/>
      <w:sz w:val="32"/>
      <w:szCs w:val="32"/>
    </w:rPr>
  </w:style>
  <w:style w:type="character" w:customStyle="1" w:styleId="1f4">
    <w:name w:val="副标题 字符1"/>
    <w:basedOn w:val="a0"/>
    <w:uiPriority w:val="11"/>
    <w:qFormat/>
    <w:rPr>
      <w:b/>
      <w:bCs/>
      <w:kern w:val="28"/>
      <w:sz w:val="32"/>
      <w:szCs w:val="32"/>
    </w:rPr>
  </w:style>
  <w:style w:type="paragraph" w:customStyle="1" w:styleId="TOC72">
    <w:name w:val="TOC 72"/>
    <w:basedOn w:val="a"/>
    <w:next w:val="a"/>
    <w:uiPriority w:val="39"/>
    <w:unhideWhenUsed/>
    <w:qFormat/>
    <w:pPr>
      <w:ind w:left="1320"/>
    </w:pPr>
    <w:rPr>
      <w:rFonts w:asciiTheme="minorHAnsi" w:eastAsiaTheme="minorEastAsia" w:hAnsiTheme="minorHAnsi" w:cs="Calibri"/>
      <w:kern w:val="0"/>
      <w:sz w:val="18"/>
      <w:szCs w:val="18"/>
    </w:rPr>
  </w:style>
  <w:style w:type="paragraph" w:customStyle="1" w:styleId="TOC52">
    <w:name w:val="TOC 52"/>
    <w:basedOn w:val="a"/>
    <w:next w:val="a"/>
    <w:uiPriority w:val="39"/>
    <w:unhideWhenUsed/>
    <w:qFormat/>
    <w:pPr>
      <w:ind w:left="880"/>
    </w:pPr>
    <w:rPr>
      <w:rFonts w:asciiTheme="minorHAnsi" w:eastAsiaTheme="minorEastAsia" w:hAnsiTheme="minorHAnsi" w:cs="Calibri"/>
      <w:kern w:val="0"/>
      <w:sz w:val="18"/>
      <w:szCs w:val="18"/>
    </w:rPr>
  </w:style>
  <w:style w:type="paragraph" w:customStyle="1" w:styleId="TOC32">
    <w:name w:val="TOC 32"/>
    <w:basedOn w:val="a"/>
    <w:next w:val="a"/>
    <w:uiPriority w:val="39"/>
    <w:unhideWhenUsed/>
    <w:qFormat/>
    <w:pPr>
      <w:ind w:left="440"/>
    </w:pPr>
    <w:rPr>
      <w:rFonts w:asciiTheme="minorHAnsi" w:eastAsiaTheme="minorEastAsia" w:hAnsiTheme="minorHAnsi" w:cs="Calibri"/>
      <w:i/>
      <w:iCs/>
      <w:kern w:val="0"/>
      <w:sz w:val="20"/>
      <w:szCs w:val="20"/>
    </w:rPr>
  </w:style>
  <w:style w:type="paragraph" w:customStyle="1" w:styleId="TOC82">
    <w:name w:val="TOC 82"/>
    <w:basedOn w:val="a"/>
    <w:next w:val="a"/>
    <w:uiPriority w:val="39"/>
    <w:unhideWhenUsed/>
    <w:qFormat/>
    <w:pPr>
      <w:ind w:left="1540"/>
    </w:pPr>
    <w:rPr>
      <w:rFonts w:asciiTheme="minorHAnsi" w:eastAsiaTheme="minorEastAsia" w:hAnsiTheme="minorHAnsi" w:cs="Calibri"/>
      <w:kern w:val="0"/>
      <w:sz w:val="18"/>
      <w:szCs w:val="18"/>
    </w:rPr>
  </w:style>
  <w:style w:type="paragraph" w:customStyle="1" w:styleId="TOC12">
    <w:name w:val="TOC 12"/>
    <w:basedOn w:val="a"/>
    <w:next w:val="a"/>
    <w:uiPriority w:val="39"/>
    <w:qFormat/>
    <w:pPr>
      <w:spacing w:before="120" w:after="120"/>
    </w:pPr>
    <w:rPr>
      <w:rFonts w:asciiTheme="minorHAnsi" w:eastAsiaTheme="minorEastAsia" w:hAnsiTheme="minorHAnsi" w:cs="Calibri"/>
      <w:b/>
      <w:bCs/>
      <w:caps/>
      <w:kern w:val="0"/>
      <w:sz w:val="20"/>
      <w:szCs w:val="20"/>
    </w:rPr>
  </w:style>
  <w:style w:type="paragraph" w:customStyle="1" w:styleId="TOC42">
    <w:name w:val="TOC 42"/>
    <w:basedOn w:val="a"/>
    <w:next w:val="a"/>
    <w:uiPriority w:val="39"/>
    <w:unhideWhenUsed/>
    <w:qFormat/>
    <w:pPr>
      <w:ind w:left="660"/>
    </w:pPr>
    <w:rPr>
      <w:rFonts w:asciiTheme="minorHAnsi" w:eastAsiaTheme="minorEastAsia" w:hAnsiTheme="minorHAnsi" w:cs="Calibri"/>
      <w:kern w:val="0"/>
      <w:sz w:val="18"/>
      <w:szCs w:val="18"/>
    </w:rPr>
  </w:style>
  <w:style w:type="paragraph" w:customStyle="1" w:styleId="TOC62">
    <w:name w:val="TOC 62"/>
    <w:basedOn w:val="a"/>
    <w:next w:val="a"/>
    <w:uiPriority w:val="39"/>
    <w:unhideWhenUsed/>
    <w:qFormat/>
    <w:pPr>
      <w:ind w:left="1100"/>
    </w:pPr>
    <w:rPr>
      <w:rFonts w:asciiTheme="minorHAnsi" w:eastAsiaTheme="minorEastAsia" w:hAnsiTheme="minorHAnsi" w:cs="Calibri"/>
      <w:kern w:val="0"/>
      <w:sz w:val="18"/>
      <w:szCs w:val="18"/>
    </w:rPr>
  </w:style>
  <w:style w:type="paragraph" w:customStyle="1" w:styleId="TOC22">
    <w:name w:val="TOC 22"/>
    <w:basedOn w:val="a"/>
    <w:next w:val="a"/>
    <w:uiPriority w:val="39"/>
    <w:qFormat/>
    <w:pPr>
      <w:ind w:left="220"/>
    </w:pPr>
    <w:rPr>
      <w:rFonts w:asciiTheme="minorHAnsi" w:eastAsiaTheme="minorEastAsia" w:hAnsiTheme="minorHAnsi" w:cs="Calibri"/>
      <w:smallCaps/>
      <w:kern w:val="0"/>
      <w:sz w:val="20"/>
      <w:szCs w:val="20"/>
    </w:rPr>
  </w:style>
  <w:style w:type="paragraph" w:customStyle="1" w:styleId="TOC92">
    <w:name w:val="TOC 92"/>
    <w:basedOn w:val="a"/>
    <w:next w:val="a"/>
    <w:uiPriority w:val="39"/>
    <w:unhideWhenUsed/>
    <w:qFormat/>
    <w:pPr>
      <w:ind w:left="1760"/>
    </w:pPr>
    <w:rPr>
      <w:rFonts w:asciiTheme="minorHAnsi" w:eastAsiaTheme="minorEastAsia" w:hAnsiTheme="minorHAnsi" w:cs="Calibri"/>
      <w:kern w:val="0"/>
      <w:sz w:val="18"/>
      <w:szCs w:val="18"/>
    </w:rPr>
  </w:style>
  <w:style w:type="table" w:customStyle="1" w:styleId="2a">
    <w:name w:val="网格型2"/>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Pr>
      <w:rFonts w:asciiTheme="minorHAnsi" w:eastAsiaTheme="minorEastAsia" w:hAnsiTheme="minorHAnsi" w:cstheme="minorBidi"/>
    </w:rPr>
    <w:tblPr>
      <w:tblCellMar>
        <w:top w:w="0" w:type="dxa"/>
        <w:left w:w="0" w:type="dxa"/>
        <w:bottom w:w="0" w:type="dxa"/>
        <w:right w:w="0" w:type="dxa"/>
      </w:tblCellMar>
    </w:tblPr>
  </w:style>
  <w:style w:type="table" w:customStyle="1" w:styleId="111">
    <w:name w:val="浅色底纹11"/>
    <w:basedOn w:val="a1"/>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2b">
    <w:name w:val="文本块2"/>
    <w:basedOn w:val="aa"/>
    <w:next w:val="aa"/>
    <w:uiPriority w:val="9"/>
    <w:unhideWhenUsed/>
    <w:qFormat/>
    <w:pPr>
      <w:spacing w:before="480" w:after="240"/>
    </w:pPr>
    <w:rPr>
      <w:bCs/>
      <w:i/>
      <w:iCs/>
      <w:kern w:val="0"/>
      <w:sz w:val="22"/>
      <w:u w:val="single"/>
    </w:rPr>
  </w:style>
  <w:style w:type="table" w:customStyle="1" w:styleId="Table1">
    <w:name w:val="Table1"/>
    <w:unhideWhenUsed/>
    <w:qFormat/>
    <w:pPr>
      <w:spacing w:after="200"/>
    </w:pPr>
    <w:rPr>
      <w:rFonts w:asciiTheme="minorHAnsi" w:hAnsiTheme="minorHAnsi" w:cstheme="minorBidi"/>
      <w:sz w:val="24"/>
      <w:szCs w:val="24"/>
      <w:lang w:eastAsia="en-US"/>
    </w:rPr>
    <w:tblPr>
      <w:tblCellMar>
        <w:top w:w="0" w:type="dxa"/>
        <w:left w:w="108" w:type="dxa"/>
        <w:bottom w:w="0" w:type="dxa"/>
        <w:right w:w="108" w:type="dxa"/>
      </w:tblCellMar>
    </w:tblPr>
  </w:style>
  <w:style w:type="paragraph" w:customStyle="1" w:styleId="TOC30">
    <w:name w:val="TOC 标题3"/>
    <w:basedOn w:val="1"/>
    <w:next w:val="aa"/>
    <w:uiPriority w:val="39"/>
    <w:unhideWhenUsed/>
    <w:qFormat/>
    <w:pPr>
      <w:keepLines/>
      <w:numPr>
        <w:numId w:val="0"/>
      </w:numPr>
      <w:spacing w:before="240" w:after="240" w:line="259" w:lineRule="auto"/>
      <w:outlineLvl w:val="9"/>
    </w:pPr>
    <w:rPr>
      <w:rFonts w:ascii="Cambria" w:eastAsia="宋体" w:hAnsi="Cambria"/>
      <w:b w:val="0"/>
      <w:color w:val="365F91"/>
      <w:kern w:val="0"/>
      <w:sz w:val="32"/>
      <w:szCs w:val="32"/>
      <w:lang w:eastAsia="en-US"/>
    </w:rPr>
  </w:style>
  <w:style w:type="paragraph" w:customStyle="1" w:styleId="TOC40">
    <w:name w:val="TOC 标题4"/>
    <w:basedOn w:val="1"/>
    <w:next w:val="a"/>
    <w:uiPriority w:val="39"/>
    <w:unhideWhenUsed/>
    <w:qFormat/>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rPr>
  </w:style>
  <w:style w:type="character" w:customStyle="1" w:styleId="2c">
    <w:name w:val="未处理的提及2"/>
    <w:basedOn w:val="a0"/>
    <w:uiPriority w:val="99"/>
    <w:unhideWhenUsed/>
    <w:qFormat/>
    <w:rPr>
      <w:color w:val="605E5C"/>
      <w:shd w:val="clear" w:color="auto" w:fill="E1DFDD"/>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WXBodyText1Char">
    <w:name w:val="WX Body Text 1 Char"/>
    <w:link w:val="WXBodyText1"/>
    <w:uiPriority w:val="99"/>
    <w:qFormat/>
    <w:locked/>
    <w:rPr>
      <w:kern w:val="32"/>
      <w:sz w:val="24"/>
    </w:rPr>
  </w:style>
  <w:style w:type="paragraph" w:customStyle="1" w:styleId="WXBodyText1">
    <w:name w:val="WX Body Text 1"/>
    <w:link w:val="WXBodyText1Char"/>
    <w:uiPriority w:val="99"/>
    <w:qFormat/>
    <w:pPr>
      <w:spacing w:beforeLines="50" w:afterLines="50"/>
      <w:ind w:left="720"/>
      <w:jc w:val="both"/>
    </w:pPr>
    <w:rPr>
      <w:rFonts w:ascii="Calibri" w:hAnsi="Calibri"/>
      <w:kern w:val="32"/>
      <w:sz w:val="24"/>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21">
    <w:name w:val="font21"/>
    <w:basedOn w:val="a0"/>
    <w:qFormat/>
    <w:rPr>
      <w:rFonts w:ascii="宋体" w:eastAsia="宋体" w:hAnsi="宋体" w:cs="宋体" w:hint="eastAsia"/>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font51">
    <w:name w:val="font51"/>
    <w:basedOn w:val="a0"/>
    <w:qFormat/>
    <w:rPr>
      <w:rFonts w:ascii="宋体" w:eastAsia="宋体" w:hAnsi="宋体" w:cs="宋体" w:hint="eastAsia"/>
      <w:b/>
      <w:color w:val="000000"/>
      <w:sz w:val="22"/>
      <w:szCs w:val="22"/>
      <w:u w:val="none"/>
    </w:rPr>
  </w:style>
  <w:style w:type="character" w:customStyle="1" w:styleId="font01">
    <w:name w:val="font01"/>
    <w:basedOn w:val="a0"/>
    <w:qFormat/>
    <w:rPr>
      <w:rFonts w:ascii="Times New Roman" w:hAnsi="Times New Roman" w:cs="Times New Roman" w:hint="default"/>
      <w:b/>
      <w:color w:val="000000"/>
      <w:sz w:val="22"/>
      <w:szCs w:val="22"/>
      <w:u w:val="none"/>
    </w:rPr>
  </w:style>
  <w:style w:type="character" w:customStyle="1" w:styleId="font71">
    <w:name w:val="font7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81">
    <w:name w:val="font81"/>
    <w:basedOn w:val="a0"/>
    <w:qFormat/>
    <w:rPr>
      <w:rFonts w:ascii="宋体" w:eastAsia="宋体" w:hAnsi="宋体" w:cs="宋体" w:hint="eastAsia"/>
      <w:color w:val="000000"/>
      <w:sz w:val="22"/>
      <w:szCs w:val="22"/>
      <w:u w:val="none"/>
    </w:rPr>
  </w:style>
  <w:style w:type="character" w:customStyle="1" w:styleId="font91">
    <w:name w:val="font91"/>
    <w:basedOn w:val="a0"/>
    <w:qFormat/>
    <w:rPr>
      <w:rFonts w:ascii="宋体" w:eastAsia="宋体" w:hAnsi="宋体" w:cs="宋体" w:hint="eastAsia"/>
      <w:b/>
      <w:color w:val="000000"/>
      <w:sz w:val="22"/>
      <w:szCs w:val="22"/>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fontstyle21">
    <w:name w:val="fontstyle21"/>
    <w:basedOn w:val="a0"/>
    <w:qFormat/>
    <w:rPr>
      <w:rFonts w:ascii="Calibri" w:hAnsi="Calibri" w:cs="Calibri" w:hint="default"/>
      <w:color w:val="000000"/>
      <w:sz w:val="20"/>
      <w:szCs w:val="20"/>
    </w:rPr>
  </w:style>
  <w:style w:type="character" w:customStyle="1" w:styleId="fontstyle31">
    <w:name w:val="fontstyle31"/>
    <w:basedOn w:val="a0"/>
    <w:qFormat/>
    <w:rPr>
      <w:rFonts w:ascii="华文楷体" w:eastAsia="华文楷体" w:hAnsi="华文楷体" w:hint="eastAsia"/>
      <w:color w:val="000000"/>
      <w:sz w:val="18"/>
      <w:szCs w:val="18"/>
    </w:rPr>
  </w:style>
  <w:style w:type="character" w:customStyle="1" w:styleId="fontstyle41">
    <w:name w:val="fontstyle41"/>
    <w:basedOn w:val="a0"/>
    <w:qFormat/>
    <w:rPr>
      <w:rFonts w:ascii="Times New Roman" w:hAnsi="Times New Roman" w:cs="Times New Roman" w:hint="default"/>
      <w:color w:val="000000"/>
      <w:sz w:val="24"/>
      <w:szCs w:val="24"/>
    </w:rPr>
  </w:style>
  <w:style w:type="character" w:customStyle="1" w:styleId="34">
    <w:name w:val="未处理的提及3"/>
    <w:basedOn w:val="a0"/>
    <w:uiPriority w:val="99"/>
    <w:unhideWhenUsed/>
    <w:qFormat/>
    <w:rPr>
      <w:color w:val="605E5C"/>
      <w:shd w:val="clear" w:color="auto" w:fill="E1DFDD"/>
    </w:rPr>
  </w:style>
  <w:style w:type="paragraph" w:customStyle="1" w:styleId="p1">
    <w:name w:val="p1"/>
    <w:basedOn w:val="a"/>
    <w:qFormat/>
    <w:rPr>
      <w:rFonts w:ascii="Helvetica" w:hAnsi="Helvetica"/>
      <w:kern w:val="0"/>
      <w:sz w:val="18"/>
      <w:szCs w:val="18"/>
    </w:rPr>
  </w:style>
  <w:style w:type="paragraph" w:customStyle="1" w:styleId="p2">
    <w:name w:val="p2"/>
    <w:basedOn w:val="a"/>
    <w:qFormat/>
    <w:rPr>
      <w:rFonts w:ascii="Helvetica" w:hAnsi="Helvetica"/>
      <w:kern w:val="0"/>
      <w:sz w:val="15"/>
      <w:szCs w:val="15"/>
    </w:rPr>
  </w:style>
  <w:style w:type="character" w:customStyle="1" w:styleId="s1">
    <w:name w:val="s1"/>
    <w:basedOn w:val="a0"/>
    <w:rPr>
      <w:rFonts w:ascii="Helvetica" w:hAnsi="Helvetica" w:hint="default"/>
      <w:sz w:val="10"/>
      <w:szCs w:val="10"/>
    </w:rPr>
  </w:style>
  <w:style w:type="character" w:customStyle="1" w:styleId="44">
    <w:name w:val="未处理的提及4"/>
    <w:basedOn w:val="a0"/>
    <w:uiPriority w:val="99"/>
    <w:unhideWhenUsed/>
    <w:rPr>
      <w:color w:val="605E5C"/>
      <w:shd w:val="clear" w:color="auto" w:fill="E1DFDD"/>
    </w:rPr>
  </w:style>
  <w:style w:type="character" w:customStyle="1" w:styleId="tgt">
    <w:name w:val="tgt"/>
    <w:basedOn w:val="a0"/>
    <w:qFormat/>
  </w:style>
  <w:style w:type="paragraph" w:customStyle="1" w:styleId="DocText">
    <w:name w:val="Doc Text"/>
    <w:basedOn w:val="a"/>
    <w:link w:val="DocTextCharChar"/>
    <w:qFormat/>
    <w:pPr>
      <w:spacing w:before="120" w:after="240" w:line="288" w:lineRule="auto"/>
      <w:ind w:firstLineChars="200" w:firstLine="200"/>
    </w:pPr>
    <w:rPr>
      <w:rFonts w:eastAsia="Batang"/>
      <w:kern w:val="0"/>
      <w:sz w:val="24"/>
      <w:szCs w:val="24"/>
      <w:lang w:eastAsia="en-US"/>
    </w:rPr>
  </w:style>
  <w:style w:type="character" w:customStyle="1" w:styleId="DocTextCharChar">
    <w:name w:val="Doc Text Char Char"/>
    <w:link w:val="DocText"/>
    <w:qFormat/>
    <w:rPr>
      <w:rFonts w:ascii="Times New Roman" w:eastAsia="Batang" w:hAnsi="Times New Roman"/>
      <w:sz w:val="24"/>
      <w:szCs w:val="24"/>
      <w:lang w:eastAsia="en-US"/>
    </w:rPr>
  </w:style>
  <w:style w:type="character" w:customStyle="1" w:styleId="52">
    <w:name w:val="未处理的提及5"/>
    <w:basedOn w:val="a0"/>
    <w:uiPriority w:val="99"/>
    <w:unhideWhenUsed/>
    <w:qFormat/>
    <w:rPr>
      <w:color w:val="605E5C"/>
      <w:shd w:val="clear" w:color="auto" w:fill="E1DFDD"/>
    </w:rPr>
  </w:style>
  <w:style w:type="paragraph" w:customStyle="1" w:styleId="112">
    <w:name w:val="列表段落11"/>
    <w:basedOn w:val="a"/>
    <w:uiPriority w:val="99"/>
    <w:qFormat/>
    <w:pPr>
      <w:adjustRightInd w:val="0"/>
      <w:snapToGrid w:val="0"/>
      <w:spacing w:beforeLines="50" w:before="50" w:afterLines="50" w:after="50" w:line="300" w:lineRule="auto"/>
      <w:ind w:firstLineChars="200" w:firstLine="420"/>
    </w:pPr>
    <w:rPr>
      <w:sz w:val="24"/>
    </w:rPr>
  </w:style>
  <w:style w:type="character" w:customStyle="1" w:styleId="62">
    <w:name w:val="未处理的提及6"/>
    <w:basedOn w:val="a0"/>
    <w:uiPriority w:val="99"/>
    <w:unhideWhenUsed/>
    <w:qFormat/>
    <w:rPr>
      <w:color w:val="605E5C"/>
      <w:shd w:val="clear" w:color="auto" w:fill="E1DFDD"/>
    </w:rPr>
  </w:style>
  <w:style w:type="character" w:customStyle="1" w:styleId="72">
    <w:name w:val="未处理的提及7"/>
    <w:basedOn w:val="a0"/>
    <w:uiPriority w:val="99"/>
    <w:unhideWhenUsed/>
    <w:qFormat/>
    <w:rPr>
      <w:color w:val="605E5C"/>
      <w:shd w:val="clear" w:color="auto" w:fill="E1DFDD"/>
    </w:rPr>
  </w:style>
  <w:style w:type="character" w:customStyle="1" w:styleId="82">
    <w:name w:val="未处理的提及8"/>
    <w:basedOn w:val="a0"/>
    <w:uiPriority w:val="99"/>
    <w:unhideWhenUsed/>
    <w:qFormat/>
    <w:rPr>
      <w:color w:val="605E5C"/>
      <w:shd w:val="clear" w:color="auto" w:fill="E1DFDD"/>
    </w:rPr>
  </w:style>
  <w:style w:type="paragraph" w:customStyle="1" w:styleId="Normal">
    <w:name w:val="[Normal]"/>
    <w:qFormat/>
    <w:pPr>
      <w:widowControl w:val="0"/>
      <w:autoSpaceDE w:val="0"/>
      <w:autoSpaceDN w:val="0"/>
      <w:adjustRightInd w:val="0"/>
    </w:pPr>
    <w:rPr>
      <w:rFonts w:ascii="宋体" w:hAnsi="Calibri" w:cs="宋体"/>
      <w:sz w:val="24"/>
      <w:szCs w:val="24"/>
      <w:lang w:val="zh-CN"/>
    </w:rPr>
  </w:style>
  <w:style w:type="character" w:customStyle="1" w:styleId="92">
    <w:name w:val="未处理的提及9"/>
    <w:basedOn w:val="a0"/>
    <w:uiPriority w:val="99"/>
    <w:unhideWhenUsed/>
    <w:qFormat/>
    <w:rPr>
      <w:color w:val="605E5C"/>
      <w:shd w:val="clear" w:color="auto" w:fill="E1DFDD"/>
    </w:rPr>
  </w:style>
  <w:style w:type="paragraph" w:customStyle="1" w:styleId="45">
    <w:name w:val="修订4"/>
    <w:hidden/>
    <w:uiPriority w:val="99"/>
    <w:semiHidden/>
    <w:qFormat/>
    <w:rPr>
      <w:rFonts w:ascii="Calibri" w:hAnsi="Calibri"/>
      <w:kern w:val="2"/>
      <w:sz w:val="21"/>
      <w:szCs w:val="22"/>
    </w:rPr>
  </w:style>
  <w:style w:type="character" w:customStyle="1" w:styleId="100">
    <w:name w:val="未处理的提及10"/>
    <w:basedOn w:val="a0"/>
    <w:uiPriority w:val="99"/>
    <w:unhideWhenUsed/>
    <w:qFormat/>
    <w:rPr>
      <w:color w:val="605E5C"/>
      <w:shd w:val="clear" w:color="auto" w:fill="E1DFDD"/>
    </w:rPr>
  </w:style>
  <w:style w:type="character" w:customStyle="1" w:styleId="113">
    <w:name w:val="未处理的提及11"/>
    <w:basedOn w:val="a0"/>
    <w:uiPriority w:val="99"/>
    <w:unhideWhenUsed/>
    <w:qFormat/>
    <w:rPr>
      <w:color w:val="605E5C"/>
      <w:shd w:val="clear" w:color="auto" w:fill="E1DFDD"/>
    </w:rPr>
  </w:style>
  <w:style w:type="table" w:customStyle="1" w:styleId="35">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未处理的提及12"/>
    <w:basedOn w:val="a0"/>
    <w:uiPriority w:val="99"/>
    <w:unhideWhenUsed/>
    <w:qFormat/>
    <w:rPr>
      <w:color w:val="605E5C"/>
      <w:shd w:val="clear" w:color="auto" w:fill="E1DFDD"/>
    </w:rPr>
  </w:style>
  <w:style w:type="character" w:customStyle="1" w:styleId="130">
    <w:name w:val="未处理的提及13"/>
    <w:basedOn w:val="a0"/>
    <w:uiPriority w:val="99"/>
    <w:unhideWhenUsed/>
    <w:qFormat/>
    <w:rPr>
      <w:color w:val="605E5C"/>
      <w:shd w:val="clear" w:color="auto" w:fill="E1DFDD"/>
    </w:rPr>
  </w:style>
  <w:style w:type="paragraph" w:customStyle="1" w:styleId="TOC50">
    <w:name w:val="TOC 标题5"/>
    <w:basedOn w:val="1"/>
    <w:next w:val="a"/>
    <w:uiPriority w:val="39"/>
    <w:unhideWhenUsed/>
    <w:qFormat/>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customStyle="1" w:styleId="1f5">
    <w:name w:val="正文1"/>
    <w:qFormat/>
    <w:pPr>
      <w:jc w:val="both"/>
    </w:pPr>
    <w:rPr>
      <w:rFonts w:ascii="Calibri" w:hAnsi="Calibri" w:cs="Calibri"/>
      <w:kern w:val="2"/>
      <w:sz w:val="21"/>
      <w:szCs w:val="21"/>
    </w:rPr>
  </w:style>
  <w:style w:type="paragraph" w:customStyle="1" w:styleId="TOC60">
    <w:name w:val="TOC 标题6"/>
    <w:basedOn w:val="1"/>
    <w:next w:val="a"/>
    <w:uiPriority w:val="39"/>
    <w:unhideWhenUsed/>
    <w:qFormat/>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2569</Words>
  <Characters>14649</Characters>
  <Application>Microsoft Office Word</Application>
  <DocSecurity>0</DocSecurity>
  <Lines>122</Lines>
  <Paragraphs>34</Paragraphs>
  <ScaleCrop>false</ScaleCrop>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J J</cp:lastModifiedBy>
  <cp:revision>224</cp:revision>
  <cp:lastPrinted>2023-02-27T11:54:00Z</cp:lastPrinted>
  <dcterms:created xsi:type="dcterms:W3CDTF">2023-01-26T12:17:00Z</dcterms:created>
  <dcterms:modified xsi:type="dcterms:W3CDTF">2023-09-24T12:23:00Z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ies>
</file>