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4"/>
      </w:pPr>
      <w:bookmarkStart w:id="2" w:name="_GoBack"/>
      <w:bookmarkEnd w:id="2"/>
    </w:p>
    <w:p>
      <w:pPr>
        <w:pStyle w:val="14"/>
      </w:pPr>
      <w:r>
        <w:t>Supplementary Information</w:t>
      </w:r>
    </w:p>
    <w:p>
      <w:pPr>
        <w:pStyle w:val="12"/>
      </w:pPr>
      <w:r>
        <w:t xml:space="preserve">Novel antimicrobial peptides against </w:t>
      </w:r>
      <w:bookmarkStart w:id="0" w:name="_Hlk134264314"/>
      <w:r>
        <w:rPr>
          <w:i/>
          <w:iCs/>
        </w:rPr>
        <w:t>Cutibacterium acnes</w:t>
      </w:r>
      <w:bookmarkEnd w:id="0"/>
      <w:r>
        <w:t xml:space="preserve"> designed by deep learning</w:t>
      </w:r>
    </w:p>
    <w:p>
      <w:pPr>
        <w:spacing w:line="360" w:lineRule="auto"/>
        <w:rPr>
          <w:rFonts w:cs="Times New Roman"/>
          <w:szCs w:val="24"/>
        </w:rPr>
      </w:pPr>
      <w:r>
        <w:rPr>
          <w:rFonts w:cs="Times New Roman"/>
          <w:szCs w:val="24"/>
        </w:rPr>
        <w:t>Qichang Dong</w:t>
      </w:r>
      <w:r>
        <w:rPr>
          <w:rFonts w:cs="Times New Roman"/>
          <w:szCs w:val="24"/>
          <w:vertAlign w:val="superscript"/>
        </w:rPr>
        <w:t>1,4</w:t>
      </w:r>
      <w:r>
        <w:rPr>
          <w:rFonts w:cs="Times New Roman"/>
          <w:szCs w:val="24"/>
        </w:rPr>
        <w:t>, Shaohua Wang</w:t>
      </w:r>
      <w:r>
        <w:rPr>
          <w:rFonts w:cs="Times New Roman"/>
          <w:szCs w:val="24"/>
          <w:vertAlign w:val="superscript"/>
        </w:rPr>
        <w:t>1,4</w:t>
      </w:r>
      <w:r>
        <w:rPr>
          <w:rFonts w:cs="Times New Roman"/>
          <w:szCs w:val="24"/>
        </w:rPr>
        <w:t>, Ying Miao</w:t>
      </w:r>
      <w:r>
        <w:rPr>
          <w:rFonts w:cs="Times New Roman"/>
          <w:szCs w:val="24"/>
          <w:vertAlign w:val="superscript"/>
        </w:rPr>
        <w:t>3,4</w:t>
      </w:r>
      <w:r>
        <w:rPr>
          <w:rFonts w:cs="Times New Roman"/>
          <w:szCs w:val="24"/>
        </w:rPr>
        <w:t>, Heng Luo</w:t>
      </w:r>
      <w:r>
        <w:rPr>
          <w:rFonts w:cs="Times New Roman"/>
          <w:szCs w:val="24"/>
          <w:vertAlign w:val="superscript"/>
        </w:rPr>
        <w:t>1</w:t>
      </w:r>
      <w:r>
        <w:rPr>
          <w:rFonts w:cs="Times New Roman"/>
          <w:szCs w:val="24"/>
        </w:rPr>
        <w:t>, Zuquan Weng</w:t>
      </w:r>
      <w:r>
        <w:rPr>
          <w:rFonts w:cs="Times New Roman"/>
          <w:szCs w:val="24"/>
          <w:vertAlign w:val="superscript"/>
        </w:rPr>
        <w:t>3</w:t>
      </w:r>
      <w:r>
        <w:rPr>
          <w:rFonts w:cs="Times New Roman"/>
          <w:szCs w:val="24"/>
        </w:rPr>
        <w:t xml:space="preserve"> and Lun Yu</w:t>
      </w:r>
      <w:r>
        <w:rPr>
          <w:rFonts w:cs="Times New Roman"/>
          <w:szCs w:val="24"/>
          <w:vertAlign w:val="superscript"/>
        </w:rPr>
        <w:t>2, *</w:t>
      </w:r>
    </w:p>
    <w:p>
      <w:pPr>
        <w:spacing w:line="360" w:lineRule="auto"/>
        <w:rPr>
          <w:rFonts w:cs="Times New Roman"/>
          <w:szCs w:val="24"/>
        </w:rPr>
      </w:pPr>
      <w:r>
        <w:rPr>
          <w:rFonts w:cs="Times New Roman"/>
          <w:szCs w:val="24"/>
          <w:vertAlign w:val="superscript"/>
        </w:rPr>
        <w:t>1</w:t>
      </w:r>
      <w:r>
        <w:rPr>
          <w:rFonts w:cs="Times New Roman"/>
          <w:szCs w:val="24"/>
        </w:rPr>
        <w:t xml:space="preserve"> Shanghai MetaNovas Biotech Co., Ltd, Shanghai, 200120, China</w:t>
      </w:r>
    </w:p>
    <w:p>
      <w:pPr>
        <w:spacing w:line="360" w:lineRule="auto"/>
        <w:rPr>
          <w:rFonts w:cs="Times New Roman"/>
          <w:szCs w:val="24"/>
        </w:rPr>
      </w:pPr>
      <w:r>
        <w:rPr>
          <w:rFonts w:cs="Times New Roman"/>
          <w:szCs w:val="24"/>
          <w:vertAlign w:val="superscript"/>
        </w:rPr>
        <w:t>2</w:t>
      </w:r>
      <w:r>
        <w:rPr>
          <w:rFonts w:cs="Times New Roman"/>
          <w:szCs w:val="24"/>
        </w:rPr>
        <w:t xml:space="preserve"> Metanovas Biotech Inc., Foster City, 94404, USA</w:t>
      </w:r>
    </w:p>
    <w:p>
      <w:pPr>
        <w:spacing w:line="360" w:lineRule="auto"/>
        <w:rPr>
          <w:rFonts w:cs="Times New Roman"/>
          <w:szCs w:val="24"/>
        </w:rPr>
      </w:pPr>
      <w:r>
        <w:rPr>
          <w:rFonts w:cs="Times New Roman"/>
          <w:szCs w:val="24"/>
          <w:vertAlign w:val="superscript"/>
        </w:rPr>
        <w:t>3</w:t>
      </w:r>
      <w:r>
        <w:rPr>
          <w:rFonts w:cs="Times New Roman"/>
          <w:szCs w:val="24"/>
        </w:rPr>
        <w:t xml:space="preserve"> College of Biological Science and Engineering, Fuzhou University, Fuzhou, 350108, China</w:t>
      </w:r>
    </w:p>
    <w:p>
      <w:pPr>
        <w:spacing w:line="360" w:lineRule="auto"/>
        <w:rPr>
          <w:rFonts w:cs="Times New Roman"/>
          <w:szCs w:val="24"/>
        </w:rPr>
      </w:pPr>
      <w:r>
        <w:rPr>
          <w:rFonts w:cs="Times New Roman"/>
          <w:szCs w:val="24"/>
          <w:vertAlign w:val="superscript"/>
        </w:rPr>
        <w:t>4</w:t>
      </w:r>
      <w:r>
        <w:rPr>
          <w:rFonts w:cs="Times New Roman"/>
          <w:szCs w:val="24"/>
        </w:rPr>
        <w:t xml:space="preserve"> These authors contributed equally to this work: Qichang Dong, Shaohua Wang and Ying Miao.</w:t>
      </w:r>
    </w:p>
    <w:p>
      <w:pPr>
        <w:spacing w:line="360" w:lineRule="auto"/>
        <w:rPr>
          <w:rStyle w:val="22"/>
          <w:rFonts w:cs="Times New Roman"/>
          <w:szCs w:val="24"/>
        </w:rPr>
      </w:pPr>
      <w:r>
        <w:rPr>
          <w:rFonts w:cs="Times New Roman"/>
          <w:szCs w:val="24"/>
        </w:rPr>
        <w:t xml:space="preserve">* Correspondence: </w:t>
      </w:r>
      <w:r>
        <w:fldChar w:fldCharType="begin"/>
      </w:r>
      <w:r>
        <w:instrText xml:space="preserve"> HYPERLINK "mailto:lunyu@metanovas.com" </w:instrText>
      </w:r>
      <w:r>
        <w:fldChar w:fldCharType="separate"/>
      </w:r>
      <w:r>
        <w:rPr>
          <w:rStyle w:val="22"/>
          <w:rFonts w:cs="Times New Roman"/>
          <w:szCs w:val="24"/>
        </w:rPr>
        <w:t>lunyu@metanovas.com</w:t>
      </w:r>
      <w:r>
        <w:rPr>
          <w:rStyle w:val="22"/>
          <w:rFonts w:cs="Times New Roman"/>
          <w:szCs w:val="24"/>
        </w:rPr>
        <w:fldChar w:fldCharType="end"/>
      </w:r>
    </w:p>
    <w:p>
      <w:pPr>
        <w:widowControl/>
        <w:jc w:val="left"/>
        <w:rPr>
          <w:rStyle w:val="22"/>
          <w:rFonts w:cs="Times New Roman"/>
          <w:szCs w:val="24"/>
        </w:rPr>
      </w:pPr>
      <w:r>
        <w:rPr>
          <w:rStyle w:val="22"/>
          <w:rFonts w:cs="Times New Roman"/>
          <w:szCs w:val="24"/>
        </w:rPr>
        <w:br w:type="page"/>
      </w:r>
    </w:p>
    <w:p>
      <w:pPr>
        <w:pStyle w:val="3"/>
      </w:pPr>
      <w:r>
        <w:t>Table of Contents</w:t>
      </w:r>
    </w:p>
    <w:p>
      <w:r>
        <w:rPr>
          <w:rFonts w:hint="eastAsia"/>
        </w:rPr>
        <w:t>M</w:t>
      </w:r>
      <w:r>
        <w:t>ethods</w:t>
      </w:r>
      <w:r>
        <w:rPr>
          <w:rFonts w:hint="eastAsia"/>
        </w:rPr>
        <w:t xml:space="preserve"> </w:t>
      </w:r>
      <w:r>
        <w:t>of data curation</w:t>
      </w:r>
    </w:p>
    <w:p>
      <w:r>
        <w:t>M</w:t>
      </w:r>
      <w:r>
        <w:rPr>
          <w:rFonts w:hint="eastAsia"/>
        </w:rPr>
        <w:t>ethods</w:t>
      </w:r>
      <w:r>
        <w:t xml:space="preserve"> of </w:t>
      </w:r>
      <w:r>
        <w:rPr>
          <w:i/>
          <w:iCs/>
        </w:rPr>
        <w:t xml:space="preserve">in vitro </w:t>
      </w:r>
      <w:r>
        <w:t>experiment</w:t>
      </w:r>
    </w:p>
    <w:p>
      <w:r>
        <w:rPr>
          <w:rFonts w:hint="eastAsia"/>
        </w:rPr>
        <w:t>F</w:t>
      </w:r>
      <w:r>
        <w:t>igure 1 to 3</w:t>
      </w:r>
    </w:p>
    <w:p>
      <w:r>
        <w:rPr>
          <w:rFonts w:hint="eastAsia"/>
        </w:rPr>
        <w:t>S</w:t>
      </w:r>
      <w:r>
        <w:t>upplementary References</w:t>
      </w:r>
    </w:p>
    <w:p>
      <w:pPr>
        <w:pStyle w:val="3"/>
      </w:pPr>
      <w:r>
        <w:rPr>
          <w:rFonts w:hint="eastAsia"/>
        </w:rPr>
        <w:t>M</w:t>
      </w:r>
      <w:r>
        <w:t>ethods</w:t>
      </w:r>
      <w:r>
        <w:rPr>
          <w:rFonts w:hint="eastAsia"/>
        </w:rPr>
        <w:t xml:space="preserve"> </w:t>
      </w:r>
      <w:r>
        <w:t>of data curation</w:t>
      </w:r>
    </w:p>
    <w:p>
      <w:pPr>
        <w:pStyle w:val="4"/>
      </w:pPr>
      <w:r>
        <w:t>DBAASP</w:t>
      </w:r>
    </w:p>
    <w:p>
      <w:pPr>
        <w:spacing w:line="360" w:lineRule="auto"/>
        <w:rPr>
          <w:rFonts w:cs="Times New Roman"/>
          <w:szCs w:val="24"/>
        </w:rPr>
      </w:pPr>
      <w:r>
        <w:rPr>
          <w:rFonts w:cs="Times New Roman"/>
          <w:szCs w:val="24"/>
        </w:rPr>
        <w:t>From the comprehensive AMP dataset procured from the DBAASP website</w:t>
      </w:r>
      <w:sdt>
        <w:sdtPr>
          <w:rPr>
            <w:rFonts w:cs="Times New Roman"/>
            <w:color w:val="000000"/>
            <w:szCs w:val="24"/>
            <w:vertAlign w:val="superscript"/>
          </w:rPr>
          <w:tag w:val="MENDELEY_CITATION_v3_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"/>
          <w:id w:val="-2139951594"/>
          <w:placeholder>
            <w:docPart w:val="8494947581AC4DBAADA6EC4057F0A46A"/>
          </w:placeholder>
        </w:sdtPr>
        <w:sdtEndPr>
          <w:rPr>
            <w:rFonts w:cs="Times New Roman"/>
            <w:color w:val="000000"/>
            <w:szCs w:val="24"/>
            <w:vertAlign w:val="superscript"/>
          </w:rPr>
        </w:sdtEndPr>
        <w:sdtContent>
          <w:r>
            <w:rPr>
              <w:rFonts w:cs="Times New Roman"/>
              <w:color w:val="000000"/>
              <w:szCs w:val="24"/>
              <w:vertAlign w:val="superscript"/>
            </w:rPr>
            <w:t>1</w:t>
          </w:r>
        </w:sdtContent>
      </w:sdt>
      <w:r>
        <w:rPr>
          <w:rFonts w:cs="Times New Roman"/>
          <w:szCs w:val="24"/>
        </w:rPr>
        <w:t>, we amassed a collection of 19,316 peptides. To ensure relevance and specificity, we implemented stringent criteria: the peptides needed to have a minimum length of 4, end with a free or amidated C-terminus or begin with an acetylated N-terminus, and exclusively comprise natural L-amino acids or their D-enantiomers.</w:t>
      </w:r>
    </w:p>
    <w:p>
      <w:pPr>
        <w:spacing w:line="360" w:lineRule="auto"/>
        <w:rPr>
          <w:rFonts w:cs="Times New Roman"/>
          <w:szCs w:val="24"/>
        </w:rPr>
      </w:pPr>
      <w:r>
        <w:rPr>
          <w:rFonts w:cs="Times New Roman"/>
          <w:szCs w:val="24"/>
        </w:rPr>
        <w:t xml:space="preserve">Our classification system for activity relied on a dual-threshold metric. We labeled sequences as 'active' when they exhibited an activity concentration below 32 µg/ml or 10 µM and had at least one designated target species. In contrast, sequences that uniformly displayed activity concentrations surpassing 32 µg/mL or 10 µM were categorized as 'inactive' </w:t>
      </w:r>
      <w:sdt>
        <w:sdtPr>
          <w:rPr>
            <w:rFonts w:cs="Times New Roman"/>
            <w:color w:val="000000"/>
            <w:szCs w:val="24"/>
            <w:vertAlign w:val="superscript"/>
          </w:rPr>
          <w:tag w:val="MENDELEY_CITATION_v3_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"/>
          <w:id w:val="-426734829"/>
          <w:placeholder>
            <w:docPart w:val="8494947581AC4DBAADA6EC4057F0A46A"/>
          </w:placeholder>
        </w:sdtPr>
        <w:sdtEndPr>
          <w:rPr>
            <w:rFonts w:cs="Times New Roman"/>
            <w:color w:val="000000"/>
            <w:szCs w:val="24"/>
            <w:vertAlign w:val="superscript"/>
          </w:rPr>
        </w:sdtEndPr>
        <w:sdtContent>
          <w:r>
            <w:rPr>
              <w:rFonts w:cs="Times New Roman"/>
              <w:color w:val="000000"/>
              <w:szCs w:val="24"/>
              <w:vertAlign w:val="superscript"/>
            </w:rPr>
            <w:t>2</w:t>
          </w:r>
        </w:sdtContent>
      </w:sdt>
      <w:r>
        <w:rPr>
          <w:rFonts w:cs="Times New Roman"/>
          <w:szCs w:val="24"/>
        </w:rPr>
        <w:t xml:space="preserve">. </w:t>
      </w:r>
    </w:p>
    <w:p>
      <w:pPr>
        <w:spacing w:line="360" w:lineRule="auto"/>
        <w:rPr>
          <w:rFonts w:cs="Times New Roman"/>
          <w:szCs w:val="24"/>
        </w:rPr>
      </w:pPr>
      <w:r>
        <w:rPr>
          <w:rFonts w:cs="Times New Roman"/>
          <w:szCs w:val="24"/>
        </w:rPr>
        <w:t>To discern between hemolytic and non-hemolytic activities, we standardized all recorded concentrations to µM, utilizing the metrics against human erythrocyte cells. We deemed sequences as 'non-hemolytic' if they demonstrated hemolytic values under 20% at concentrations of 50 µM or more. On the other hand, sequences presenting a hemolytic value equal to or exceeding 20% at any concentration were labeled as 'hemolytic'</w:t>
      </w:r>
      <w:sdt>
        <w:sdtPr>
          <w:rPr>
            <w:rFonts w:cs="Times New Roman"/>
            <w:color w:val="000000"/>
            <w:szCs w:val="24"/>
            <w:vertAlign w:val="superscript"/>
          </w:rPr>
          <w:tag w:val="MENDELEY_CITATION_v3_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"/>
          <w:id w:val="734600007"/>
          <w:placeholder>
            <w:docPart w:val="64A6A75F7F1844BDAD61F38A5FD8C3E2"/>
          </w:placeholder>
        </w:sdtPr>
        <w:sdtEndPr>
          <w:rPr>
            <w:rFonts w:cs="Times New Roman"/>
            <w:color w:val="000000"/>
            <w:szCs w:val="24"/>
            <w:vertAlign w:val="superscript"/>
          </w:rPr>
        </w:sdtEndPr>
        <w:sdtContent>
          <w:r>
            <w:rPr>
              <w:rFonts w:cs="Times New Roman"/>
              <w:color w:val="000000"/>
              <w:szCs w:val="24"/>
              <w:vertAlign w:val="superscript"/>
            </w:rPr>
            <w:t>2</w:t>
          </w:r>
        </w:sdtContent>
      </w:sdt>
      <w:r>
        <w:rPr>
          <w:rFonts w:cs="Times New Roman"/>
          <w:szCs w:val="24"/>
        </w:rPr>
        <w:t>.</w:t>
      </w:r>
    </w:p>
    <w:p>
      <w:pPr>
        <w:spacing w:line="360" w:lineRule="auto"/>
        <w:rPr>
          <w:rFonts w:cs="Times New Roman"/>
          <w:szCs w:val="24"/>
        </w:rPr>
      </w:pPr>
      <w:r>
        <w:rPr>
          <w:rFonts w:cs="Times New Roman"/>
          <w:szCs w:val="24"/>
        </w:rPr>
        <w:t>Our final tally comprised 8,884 active peptides and 4,009 inactive peptides, along with 2,217 hemolytic peptides and 2,013 non-hemolytic peptides. It's crucial to note that the hemolysis dataset is inherently a subset of the broader activity dataset.</w:t>
      </w:r>
    </w:p>
    <w:p>
      <w:pPr>
        <w:spacing w:line="360" w:lineRule="auto"/>
        <w:rPr>
          <w:rFonts w:cs="Times New Roman"/>
          <w:szCs w:val="24"/>
        </w:rPr>
      </w:pPr>
      <w:r>
        <w:rPr>
          <w:rFonts w:cs="Times New Roman"/>
          <w:szCs w:val="24"/>
        </w:rPr>
        <w:t>To foster a balanced dataset for our activity classifier, we embarked on the creation of 4,875 supplementary pseudo-inactive sequences. This process was bifurcated into two distinct strategies:</w:t>
      </w:r>
    </w:p>
    <w:p>
      <w:pPr>
        <w:pStyle w:val="26"/>
        <w:numPr>
          <w:ilvl w:val="0"/>
          <w:numId w:val="1"/>
        </w:numPr>
        <w:spacing w:line="360" w:lineRule="auto"/>
        <w:rPr>
          <w:rFonts w:cs="Times New Roman"/>
          <w:szCs w:val="24"/>
        </w:rPr>
      </w:pPr>
      <w:r>
        <w:rPr>
          <w:rFonts w:cs="Times New Roman"/>
          <w:szCs w:val="24"/>
        </w:rPr>
        <w:t>Scrambling the sequences of active peptides, yielding 2,437 sequences. This involved rearranging the order of amino acids to derive sequences distinct from the parent active peptide, ensuring that the structural and functional attributes were disrupted.</w:t>
      </w:r>
    </w:p>
    <w:p>
      <w:pPr>
        <w:pStyle w:val="26"/>
        <w:numPr>
          <w:ilvl w:val="0"/>
          <w:numId w:val="1"/>
        </w:numPr>
        <w:spacing w:line="360" w:lineRule="auto"/>
        <w:rPr>
          <w:rFonts w:cs="Times New Roman"/>
          <w:szCs w:val="24"/>
        </w:rPr>
      </w:pPr>
      <w:r>
        <w:rPr>
          <w:rFonts w:cs="Times New Roman"/>
          <w:szCs w:val="24"/>
        </w:rPr>
        <w:t>Fragmenting sequences from the renowned SwissProt database</w:t>
      </w:r>
      <w:sdt>
        <w:sdtPr>
          <w:rPr>
            <w:color w:val="000000"/>
            <w:vertAlign w:val="superscript"/>
          </w:rPr>
          <w:tag w:val="MENDELEY_CITATION_v3_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"/>
          <w:id w:val="330649735"/>
          <w:placeholder>
            <w:docPart w:val="8494947581AC4DBAADA6EC4057F0A46A"/>
          </w:placeholder>
        </w:sdtPr>
        <w:sdtEndPr>
          <w:rPr>
            <w:color w:val="000000"/>
            <w:vertAlign w:val="superscript"/>
          </w:rPr>
        </w:sdtEndPr>
        <w:sdtContent>
          <w:r>
            <w:rPr>
              <w:rFonts w:cs="Times New Roman"/>
              <w:color w:val="000000"/>
              <w:szCs w:val="24"/>
              <w:vertAlign w:val="superscript"/>
            </w:rPr>
            <w:t>3</w:t>
          </w:r>
        </w:sdtContent>
      </w:sdt>
      <w:r>
        <w:rPr>
          <w:rFonts w:cs="Times New Roman"/>
          <w:szCs w:val="24"/>
        </w:rPr>
        <w:t>, generating another 2,438 sequences. This method entailed segmenting longer protein sequences into shorter fragments, adhering to the length distribution characteristic of our known sequences.</w:t>
      </w:r>
    </w:p>
    <w:p>
      <w:pPr>
        <w:spacing w:line="360" w:lineRule="auto"/>
        <w:rPr>
          <w:rFonts w:cs="Times New Roman"/>
          <w:szCs w:val="24"/>
        </w:rPr>
      </w:pPr>
      <w:r>
        <w:rPr>
          <w:rFonts w:cs="Times New Roman"/>
          <w:szCs w:val="24"/>
        </w:rPr>
        <w:t>For the hemolysis classifier, we had a fortuitous situation where the numbers of non-hemolytic and hemolytic peptides were relatively balanced. As such, we deemed it unnecessary to create artificial sequences. Instead, we directly leveraged the existing set of peptides to train the hemolysis classifier, ensuring authenticity in the model's learning process.</w:t>
      </w:r>
    </w:p>
    <w:p>
      <w:pPr>
        <w:pStyle w:val="4"/>
      </w:pPr>
      <w:r>
        <w:rPr>
          <w:i/>
          <w:iCs/>
        </w:rPr>
        <w:t>C. acne</w:t>
      </w:r>
      <w:r>
        <w:t>s associated AMP dataset</w:t>
      </w:r>
    </w:p>
    <w:p>
      <w:pPr>
        <w:spacing w:line="360" w:lineRule="auto"/>
        <w:rPr>
          <w:rFonts w:cs="Times New Roman"/>
          <w:b/>
          <w:szCs w:val="24"/>
        </w:rPr>
      </w:pPr>
      <w:r>
        <w:rPr>
          <w:rFonts w:cs="Times New Roman"/>
          <w:szCs w:val="24"/>
        </w:rPr>
        <w:t xml:space="preserve">To pinpoint AMPs that target </w:t>
      </w:r>
      <w:r>
        <w:rPr>
          <w:rFonts w:cs="Times New Roman"/>
          <w:i/>
          <w:iCs/>
          <w:szCs w:val="24"/>
        </w:rPr>
        <w:t>C.acnes</w:t>
      </w:r>
      <w:r>
        <w:rPr>
          <w:rFonts w:cs="Times New Roman"/>
          <w:szCs w:val="24"/>
        </w:rPr>
        <w:t xml:space="preserve"> and its closely related species, we embarked on the</w:t>
      </w:r>
      <w:bookmarkStart w:id="1" w:name="_Hlk149668136"/>
      <w:r>
        <w:rPr>
          <w:rFonts w:cs="Times New Roman"/>
          <w:szCs w:val="24"/>
        </w:rPr>
        <w:t xml:space="preserve"> phylogenetic analysis</w:t>
      </w:r>
      <w:bookmarkEnd w:id="1"/>
      <w:r>
        <w:rPr>
          <w:rFonts w:cs="Times New Roman"/>
          <w:szCs w:val="24"/>
        </w:rPr>
        <w:t>. Our approach was as follows:</w:t>
      </w:r>
    </w:p>
    <w:p>
      <w:pPr>
        <w:pStyle w:val="26"/>
        <w:numPr>
          <w:ilvl w:val="0"/>
          <w:numId w:val="2"/>
        </w:numPr>
        <w:spacing w:line="360" w:lineRule="auto"/>
        <w:rPr>
          <w:rFonts w:cs="Times New Roman"/>
          <w:b/>
          <w:szCs w:val="24"/>
        </w:rPr>
      </w:pPr>
      <w:r>
        <w:rPr>
          <w:rFonts w:cs="Times New Roman"/>
          <w:szCs w:val="24"/>
        </w:rPr>
        <w:t>Data Acquisition: We began by downloading the names of all bacterial species cataloged in the DBAASP database.</w:t>
      </w:r>
    </w:p>
    <w:p>
      <w:pPr>
        <w:pStyle w:val="26"/>
        <w:numPr>
          <w:ilvl w:val="0"/>
          <w:numId w:val="2"/>
        </w:numPr>
        <w:spacing w:line="360" w:lineRule="auto"/>
        <w:rPr>
          <w:rFonts w:cs="Times New Roman"/>
          <w:b/>
          <w:szCs w:val="24"/>
        </w:rPr>
      </w:pPr>
      <w:r>
        <w:rPr>
          <w:rFonts w:cs="Times New Roman"/>
          <w:szCs w:val="24"/>
        </w:rPr>
        <w:t>16S rDNA Sequence Retrieval: For each species name, we sourced its corresponding 16S rDNA sequence from the NCBI database. This ribosomal RNA sequence is universally present in bacteria and serves as a fundamental marker in microbial phylogenetics.</w:t>
      </w:r>
    </w:p>
    <w:p>
      <w:pPr>
        <w:pStyle w:val="26"/>
        <w:numPr>
          <w:ilvl w:val="0"/>
          <w:numId w:val="2"/>
        </w:numPr>
        <w:spacing w:line="360" w:lineRule="auto"/>
        <w:rPr>
          <w:rFonts w:cs="Times New Roman"/>
          <w:b/>
          <w:szCs w:val="24"/>
        </w:rPr>
      </w:pPr>
      <w:r>
        <w:rPr>
          <w:rFonts w:cs="Times New Roman"/>
          <w:szCs w:val="24"/>
        </w:rPr>
        <w:t>Phylogenetic Tree Construction: Using the retrieved 16S rDNA sequences, we utilized the MEGA software to construct a comprehensive phylogenetic tree. This tree visually represents evolutionary relationships, allowing us to discern which species are closely related to</w:t>
      </w:r>
      <w:r>
        <w:rPr>
          <w:rFonts w:cs="Times New Roman"/>
          <w:i/>
          <w:iCs/>
          <w:szCs w:val="24"/>
        </w:rPr>
        <w:t xml:space="preserve"> C.acnes</w:t>
      </w:r>
      <w:r>
        <w:rPr>
          <w:rFonts w:cs="Times New Roman"/>
          <w:szCs w:val="24"/>
        </w:rPr>
        <w:t>.</w:t>
      </w:r>
    </w:p>
    <w:p>
      <w:pPr>
        <w:pStyle w:val="26"/>
        <w:numPr>
          <w:ilvl w:val="0"/>
          <w:numId w:val="2"/>
        </w:numPr>
        <w:spacing w:line="360" w:lineRule="auto"/>
        <w:rPr>
          <w:rFonts w:cs="Times New Roman"/>
          <w:b/>
          <w:szCs w:val="24"/>
        </w:rPr>
      </w:pPr>
      <w:r>
        <w:rPr>
          <w:rFonts w:cs="Times New Roman"/>
          <w:szCs w:val="24"/>
        </w:rPr>
        <w:t>Selection of Closely Related Species: From the constructed phylogenetic tree, we pinpointed 28 species that displayed close evolutionary ties with</w:t>
      </w:r>
      <w:r>
        <w:rPr>
          <w:rFonts w:cs="Times New Roman"/>
          <w:i/>
          <w:iCs/>
          <w:szCs w:val="24"/>
        </w:rPr>
        <w:t xml:space="preserve"> C.acnes</w:t>
      </w:r>
      <w:r>
        <w:rPr>
          <w:rFonts w:cs="Times New Roman"/>
          <w:szCs w:val="24"/>
        </w:rPr>
        <w:t>.</w:t>
      </w:r>
    </w:p>
    <w:p>
      <w:pPr>
        <w:pStyle w:val="26"/>
        <w:numPr>
          <w:ilvl w:val="0"/>
          <w:numId w:val="2"/>
        </w:numPr>
        <w:spacing w:line="360" w:lineRule="auto"/>
        <w:rPr>
          <w:rFonts w:cs="Times New Roman"/>
          <w:b/>
          <w:szCs w:val="24"/>
        </w:rPr>
      </w:pPr>
      <w:r>
        <w:rPr>
          <w:rFonts w:cs="Times New Roman"/>
          <w:szCs w:val="24"/>
        </w:rPr>
        <w:t>Extraction of Relevant AMPs: With our selected species in hand, we sifted through the DBAASP database to identify AMPs that exhibited inhibitory activity against these species. Filtering further for peptides that were both active and non-hemolytic, we amassed a collection of 653 AMPs. These were designated as AMPs intrinsically associated with</w:t>
      </w:r>
      <w:r>
        <w:rPr>
          <w:rFonts w:cs="Times New Roman"/>
          <w:i/>
          <w:iCs/>
          <w:szCs w:val="24"/>
        </w:rPr>
        <w:t xml:space="preserve"> C.acnes</w:t>
      </w:r>
      <w:r>
        <w:rPr>
          <w:rFonts w:cs="Times New Roman"/>
          <w:szCs w:val="24"/>
        </w:rPr>
        <w:t>.</w:t>
      </w:r>
    </w:p>
    <w:p>
      <w:pPr>
        <w:spacing w:line="360" w:lineRule="auto"/>
        <w:rPr>
          <w:rFonts w:cs="Times New Roman"/>
          <w:b/>
          <w:szCs w:val="24"/>
        </w:rPr>
      </w:pPr>
      <w:r>
        <w:rPr>
          <w:rFonts w:cs="Times New Roman"/>
          <w:szCs w:val="24"/>
        </w:rPr>
        <w:t>The end result of this rigorous process was a curated set of AMPs tailored to target</w:t>
      </w:r>
      <w:r>
        <w:rPr>
          <w:rFonts w:cs="Times New Roman"/>
          <w:i/>
          <w:iCs/>
          <w:szCs w:val="24"/>
        </w:rPr>
        <w:t xml:space="preserve"> C.acnes</w:t>
      </w:r>
      <w:r>
        <w:rPr>
          <w:rFonts w:cs="Times New Roman"/>
          <w:szCs w:val="24"/>
        </w:rPr>
        <w:t xml:space="preserve"> and its closely related bacterial species, providing a focused dataset for subsequent analysis and experimentation.</w:t>
      </w:r>
    </w:p>
    <w:p>
      <w:pPr>
        <w:pStyle w:val="3"/>
      </w:pPr>
      <w:r>
        <w:t xml:space="preserve">Methods of </w:t>
      </w:r>
      <w:r>
        <w:rPr>
          <w:i/>
          <w:iCs/>
        </w:rPr>
        <w:t>in vitro</w:t>
      </w:r>
      <w:r>
        <w:t xml:space="preserve"> experiment</w:t>
      </w:r>
    </w:p>
    <w:p>
      <w:pPr>
        <w:pStyle w:val="4"/>
      </w:pPr>
      <w:r>
        <w:rPr>
          <w:i/>
          <w:iCs/>
        </w:rPr>
        <w:t>In vitro</w:t>
      </w:r>
      <w:r>
        <w:t xml:space="preserve"> antimicrobial testing</w:t>
      </w:r>
    </w:p>
    <w:p>
      <w:pPr>
        <w:spacing w:line="360" w:lineRule="auto"/>
        <w:rPr>
          <w:rFonts w:eastAsia="宋体" w:cs="Times New Roman"/>
        </w:rPr>
      </w:pPr>
      <w:r>
        <w:rPr>
          <w:rFonts w:eastAsia="宋体" w:cs="Times New Roman"/>
        </w:rPr>
        <w:t>To determine the minimal inhibitory concentration (MIC), the broth microdilution method was used. MIC of peptides was determined as the lowest concentration of test samples that inhibit 90% bacterial growth, which was measured by optical density</w:t>
      </w:r>
      <w:sdt>
        <w:sdtPr>
          <w:rPr>
            <w:rFonts w:eastAsia="宋体" w:cs="Times New Roman"/>
            <w:color w:val="000000"/>
            <w:vertAlign w:val="superscript"/>
          </w:rPr>
          <w:tag w:val="MENDELEY_CITATION_v3_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"/>
          <w:id w:val="1005721073"/>
          <w:placeholder>
            <w:docPart w:val="D2311301DEE0476F91E27C787E55D460"/>
          </w:placeholder>
        </w:sdtPr>
        <w:sdtEndPr>
          <w:rPr>
            <w:rFonts w:eastAsia="宋体" w:cs="Times New Roman"/>
            <w:color w:val="000000"/>
            <w:vertAlign w:val="superscript"/>
          </w:rPr>
        </w:sdtEndPr>
        <w:sdtContent>
          <w:r>
            <w:rPr>
              <w:rFonts w:eastAsia="宋体" w:cs="Times New Roman"/>
              <w:color w:val="000000"/>
              <w:vertAlign w:val="superscript"/>
            </w:rPr>
            <w:t>4</w:t>
          </w:r>
        </w:sdtContent>
      </w:sdt>
      <w:r>
        <w:rPr>
          <w:rFonts w:eastAsia="宋体" w:cs="Times New Roman"/>
        </w:rPr>
        <w:t>. Briefly, peptide samples were prepared as a stock solution in water and then diluted. 180 μL of the bacterial suspension (10</w:t>
      </w:r>
      <w:r>
        <w:rPr>
          <w:rFonts w:eastAsia="宋体" w:cs="Times New Roman"/>
          <w:vertAlign w:val="superscript"/>
        </w:rPr>
        <w:t xml:space="preserve">7 </w:t>
      </w:r>
      <w:r>
        <w:rPr>
          <w:rFonts w:eastAsia="宋体" w:cs="Times New Roman"/>
        </w:rPr>
        <w:t xml:space="preserve">CFU/mL) and 20 μL of the tested sample were added together into 96-Well Deep Well Plates and incubated 24 h for </w:t>
      </w:r>
      <w:r>
        <w:rPr>
          <w:rFonts w:eastAsia="宋体" w:cs="Times New Roman"/>
          <w:i/>
          <w:iCs/>
        </w:rPr>
        <w:t>E.coli</w:t>
      </w:r>
      <w:r>
        <w:rPr>
          <w:rFonts w:eastAsia="宋体" w:cs="Times New Roman"/>
        </w:rPr>
        <w:t xml:space="preserve"> and </w:t>
      </w:r>
      <w:r>
        <w:rPr>
          <w:rFonts w:eastAsia="宋体" w:cs="Times New Roman"/>
          <w:i/>
          <w:iCs/>
        </w:rPr>
        <w:t>S.aureus</w:t>
      </w:r>
      <w:r>
        <w:rPr>
          <w:rFonts w:eastAsia="宋体" w:cs="Times New Roman"/>
        </w:rPr>
        <w:t xml:space="preserve"> or 48h for</w:t>
      </w:r>
      <w:r>
        <w:rPr>
          <w:rFonts w:eastAsia="宋体" w:cs="Times New Roman"/>
          <w:i/>
          <w:iCs/>
        </w:rPr>
        <w:t xml:space="preserve"> C.acnes</w:t>
      </w:r>
      <w:r>
        <w:rPr>
          <w:rFonts w:eastAsia="宋体" w:cs="Times New Roman"/>
        </w:rPr>
        <w:t xml:space="preserve"> and </w:t>
      </w:r>
      <w:r>
        <w:rPr>
          <w:rFonts w:eastAsia="宋体" w:cs="Times New Roman"/>
          <w:i/>
          <w:iCs/>
        </w:rPr>
        <w:t>C.albicans</w:t>
      </w:r>
      <w:r>
        <w:rPr>
          <w:rFonts w:eastAsia="宋体" w:cs="Times New Roman"/>
        </w:rPr>
        <w:t>. For each test, two columns of the plate were kept for sterility control (broth only) and growth control (broth with bacterial inoculums, no antibiotics). The optical density of cultures was measured at 630 nm by a microplate reader (SYNERGY-H1, BioTek, USA) to estimate bacterial growth. All experiments were conducted in triplicate.</w:t>
      </w:r>
    </w:p>
    <w:p>
      <w:pPr>
        <w:pStyle w:val="4"/>
      </w:pPr>
      <w:r>
        <w:t>Hemolytic activity assay</w:t>
      </w:r>
    </w:p>
    <w:p>
      <w:pPr>
        <w:spacing w:line="360" w:lineRule="auto"/>
        <w:rPr>
          <w:rFonts w:eastAsia="宋体" w:cs="Times New Roman"/>
        </w:rPr>
      </w:pPr>
      <w:r>
        <w:rPr>
          <w:rFonts w:eastAsia="宋体" w:cs="Times New Roman"/>
        </w:rPr>
        <w:t>The hemolytic activity of peptides was assayed on Rabbit red blood cells (rRBCs)</w:t>
      </w:r>
      <w:sdt>
        <w:sdtPr>
          <w:rPr>
            <w:rFonts w:eastAsia="宋体" w:cs="Times New Roman"/>
            <w:color w:val="000000"/>
            <w:vertAlign w:val="superscript"/>
          </w:rPr>
          <w:tag w:val="MENDELEY_CITATION_v3_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"/>
          <w:id w:val="-76983601"/>
          <w:placeholder>
            <w:docPart w:val="D2311301DEE0476F91E27C787E55D460"/>
          </w:placeholder>
        </w:sdtPr>
        <w:sdtEndPr>
          <w:rPr>
            <w:rFonts w:eastAsia="宋体" w:cs="Times New Roman"/>
            <w:color w:val="000000"/>
            <w:vertAlign w:val="superscript"/>
          </w:rPr>
        </w:sdtEndPr>
        <w:sdtContent>
          <w:r>
            <w:rPr>
              <w:rFonts w:eastAsia="宋体" w:cs="Times New Roman"/>
              <w:color w:val="000000"/>
              <w:vertAlign w:val="superscript"/>
            </w:rPr>
            <w:t>5</w:t>
          </w:r>
        </w:sdtContent>
      </w:sdt>
      <w:r>
        <w:rPr>
          <w:rFonts w:eastAsia="宋体" w:cs="Times New Roman"/>
        </w:rPr>
        <w:t>. Briefly, 2% rRBCs (150 μL) were incubated in the presence of various peptide concentrations (50 μL) at 37°C for 2 h. After centrifugation, the supernatants were collected for measuring absorbance at 545 nm. PBS and 0.01% Triton X-100 were used as the negative (no hemolysis) and positive (100% hemolysis) control, respectively. Triplicate tests were performed.</w:t>
      </w:r>
    </w:p>
    <w:p>
      <w:pPr>
        <w:pStyle w:val="4"/>
      </w:pPr>
      <w:r>
        <w:t>Cell culture and viability assay</w:t>
      </w:r>
    </w:p>
    <w:p>
      <w:pPr>
        <w:spacing w:line="360" w:lineRule="auto"/>
        <w:rPr>
          <w:rFonts w:eastAsia="宋体" w:cs="Times New Roman"/>
        </w:rPr>
      </w:pPr>
      <w:r>
        <w:rPr>
          <w:rFonts w:eastAsia="宋体" w:cs="Times New Roman"/>
        </w:rPr>
        <w:t>HaCaT (IM-H225) cells from Xiamen Immocell Biotechnology Co.,Ltd were cultured in DMEM high glucose medium (4.5 g/L, Gibco, USA), supplemented with 10% fetal bovine serum (Gibco, USA), 100 U/mL of penicillin and 100 μg/mL of streptomycin in a 5% CO</w:t>
      </w:r>
      <w:r>
        <w:rPr>
          <w:rFonts w:eastAsia="宋体" w:cs="Times New Roman"/>
          <w:vertAlign w:val="subscript"/>
        </w:rPr>
        <w:t>2</w:t>
      </w:r>
      <w:r>
        <w:rPr>
          <w:rFonts w:eastAsia="宋体" w:cs="Times New Roman"/>
        </w:rPr>
        <w:t xml:space="preserve"> fully humidified environment at 37℃. </w:t>
      </w:r>
    </w:p>
    <w:p>
      <w:pPr>
        <w:spacing w:line="360" w:lineRule="auto"/>
        <w:rPr>
          <w:rFonts w:eastAsia="宋体" w:cs="Times New Roman"/>
        </w:rPr>
      </w:pPr>
      <w:r>
        <w:rPr>
          <w:rFonts w:eastAsia="宋体" w:cs="Times New Roman"/>
        </w:rPr>
        <w:t xml:space="preserve">Cell Counting Kit-8 (CCK-8; Biosharp, China) was used to assess the rate of cellular proliferation and quantify cell viability </w:t>
      </w:r>
      <w:sdt>
        <w:sdtPr>
          <w:rPr>
            <w:rFonts w:eastAsia="宋体" w:cs="Times New Roman"/>
            <w:color w:val="000000"/>
            <w:vertAlign w:val="superscript"/>
          </w:rPr>
          <w:tag w:val="MENDELEY_CITATION_v3_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"/>
          <w:id w:val="960078488"/>
          <w:placeholder>
            <w:docPart w:val="D2311301DEE0476F91E27C787E55D460"/>
          </w:placeholder>
        </w:sdtPr>
        <w:sdtEndPr>
          <w:rPr>
            <w:rFonts w:eastAsia="宋体" w:cs="Times New Roman"/>
            <w:color w:val="000000"/>
            <w:vertAlign w:val="superscript"/>
          </w:rPr>
        </w:sdtEndPr>
        <w:sdtContent>
          <w:r>
            <w:rPr>
              <w:rFonts w:eastAsia="宋体" w:cs="Times New Roman"/>
              <w:color w:val="000000"/>
              <w:vertAlign w:val="superscript"/>
            </w:rPr>
            <w:t>6</w:t>
          </w:r>
        </w:sdtContent>
      </w:sdt>
      <w:r>
        <w:rPr>
          <w:rFonts w:eastAsia="宋体" w:cs="Times New Roman"/>
        </w:rPr>
        <w:t>. In brief, HaCaT cells were seeded in 96-well plates with 100 μL of medium at a density of 1 × 10</w:t>
      </w:r>
      <w:r>
        <w:rPr>
          <w:rFonts w:eastAsia="宋体" w:cs="Times New Roman"/>
          <w:vertAlign w:val="superscript"/>
        </w:rPr>
        <w:t>4</w:t>
      </w:r>
      <w:r>
        <w:rPr>
          <w:rFonts w:eastAsia="宋体" w:cs="Times New Roman"/>
        </w:rPr>
        <w:t xml:space="preserve"> cells per well. After incubation of cells overnight, peptides were added into the medium for another 24</w:t>
      </w:r>
      <w:r>
        <w:rPr>
          <w:rFonts w:hint="eastAsia" w:eastAsia="宋体" w:cs="Times New Roman"/>
          <w:lang w:val="en-US" w:eastAsia="zh-CN"/>
        </w:rPr>
        <w:t xml:space="preserve"> </w:t>
      </w:r>
      <w:r>
        <w:rPr>
          <w:rFonts w:eastAsia="宋体" w:cs="Times New Roman"/>
        </w:rPr>
        <w:t>h incubation. Then, 10 μL of CCK8 solution was applied to each well and incubated for 1 h at 37℃. Finally, the absorbance values at 450 nm were determined using a microplate reader (SYNERGY-H1, BioTek, USA). Two columns of the plate were kept for negative control (medium only) and growth control (medium with HaCaT cell). All experiments were conducted in triplicate.</w:t>
      </w:r>
    </w:p>
    <w:p/>
    <w:p>
      <w:r>
        <w:rPr>
          <w:rFonts w:hint="eastAsia"/>
        </w:rPr>
        <w:drawing>
          <wp:inline distT="0" distB="0" distL="0" distR="0">
            <wp:extent cx="6282690" cy="2459990"/>
            <wp:effectExtent l="0" t="0" r="3810" b="0"/>
            <wp:docPr id="12758701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70162"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6295538" cy="2464988"/>
                    </a:xfrm>
                    <a:prstGeom prst="rect">
                      <a:avLst/>
                    </a:prstGeom>
                  </pic:spPr>
                </pic:pic>
              </a:graphicData>
            </a:graphic>
          </wp:inline>
        </w:drawing>
      </w:r>
    </w:p>
    <w:p>
      <w:pPr>
        <w:pStyle w:val="7"/>
      </w:pPr>
      <w:r>
        <w:rPr>
          <w:b/>
          <w:bCs/>
        </w:rPr>
        <w:t xml:space="preserve">Figure </w:t>
      </w:r>
      <w:r>
        <w:rPr>
          <w:b/>
          <w:bCs/>
        </w:rPr>
        <w:fldChar w:fldCharType="begin"/>
      </w:r>
      <w:r>
        <w:rPr>
          <w:b/>
          <w:bCs/>
        </w:rPr>
        <w:instrText xml:space="preserve"> SEQ Figure \* ARABIC </w:instrText>
      </w:r>
      <w:r>
        <w:rPr>
          <w:b/>
          <w:bCs/>
        </w:rPr>
        <w:fldChar w:fldCharType="separate"/>
      </w:r>
      <w:r>
        <w:rPr>
          <w:b/>
          <w:bCs/>
        </w:rPr>
        <w:t>1</w:t>
      </w:r>
      <w:r>
        <w:rPr>
          <w:b/>
          <w:bCs/>
        </w:rPr>
        <w:fldChar w:fldCharType="end"/>
      </w:r>
      <w:r>
        <w:rPr>
          <w:b/>
          <w:bCs/>
        </w:rPr>
        <w:t>.</w:t>
      </w:r>
      <w:r>
        <w:t xml:space="preserve"> (a) Boman index, (b) hydrophobic moment. "Known AMPs" representing the 8884 known active AMPs in DBAASP, "Known</w:t>
      </w:r>
      <w:r>
        <w:rPr>
          <w:i/>
          <w:iCs/>
        </w:rPr>
        <w:t xml:space="preserve"> C.acnes</w:t>
      </w:r>
      <w:r>
        <w:t xml:space="preserve"> AMPs" representing the 653 active and non-hemolytic</w:t>
      </w:r>
      <w:r>
        <w:rPr>
          <w:i/>
          <w:iCs/>
        </w:rPr>
        <w:t xml:space="preserve"> C.acnes</w:t>
      </w:r>
      <w:r>
        <w:t>-related AMPs, and "Generated AMPs" representing the 660,000 sequences generated in this study.</w:t>
      </w:r>
    </w:p>
    <w:p>
      <w:pPr>
        <w:spacing w:line="360" w:lineRule="auto"/>
        <w:rPr>
          <w:rFonts w:cs="Times New Roman"/>
          <w:szCs w:val="24"/>
        </w:rPr>
      </w:pPr>
      <w:r>
        <w:rPr>
          <w:rFonts w:cs="Times New Roman"/>
          <w:szCs w:val="24"/>
        </w:rPr>
        <w:t xml:space="preserve"> </w:t>
      </w:r>
    </w:p>
    <w:p>
      <w:pPr>
        <w:keepNext/>
        <w:spacing w:line="360" w:lineRule="auto"/>
        <w:jc w:val="left"/>
      </w:pPr>
      <w:r>
        <w:rPr>
          <w:rFonts w:cs="Times New Roman"/>
        </w:rPr>
        <w:drawing>
          <wp:inline distT="0" distB="0" distL="0" distR="0">
            <wp:extent cx="6188710" cy="880110"/>
            <wp:effectExtent l="0" t="0" r="2540" b="0"/>
            <wp:docPr id="15389052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05211"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88710" cy="880110"/>
                    </a:xfrm>
                    <a:prstGeom prst="rect">
                      <a:avLst/>
                    </a:prstGeom>
                  </pic:spPr>
                </pic:pic>
              </a:graphicData>
            </a:graphic>
          </wp:inline>
        </w:drawing>
      </w:r>
    </w:p>
    <w:p>
      <w:pPr>
        <w:pStyle w:val="7"/>
      </w:pPr>
      <w:r>
        <w:rPr>
          <w:b/>
          <w:bCs/>
        </w:rPr>
        <w:t xml:space="preserve">Figure </w:t>
      </w:r>
      <w:r>
        <w:rPr>
          <w:b/>
          <w:bCs/>
        </w:rPr>
        <w:fldChar w:fldCharType="begin"/>
      </w:r>
      <w:r>
        <w:rPr>
          <w:b/>
          <w:bCs/>
        </w:rPr>
        <w:instrText xml:space="preserve"> SEQ Figure \* ARABIC </w:instrText>
      </w:r>
      <w:r>
        <w:rPr>
          <w:b/>
          <w:bCs/>
        </w:rPr>
        <w:fldChar w:fldCharType="separate"/>
      </w:r>
      <w:r>
        <w:rPr>
          <w:b/>
          <w:bCs/>
        </w:rPr>
        <w:t>2</w:t>
      </w:r>
      <w:r>
        <w:rPr>
          <w:b/>
          <w:bCs/>
        </w:rPr>
        <w:fldChar w:fldCharType="end"/>
      </w:r>
      <w:r>
        <w:rPr>
          <w:b/>
          <w:bCs/>
        </w:rPr>
        <w:t>.</w:t>
      </w:r>
      <w:r>
        <w:t xml:space="preserve"> The length and novelty filtering pipeline and results.</w:t>
      </w:r>
    </w:p>
    <w:p/>
    <w:p>
      <w:pPr>
        <w:keepNext/>
        <w:spacing w:line="360" w:lineRule="auto"/>
      </w:pPr>
      <w:r>
        <w:rPr>
          <w:rFonts w:cs="Times New Roman"/>
        </w:rPr>
        <w:drawing>
          <wp:inline distT="0" distB="0" distL="0" distR="0">
            <wp:extent cx="6026150" cy="6358890"/>
            <wp:effectExtent l="0" t="0" r="0" b="3810"/>
            <wp:docPr id="25497779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77799" name="图片 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6038454" cy="6371790"/>
                    </a:xfrm>
                    <a:prstGeom prst="rect">
                      <a:avLst/>
                    </a:prstGeom>
                  </pic:spPr>
                </pic:pic>
              </a:graphicData>
            </a:graphic>
          </wp:inline>
        </w:drawing>
      </w:r>
    </w:p>
    <w:p>
      <w:pPr>
        <w:pStyle w:val="7"/>
      </w:pPr>
      <w:r>
        <w:rPr>
          <w:b/>
          <w:bCs/>
        </w:rPr>
        <w:t xml:space="preserve">Figure </w:t>
      </w:r>
      <w:r>
        <w:rPr>
          <w:b/>
          <w:bCs/>
        </w:rPr>
        <w:fldChar w:fldCharType="begin"/>
      </w:r>
      <w:r>
        <w:rPr>
          <w:b/>
          <w:bCs/>
        </w:rPr>
        <w:instrText xml:space="preserve"> SEQ Figure \* ARABIC </w:instrText>
      </w:r>
      <w:r>
        <w:rPr>
          <w:b/>
          <w:bCs/>
        </w:rPr>
        <w:fldChar w:fldCharType="separate"/>
      </w:r>
      <w:r>
        <w:rPr>
          <w:b/>
          <w:bCs/>
        </w:rPr>
        <w:t>3</w:t>
      </w:r>
      <w:r>
        <w:rPr>
          <w:b/>
          <w:bCs/>
        </w:rPr>
        <w:fldChar w:fldCharType="end"/>
      </w:r>
      <w:r>
        <w:rPr>
          <w:b/>
          <w:bCs/>
        </w:rPr>
        <w:t>.</w:t>
      </w:r>
      <w:r>
        <w:t xml:space="preserve"> (a) The generator model structure, (b) the classifier model structure.</w:t>
      </w:r>
    </w:p>
    <w:p>
      <w:pPr>
        <w:pStyle w:val="3"/>
      </w:pPr>
      <w:r>
        <w:t>References</w:t>
      </w:r>
    </w:p>
    <w:sdt>
      <w:sdtPr>
        <w:rPr>
          <w:rFonts w:hint="eastAsia"/>
        </w:rPr>
        <w:tag w:val="MENDELEY_BIBLIOGRAPHY"/>
        <w:id w:val="2144919072"/>
        <w:placeholder>
          <w:docPart w:val="DefaultPlaceholder_-1854013440"/>
        </w:placeholder>
      </w:sdtPr>
      <w:sdtEndPr>
        <w:rPr>
          <w:rFonts w:hint="eastAsia"/>
        </w:rPr>
      </w:sdtEndPr>
      <w:sdtContent>
        <w:p>
          <w:pPr>
            <w:widowControl/>
            <w:autoSpaceDE w:val="0"/>
            <w:autoSpaceDN w:val="0"/>
            <w:ind w:hanging="640"/>
            <w:jc w:val="left"/>
            <w:rPr>
              <w:rFonts w:eastAsia="Times New Roman"/>
              <w:kern w:val="0"/>
              <w:sz w:val="24"/>
              <w:szCs w:val="24"/>
            </w:rPr>
          </w:pPr>
          <w:r>
            <w:rPr>
              <w:rFonts w:eastAsia="Times New Roman"/>
            </w:rPr>
            <w:t>1.</w:t>
          </w:r>
          <w:r>
            <w:rPr>
              <w:rFonts w:eastAsia="Times New Roman"/>
            </w:rPr>
            <w:tab/>
          </w:r>
          <w:r>
            <w:rPr>
              <w:rFonts w:eastAsia="Times New Roman"/>
            </w:rPr>
            <w:t>DBAASP. DBAASP dataset. https://dbaasp.org/statistics?page=general-statistics (2023).</w:t>
          </w:r>
        </w:p>
        <w:p>
          <w:pPr>
            <w:autoSpaceDE w:val="0"/>
            <w:autoSpaceDN w:val="0"/>
            <w:ind w:hanging="640"/>
            <w:rPr>
              <w:rFonts w:eastAsia="Times New Roman"/>
            </w:rPr>
          </w:pPr>
          <w:r>
            <w:rPr>
              <w:rFonts w:eastAsia="Times New Roman"/>
            </w:rPr>
            <w:t>2.</w:t>
          </w:r>
          <w:r>
            <w:rPr>
              <w:rFonts w:eastAsia="Times New Roman"/>
            </w:rPr>
            <w:tab/>
          </w:r>
          <w:r>
            <w:rPr>
              <w:rFonts w:eastAsia="Times New Roman"/>
            </w:rPr>
            <w:t xml:space="preserve">Capecchi, A. </w:t>
          </w:r>
          <w:r>
            <w:rPr>
              <w:rFonts w:eastAsia="Times New Roman"/>
              <w:i/>
              <w:iCs/>
            </w:rPr>
            <w:t>et al.</w:t>
          </w:r>
          <w:r>
            <w:rPr>
              <w:rFonts w:eastAsia="Times New Roman"/>
            </w:rPr>
            <w:t xml:space="preserve"> Machine learning designs non-hemolytic antimicrobial peptides. </w:t>
          </w:r>
          <w:r>
            <w:rPr>
              <w:rFonts w:eastAsia="Times New Roman"/>
              <w:i/>
              <w:iCs/>
            </w:rPr>
            <w:t>Chem Sci</w:t>
          </w:r>
          <w:r>
            <w:rPr>
              <w:rFonts w:eastAsia="Times New Roman"/>
            </w:rPr>
            <w:t xml:space="preserve"> </w:t>
          </w:r>
          <w:r>
            <w:rPr>
              <w:rFonts w:eastAsia="Times New Roman"/>
              <w:b/>
              <w:bCs/>
            </w:rPr>
            <w:t>12</w:t>
          </w:r>
          <w:r>
            <w:rPr>
              <w:rFonts w:eastAsia="Times New Roman"/>
            </w:rPr>
            <w:t>, 9221–9232 (2021).</w:t>
          </w:r>
        </w:p>
        <w:p>
          <w:pPr>
            <w:autoSpaceDE w:val="0"/>
            <w:autoSpaceDN w:val="0"/>
            <w:ind w:hanging="640"/>
            <w:rPr>
              <w:rFonts w:eastAsia="Times New Roman"/>
            </w:rPr>
          </w:pPr>
          <w:r>
            <w:rPr>
              <w:rFonts w:eastAsia="Times New Roman"/>
            </w:rPr>
            <w:t>3.</w:t>
          </w:r>
          <w:r>
            <w:rPr>
              <w:rFonts w:eastAsia="Times New Roman"/>
            </w:rPr>
            <w:tab/>
          </w:r>
          <w:r>
            <w:rPr>
              <w:rFonts w:eastAsia="Times New Roman"/>
            </w:rPr>
            <w:t xml:space="preserve">Bateman, A. UniProt: a worldwide hub of protein knowledge. </w:t>
          </w:r>
          <w:r>
            <w:rPr>
              <w:rFonts w:eastAsia="Times New Roman"/>
              <w:i/>
              <w:iCs/>
            </w:rPr>
            <w:t>Nucleic Acids Res</w:t>
          </w:r>
          <w:r>
            <w:rPr>
              <w:rFonts w:eastAsia="Times New Roman"/>
            </w:rPr>
            <w:t xml:space="preserve"> </w:t>
          </w:r>
          <w:r>
            <w:rPr>
              <w:rFonts w:eastAsia="Times New Roman"/>
              <w:b/>
              <w:bCs/>
            </w:rPr>
            <w:t>47</w:t>
          </w:r>
          <w:r>
            <w:rPr>
              <w:rFonts w:eastAsia="Times New Roman"/>
            </w:rPr>
            <w:t>, D506–D515 (2019).</w:t>
          </w:r>
        </w:p>
        <w:p>
          <w:pPr>
            <w:autoSpaceDE w:val="0"/>
            <w:autoSpaceDN w:val="0"/>
            <w:ind w:hanging="640"/>
            <w:rPr>
              <w:rFonts w:eastAsia="Times New Roman"/>
            </w:rPr>
          </w:pPr>
          <w:r>
            <w:rPr>
              <w:rFonts w:eastAsia="Times New Roman"/>
            </w:rPr>
            <w:t>4.</w:t>
          </w:r>
          <w:r>
            <w:rPr>
              <w:rFonts w:eastAsia="Times New Roman"/>
            </w:rPr>
            <w:tab/>
          </w:r>
          <w:r>
            <w:rPr>
              <w:rFonts w:eastAsia="Times New Roman"/>
            </w:rPr>
            <w:t xml:space="preserve">Theansungnoen, T. </w:t>
          </w:r>
          <w:r>
            <w:rPr>
              <w:rFonts w:eastAsia="Times New Roman"/>
              <w:i/>
              <w:iCs/>
            </w:rPr>
            <w:t>et al.</w:t>
          </w:r>
          <w:r>
            <w:rPr>
              <w:rFonts w:eastAsia="Times New Roman"/>
            </w:rPr>
            <w:t xml:space="preserve"> Novel non-cytotoxic antimicrobial peptides WSKK11 and WSRR11 with potent activity against Cutibacterium acnes. </w:t>
          </w:r>
          <w:r>
            <w:rPr>
              <w:rFonts w:eastAsia="Times New Roman"/>
              <w:i/>
              <w:iCs/>
            </w:rPr>
            <w:t>Journal of Antimicrobial Chemotherapy</w:t>
          </w:r>
          <w:r>
            <w:rPr>
              <w:rFonts w:eastAsia="Times New Roman"/>
            </w:rPr>
            <w:t xml:space="preserve"> </w:t>
          </w:r>
          <w:r>
            <w:rPr>
              <w:rFonts w:eastAsia="Times New Roman"/>
              <w:b/>
              <w:bCs/>
            </w:rPr>
            <w:t>77</w:t>
          </w:r>
          <w:r>
            <w:rPr>
              <w:rFonts w:eastAsia="Times New Roman"/>
            </w:rPr>
            <w:t>, 1012–1019 (2022).</w:t>
          </w:r>
        </w:p>
        <w:p>
          <w:pPr>
            <w:autoSpaceDE w:val="0"/>
            <w:autoSpaceDN w:val="0"/>
            <w:ind w:hanging="640"/>
            <w:rPr>
              <w:rFonts w:eastAsia="Times New Roman"/>
            </w:rPr>
          </w:pPr>
          <w:r>
            <w:rPr>
              <w:rFonts w:eastAsia="Times New Roman"/>
            </w:rPr>
            <w:t>5.</w:t>
          </w:r>
          <w:r>
            <w:rPr>
              <w:rFonts w:eastAsia="Times New Roman"/>
            </w:rPr>
            <w:tab/>
          </w:r>
          <w:r>
            <w:rPr>
              <w:rFonts w:eastAsia="Times New Roman"/>
            </w:rPr>
            <w:t xml:space="preserve">Rajasekaran, G., Kim, E. Y. &amp; Shin, S. Y. LL-37-derived membrane-active FK-13 analogs possessing cell selectivity, anti-biofilm activity and synergy with chloramphenicol and anti-inflammatory activity. </w:t>
          </w:r>
          <w:r>
            <w:rPr>
              <w:rFonts w:eastAsia="Times New Roman"/>
              <w:i/>
              <w:iCs/>
            </w:rPr>
            <w:t>Biochim Biophys Acta Biomembr</w:t>
          </w:r>
          <w:r>
            <w:rPr>
              <w:rFonts w:eastAsia="Times New Roman"/>
            </w:rPr>
            <w:t xml:space="preserve"> </w:t>
          </w:r>
          <w:r>
            <w:rPr>
              <w:rFonts w:eastAsia="Times New Roman"/>
              <w:b/>
              <w:bCs/>
            </w:rPr>
            <w:t>1859</w:t>
          </w:r>
          <w:r>
            <w:rPr>
              <w:rFonts w:eastAsia="Times New Roman"/>
            </w:rPr>
            <w:t>, 722–733 (2017).</w:t>
          </w:r>
        </w:p>
        <w:p>
          <w:pPr>
            <w:autoSpaceDE w:val="0"/>
            <w:autoSpaceDN w:val="0"/>
            <w:ind w:hanging="640"/>
            <w:rPr>
              <w:rFonts w:eastAsia="Times New Roman"/>
            </w:rPr>
          </w:pPr>
          <w:r>
            <w:rPr>
              <w:rFonts w:eastAsia="Times New Roman"/>
            </w:rPr>
            <w:t>6.</w:t>
          </w:r>
          <w:r>
            <w:rPr>
              <w:rFonts w:eastAsia="Times New Roman"/>
            </w:rPr>
            <w:tab/>
          </w:r>
          <w:r>
            <w:rPr>
              <w:rFonts w:eastAsia="Times New Roman"/>
            </w:rPr>
            <w:t xml:space="preserve">Zhuang, T. </w:t>
          </w:r>
          <w:r>
            <w:rPr>
              <w:rFonts w:eastAsia="Times New Roman"/>
              <w:i/>
              <w:iCs/>
            </w:rPr>
            <w:t>et al.</w:t>
          </w:r>
          <w:r>
            <w:rPr>
              <w:rFonts w:eastAsia="Times New Roman"/>
            </w:rPr>
            <w:t xml:space="preserve"> Tranilast Directly Targets NLRP3 to Protect Melanocytes From Keratinocyte-Derived IL-1β Under Oxidative Stress. </w:t>
          </w:r>
          <w:r>
            <w:rPr>
              <w:rFonts w:eastAsia="Times New Roman"/>
              <w:i/>
              <w:iCs/>
            </w:rPr>
            <w:t>Front Cell Dev Biol</w:t>
          </w:r>
          <w:r>
            <w:rPr>
              <w:rFonts w:eastAsia="Times New Roman"/>
            </w:rPr>
            <w:t xml:space="preserve"> </w:t>
          </w:r>
          <w:r>
            <w:rPr>
              <w:rFonts w:eastAsia="Times New Roman"/>
              <w:b/>
              <w:bCs/>
            </w:rPr>
            <w:t>8</w:t>
          </w:r>
          <w:r>
            <w:rPr>
              <w:rFonts w:eastAsia="Times New Roman"/>
            </w:rPr>
            <w:t>, (2020).</w:t>
          </w:r>
        </w:p>
        <w:p>
          <w:r>
            <w:rPr>
              <w:rFonts w:eastAsia="Times New Roman"/>
            </w:rPr>
            <w:t> </w:t>
          </w:r>
        </w:p>
      </w:sdtContent>
    </w:sdt>
    <w:sectPr>
      <w:pgSz w:w="11906" w:h="16838"/>
      <w:pgMar w:top="1440" w:right="1080" w:bottom="1440" w:left="108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E5C0F"/>
    <w:multiLevelType w:val="multilevel"/>
    <w:tmpl w:val="3ABE5C0F"/>
    <w:lvl w:ilvl="0" w:tentative="0">
      <w:start w:val="1"/>
      <w:numFmt w:val="decimal"/>
      <w:lvlText w:val="%1)"/>
      <w:lvlJc w:val="left"/>
      <w:pPr>
        <w:ind w:left="780" w:hanging="360"/>
      </w:pPr>
      <w:rPr>
        <w:rFonts w:hint="default"/>
        <w:b w:val="0"/>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46C8256A"/>
    <w:multiLevelType w:val="multilevel"/>
    <w:tmpl w:val="46C8256A"/>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revisionView w:markup="0"/>
  <w:trackRevisions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kYWIzZTM4MThiZTk0MDAzOTQ0MzBjNmZlNmM2MTkifQ=="/>
  </w:docVars>
  <w:rsids>
    <w:rsidRoot w:val="00A40080"/>
    <w:rsid w:val="00001A97"/>
    <w:rsid w:val="00010B83"/>
    <w:rsid w:val="00031D82"/>
    <w:rsid w:val="0003782E"/>
    <w:rsid w:val="0004392D"/>
    <w:rsid w:val="00066404"/>
    <w:rsid w:val="00067EBB"/>
    <w:rsid w:val="0007613C"/>
    <w:rsid w:val="00076699"/>
    <w:rsid w:val="00082304"/>
    <w:rsid w:val="000918B3"/>
    <w:rsid w:val="000C45B4"/>
    <w:rsid w:val="000C615B"/>
    <w:rsid w:val="000F1733"/>
    <w:rsid w:val="00102098"/>
    <w:rsid w:val="00135A7C"/>
    <w:rsid w:val="00150008"/>
    <w:rsid w:val="00176451"/>
    <w:rsid w:val="00182575"/>
    <w:rsid w:val="00183D15"/>
    <w:rsid w:val="00184948"/>
    <w:rsid w:val="00184B2C"/>
    <w:rsid w:val="00197AB5"/>
    <w:rsid w:val="001B2558"/>
    <w:rsid w:val="001B4A45"/>
    <w:rsid w:val="001B7636"/>
    <w:rsid w:val="001D4007"/>
    <w:rsid w:val="001E4B15"/>
    <w:rsid w:val="002133CA"/>
    <w:rsid w:val="0023705F"/>
    <w:rsid w:val="00242C5D"/>
    <w:rsid w:val="002640DD"/>
    <w:rsid w:val="00275614"/>
    <w:rsid w:val="002A6277"/>
    <w:rsid w:val="002A7C3D"/>
    <w:rsid w:val="002C4BB4"/>
    <w:rsid w:val="002C61F2"/>
    <w:rsid w:val="002E607A"/>
    <w:rsid w:val="002E6CC0"/>
    <w:rsid w:val="00300E38"/>
    <w:rsid w:val="00314DB4"/>
    <w:rsid w:val="00331145"/>
    <w:rsid w:val="003349C2"/>
    <w:rsid w:val="003477B8"/>
    <w:rsid w:val="003500FC"/>
    <w:rsid w:val="00350277"/>
    <w:rsid w:val="00357DC6"/>
    <w:rsid w:val="00365147"/>
    <w:rsid w:val="003A7AFD"/>
    <w:rsid w:val="003B3976"/>
    <w:rsid w:val="003B7E32"/>
    <w:rsid w:val="003C6559"/>
    <w:rsid w:val="003D2561"/>
    <w:rsid w:val="003D7079"/>
    <w:rsid w:val="003E7364"/>
    <w:rsid w:val="00402397"/>
    <w:rsid w:val="00414572"/>
    <w:rsid w:val="00414BD1"/>
    <w:rsid w:val="00424533"/>
    <w:rsid w:val="00430C2C"/>
    <w:rsid w:val="00443047"/>
    <w:rsid w:val="00455F6D"/>
    <w:rsid w:val="00465D94"/>
    <w:rsid w:val="004A1AAC"/>
    <w:rsid w:val="004B271E"/>
    <w:rsid w:val="004D1F2E"/>
    <w:rsid w:val="004E1746"/>
    <w:rsid w:val="004F7532"/>
    <w:rsid w:val="004F7A0A"/>
    <w:rsid w:val="005012A5"/>
    <w:rsid w:val="005025D6"/>
    <w:rsid w:val="005040C6"/>
    <w:rsid w:val="00515006"/>
    <w:rsid w:val="005248CB"/>
    <w:rsid w:val="00524AAA"/>
    <w:rsid w:val="00543563"/>
    <w:rsid w:val="005870EF"/>
    <w:rsid w:val="005957D5"/>
    <w:rsid w:val="005958EF"/>
    <w:rsid w:val="005C02DA"/>
    <w:rsid w:val="005C694E"/>
    <w:rsid w:val="005D590F"/>
    <w:rsid w:val="005F2242"/>
    <w:rsid w:val="005F4D2D"/>
    <w:rsid w:val="005F725D"/>
    <w:rsid w:val="00614010"/>
    <w:rsid w:val="00632F84"/>
    <w:rsid w:val="006346F1"/>
    <w:rsid w:val="0064510E"/>
    <w:rsid w:val="0065424A"/>
    <w:rsid w:val="006703EE"/>
    <w:rsid w:val="006713E7"/>
    <w:rsid w:val="00675591"/>
    <w:rsid w:val="0069523B"/>
    <w:rsid w:val="00695884"/>
    <w:rsid w:val="00696D35"/>
    <w:rsid w:val="006B085D"/>
    <w:rsid w:val="006C079E"/>
    <w:rsid w:val="006D08F6"/>
    <w:rsid w:val="006D42AF"/>
    <w:rsid w:val="006D5509"/>
    <w:rsid w:val="006E5670"/>
    <w:rsid w:val="006F319B"/>
    <w:rsid w:val="006F4C93"/>
    <w:rsid w:val="006F63FF"/>
    <w:rsid w:val="0070035C"/>
    <w:rsid w:val="007050A6"/>
    <w:rsid w:val="007350CF"/>
    <w:rsid w:val="007576E0"/>
    <w:rsid w:val="00757B09"/>
    <w:rsid w:val="007644F1"/>
    <w:rsid w:val="007663F1"/>
    <w:rsid w:val="007927E2"/>
    <w:rsid w:val="007B7CE5"/>
    <w:rsid w:val="007E3782"/>
    <w:rsid w:val="007E7C06"/>
    <w:rsid w:val="007F41F8"/>
    <w:rsid w:val="008038DB"/>
    <w:rsid w:val="00811CA2"/>
    <w:rsid w:val="00820D52"/>
    <w:rsid w:val="008308B3"/>
    <w:rsid w:val="00832555"/>
    <w:rsid w:val="0085382E"/>
    <w:rsid w:val="00856806"/>
    <w:rsid w:val="0085771C"/>
    <w:rsid w:val="00885E4B"/>
    <w:rsid w:val="008B6162"/>
    <w:rsid w:val="008B7A4A"/>
    <w:rsid w:val="008E4D64"/>
    <w:rsid w:val="008F396E"/>
    <w:rsid w:val="00907B43"/>
    <w:rsid w:val="009161BE"/>
    <w:rsid w:val="00920F56"/>
    <w:rsid w:val="00922C76"/>
    <w:rsid w:val="00925DC9"/>
    <w:rsid w:val="00974836"/>
    <w:rsid w:val="00995C14"/>
    <w:rsid w:val="009C0CAD"/>
    <w:rsid w:val="009F7534"/>
    <w:rsid w:val="00A00292"/>
    <w:rsid w:val="00A12517"/>
    <w:rsid w:val="00A40080"/>
    <w:rsid w:val="00A43D65"/>
    <w:rsid w:val="00A4458F"/>
    <w:rsid w:val="00A52F1D"/>
    <w:rsid w:val="00A61EB3"/>
    <w:rsid w:val="00A87A1D"/>
    <w:rsid w:val="00A90258"/>
    <w:rsid w:val="00A90554"/>
    <w:rsid w:val="00A959B7"/>
    <w:rsid w:val="00AA28DC"/>
    <w:rsid w:val="00AA47AD"/>
    <w:rsid w:val="00AB26D0"/>
    <w:rsid w:val="00AB32EA"/>
    <w:rsid w:val="00AF5B2A"/>
    <w:rsid w:val="00B37D0A"/>
    <w:rsid w:val="00B45862"/>
    <w:rsid w:val="00B62EDE"/>
    <w:rsid w:val="00B642C7"/>
    <w:rsid w:val="00B64C5B"/>
    <w:rsid w:val="00B66A84"/>
    <w:rsid w:val="00B93667"/>
    <w:rsid w:val="00BA1656"/>
    <w:rsid w:val="00BA376D"/>
    <w:rsid w:val="00BC3839"/>
    <w:rsid w:val="00BD26BE"/>
    <w:rsid w:val="00C230D6"/>
    <w:rsid w:val="00C2553A"/>
    <w:rsid w:val="00C31D87"/>
    <w:rsid w:val="00C4243B"/>
    <w:rsid w:val="00C76D43"/>
    <w:rsid w:val="00C835A2"/>
    <w:rsid w:val="00C92173"/>
    <w:rsid w:val="00CB0526"/>
    <w:rsid w:val="00CF5D4A"/>
    <w:rsid w:val="00D00BA9"/>
    <w:rsid w:val="00D15B50"/>
    <w:rsid w:val="00D16A72"/>
    <w:rsid w:val="00D17F1C"/>
    <w:rsid w:val="00D34F22"/>
    <w:rsid w:val="00D362D4"/>
    <w:rsid w:val="00D47C19"/>
    <w:rsid w:val="00D56954"/>
    <w:rsid w:val="00D56DEC"/>
    <w:rsid w:val="00D61A30"/>
    <w:rsid w:val="00D66AFB"/>
    <w:rsid w:val="00D90431"/>
    <w:rsid w:val="00DA288B"/>
    <w:rsid w:val="00DA39B2"/>
    <w:rsid w:val="00DB2CCF"/>
    <w:rsid w:val="00DC661E"/>
    <w:rsid w:val="00DF1A18"/>
    <w:rsid w:val="00DF5399"/>
    <w:rsid w:val="00DF78D9"/>
    <w:rsid w:val="00DF7E32"/>
    <w:rsid w:val="00E15977"/>
    <w:rsid w:val="00E1621C"/>
    <w:rsid w:val="00E26644"/>
    <w:rsid w:val="00E4238E"/>
    <w:rsid w:val="00E47BEE"/>
    <w:rsid w:val="00E57732"/>
    <w:rsid w:val="00E607E3"/>
    <w:rsid w:val="00E65C38"/>
    <w:rsid w:val="00E719E2"/>
    <w:rsid w:val="00E914C5"/>
    <w:rsid w:val="00E91B04"/>
    <w:rsid w:val="00E91D70"/>
    <w:rsid w:val="00E96A4B"/>
    <w:rsid w:val="00EC6542"/>
    <w:rsid w:val="00ED0402"/>
    <w:rsid w:val="00ED4DF5"/>
    <w:rsid w:val="00EE0E11"/>
    <w:rsid w:val="00EE789F"/>
    <w:rsid w:val="00F0778B"/>
    <w:rsid w:val="00F10E83"/>
    <w:rsid w:val="00F158E4"/>
    <w:rsid w:val="00F32644"/>
    <w:rsid w:val="00F4686A"/>
    <w:rsid w:val="00F54DF9"/>
    <w:rsid w:val="00F76F9F"/>
    <w:rsid w:val="00F85282"/>
    <w:rsid w:val="00FC0276"/>
    <w:rsid w:val="00FC0FAA"/>
    <w:rsid w:val="029D33DC"/>
    <w:rsid w:val="38A662D0"/>
    <w:rsid w:val="4A4467C9"/>
    <w:rsid w:val="52544290"/>
    <w:rsid w:val="62980CCF"/>
    <w:rsid w:val="702459EC"/>
    <w:rsid w:val="78727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name="footnote reference"/>
    <w:lsdException w:unhideWhenUsed="0" w:uiPriority="0" w:name="annotation reference"/>
    <w:lsdException w:unhideWhenUsed="0" w:uiPriority="0" w:name="line number"/>
    <w:lsdException w:uiPriority="99" w:name="page number"/>
    <w:lsdException w:unhideWhenUsed="0" w:uiPriority="0" w:name="endnote reference"/>
    <w:lsdException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name="annotation subject"/>
    <w:lsdException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2"/>
      <w:szCs w:val="22"/>
      <w:lang w:val="en-US" w:eastAsia="zh-CN" w:bidi="ar-SA"/>
    </w:rPr>
  </w:style>
  <w:style w:type="paragraph" w:styleId="2">
    <w:name w:val="heading 1"/>
    <w:basedOn w:val="1"/>
    <w:next w:val="1"/>
    <w:link w:val="25"/>
    <w:qFormat/>
    <w:uiPriority w:val="9"/>
    <w:pPr>
      <w:keepNext/>
      <w:keepLines/>
      <w:spacing w:before="340" w:after="330"/>
      <w:jc w:val="left"/>
      <w:outlineLvl w:val="0"/>
    </w:pPr>
    <w:rPr>
      <w:b/>
      <w:kern w:val="44"/>
      <w:sz w:val="36"/>
      <w:szCs w:val="44"/>
    </w:rPr>
  </w:style>
  <w:style w:type="paragraph" w:styleId="3">
    <w:name w:val="heading 2"/>
    <w:basedOn w:val="1"/>
    <w:next w:val="1"/>
    <w:link w:val="28"/>
    <w:unhideWhenUsed/>
    <w:qFormat/>
    <w:uiPriority w:val="9"/>
    <w:pPr>
      <w:spacing w:before="260" w:after="260"/>
      <w:jc w:val="left"/>
      <w:outlineLvl w:val="1"/>
    </w:pPr>
    <w:rPr>
      <w:b/>
      <w:sz w:val="30"/>
    </w:rPr>
  </w:style>
  <w:style w:type="paragraph" w:styleId="4">
    <w:name w:val="heading 3"/>
    <w:basedOn w:val="1"/>
    <w:next w:val="1"/>
    <w:link w:val="29"/>
    <w:unhideWhenUsed/>
    <w:qFormat/>
    <w:uiPriority w:val="9"/>
    <w:pPr>
      <w:spacing w:before="120" w:after="120"/>
      <w:ind w:left="360" w:hanging="360"/>
      <w:jc w:val="left"/>
      <w:outlineLvl w:val="2"/>
    </w:pPr>
    <w:rPr>
      <w:rFonts w:eastAsia="Times New Roman"/>
      <w:b/>
      <w:bCs/>
      <w:sz w:val="28"/>
    </w:rPr>
  </w:style>
  <w:style w:type="paragraph" w:styleId="5">
    <w:name w:val="heading 4"/>
    <w:basedOn w:val="1"/>
    <w:next w:val="1"/>
    <w:link w:val="30"/>
    <w:unhideWhenUsed/>
    <w:qFormat/>
    <w:uiPriority w:val="9"/>
    <w:pPr>
      <w:keepNext/>
      <w:keepLines/>
      <w:spacing w:before="280" w:after="290"/>
      <w:outlineLvl w:val="3"/>
    </w:pPr>
    <w:rPr>
      <w:rFonts w:eastAsia="Times New Roman" w:cstheme="majorBidi"/>
      <w:b/>
      <w:bCs/>
      <w:sz w:val="24"/>
      <w:szCs w:val="28"/>
    </w:rPr>
  </w:style>
  <w:style w:type="paragraph" w:styleId="6">
    <w:name w:val="heading 5"/>
    <w:basedOn w:val="1"/>
    <w:next w:val="1"/>
    <w:link w:val="31"/>
    <w:semiHidden/>
    <w:unhideWhenUsed/>
    <w:qFormat/>
    <w:uiPriority w:val="9"/>
    <w:pPr>
      <w:keepNext/>
      <w:keepLines/>
      <w:spacing w:before="280" w:after="290" w:line="376" w:lineRule="auto"/>
      <w:outlineLvl w:val="4"/>
    </w:pPr>
    <w:rPr>
      <w:b/>
      <w:bCs/>
      <w:szCs w:val="28"/>
    </w:rPr>
  </w:style>
  <w:style w:type="character" w:default="1" w:styleId="19">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pacing w:line="360" w:lineRule="auto"/>
    </w:pPr>
    <w:rPr>
      <w:rFonts w:eastAsia="黑体" w:cs="Times New Roman"/>
      <w:sz w:val="20"/>
      <w:szCs w:val="20"/>
    </w:rPr>
  </w:style>
  <w:style w:type="paragraph" w:styleId="8">
    <w:name w:val="annotation text"/>
    <w:basedOn w:val="1"/>
    <w:link w:val="36"/>
    <w:qFormat/>
    <w:uiPriority w:val="0"/>
    <w:pPr>
      <w:jc w:val="left"/>
    </w:pPr>
  </w:style>
  <w:style w:type="paragraph" w:styleId="9">
    <w:name w:val="endnote text"/>
    <w:link w:val="41"/>
    <w:semiHidden/>
    <w:uiPriority w:val="0"/>
    <w:rPr>
      <w:rFonts w:asciiTheme="minorHAnsi" w:hAnsiTheme="minorHAnsi" w:eastAsiaTheme="minorEastAsia" w:cstheme="minorBidi"/>
      <w:kern w:val="2"/>
      <w:sz w:val="20"/>
      <w:szCs w:val="20"/>
      <w:lang w:val="en-US" w:eastAsia="zh-CN" w:bidi="ar-SA"/>
    </w:rPr>
  </w:style>
  <w:style w:type="paragraph" w:styleId="10">
    <w:name w:val="footer"/>
    <w:basedOn w:val="1"/>
    <w:link w:val="34"/>
    <w:uiPriority w:val="0"/>
    <w:pPr>
      <w:tabs>
        <w:tab w:val="center" w:pos="4153"/>
        <w:tab w:val="right" w:pos="8306"/>
      </w:tabs>
      <w:jc w:val="left"/>
    </w:pPr>
    <w:rPr>
      <w:sz w:val="18"/>
      <w:szCs w:val="18"/>
    </w:rPr>
  </w:style>
  <w:style w:type="paragraph" w:styleId="11">
    <w:name w:val="header"/>
    <w:basedOn w:val="1"/>
    <w:link w:val="33"/>
    <w:uiPriority w:val="0"/>
    <w:pPr>
      <w:pBdr>
        <w:bottom w:val="single" w:color="auto" w:sz="6" w:space="1"/>
      </w:pBdr>
      <w:tabs>
        <w:tab w:val="center" w:pos="4153"/>
        <w:tab w:val="right" w:pos="8306"/>
      </w:tabs>
      <w:jc w:val="center"/>
    </w:pPr>
    <w:rPr>
      <w:sz w:val="18"/>
      <w:szCs w:val="18"/>
    </w:rPr>
  </w:style>
  <w:style w:type="paragraph" w:styleId="12">
    <w:name w:val="Subtitle"/>
    <w:basedOn w:val="1"/>
    <w:next w:val="1"/>
    <w:link w:val="45"/>
    <w:qFormat/>
    <w:uiPriority w:val="11"/>
    <w:pPr>
      <w:spacing w:before="240" w:after="60" w:line="312" w:lineRule="auto"/>
      <w:jc w:val="center"/>
      <w:outlineLvl w:val="1"/>
    </w:pPr>
    <w:rPr>
      <w:rFonts w:asciiTheme="minorHAnsi" w:hAnsiTheme="minorHAnsi"/>
      <w:b/>
      <w:bCs/>
      <w:kern w:val="28"/>
      <w:sz w:val="32"/>
      <w:szCs w:val="32"/>
    </w:rPr>
  </w:style>
  <w:style w:type="paragraph" w:styleId="13">
    <w:name w:val="footnote text"/>
    <w:basedOn w:val="1"/>
    <w:link w:val="38"/>
    <w:semiHidden/>
    <w:qFormat/>
    <w:uiPriority w:val="0"/>
    <w:pPr>
      <w:jc w:val="left"/>
    </w:pPr>
    <w:rPr>
      <w:sz w:val="18"/>
      <w:szCs w:val="18"/>
    </w:rPr>
  </w:style>
  <w:style w:type="paragraph" w:styleId="14">
    <w:name w:val="Title"/>
    <w:basedOn w:val="1"/>
    <w:next w:val="1"/>
    <w:link w:val="32"/>
    <w:qFormat/>
    <w:uiPriority w:val="10"/>
    <w:pPr>
      <w:spacing w:before="240" w:after="60"/>
      <w:jc w:val="center"/>
      <w:outlineLvl w:val="0"/>
    </w:pPr>
    <w:rPr>
      <w:rFonts w:cstheme="majorBidi"/>
      <w:b/>
      <w:bCs/>
      <w:sz w:val="44"/>
      <w:szCs w:val="24"/>
    </w:rPr>
  </w:style>
  <w:style w:type="paragraph" w:styleId="15">
    <w:name w:val="annotation subject"/>
    <w:basedOn w:val="8"/>
    <w:next w:val="8"/>
    <w:link w:val="37"/>
    <w:semiHidden/>
    <w:uiPriority w:val="0"/>
    <w:rPr>
      <w:b/>
      <w:bCs/>
    </w:rPr>
  </w:style>
  <w:style w:type="table" w:styleId="17">
    <w:name w:val="Table Grid"/>
    <w:basedOn w:val="16"/>
    <w:qFormat/>
    <w:uiPriority w:val="0"/>
    <w:pPr>
      <w:widowControl w:val="0"/>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8">
    <w:name w:val="Table Simple 1"/>
    <w:basedOn w:val="16"/>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20">
    <w:name w:val="endnote reference"/>
    <w:semiHidden/>
    <w:uiPriority w:val="0"/>
    <w:rPr>
      <w:vertAlign w:val="superscript"/>
    </w:rPr>
  </w:style>
  <w:style w:type="character" w:styleId="21">
    <w:name w:val="line number"/>
    <w:basedOn w:val="19"/>
    <w:semiHidden/>
    <w:uiPriority w:val="0"/>
  </w:style>
  <w:style w:type="character" w:styleId="22">
    <w:name w:val="Hyperlink"/>
    <w:basedOn w:val="19"/>
    <w:uiPriority w:val="0"/>
    <w:rPr>
      <w:color w:val="0563C1" w:themeColor="hyperlink"/>
      <w:u w:val="single"/>
      <w14:textFill>
        <w14:solidFill>
          <w14:schemeClr w14:val="hlink"/>
        </w14:solidFill>
      </w14:textFill>
    </w:rPr>
  </w:style>
  <w:style w:type="character" w:styleId="23">
    <w:name w:val="annotation reference"/>
    <w:basedOn w:val="19"/>
    <w:semiHidden/>
    <w:uiPriority w:val="0"/>
    <w:rPr>
      <w:sz w:val="21"/>
      <w:szCs w:val="21"/>
    </w:rPr>
  </w:style>
  <w:style w:type="character" w:styleId="24">
    <w:name w:val="footnote reference"/>
    <w:basedOn w:val="19"/>
    <w:semiHidden/>
    <w:uiPriority w:val="0"/>
    <w:rPr>
      <w:vertAlign w:val="superscript"/>
    </w:rPr>
  </w:style>
  <w:style w:type="character" w:customStyle="1" w:styleId="25">
    <w:name w:val="标题 1 字符"/>
    <w:basedOn w:val="19"/>
    <w:link w:val="2"/>
    <w:uiPriority w:val="9"/>
    <w:rPr>
      <w:rFonts w:ascii="Times New Roman" w:hAnsi="Times New Roman"/>
      <w:b/>
      <w:kern w:val="44"/>
      <w:sz w:val="36"/>
      <w:szCs w:val="44"/>
    </w:rPr>
  </w:style>
  <w:style w:type="paragraph" w:styleId="26">
    <w:name w:val="List Paragraph"/>
    <w:basedOn w:val="1"/>
    <w:qFormat/>
    <w:uiPriority w:val="0"/>
    <w:pPr>
      <w:ind w:firstLine="420"/>
    </w:pPr>
  </w:style>
  <w:style w:type="paragraph" w:customStyle="1" w:styleId="27">
    <w:name w:val="Revision"/>
    <w:hidden/>
    <w:semiHidden/>
    <w:uiPriority w:val="0"/>
    <w:rPr>
      <w:rFonts w:asciiTheme="minorHAnsi" w:hAnsiTheme="minorHAnsi" w:eastAsiaTheme="minorEastAsia" w:cstheme="minorBidi"/>
      <w:kern w:val="2"/>
      <w:sz w:val="21"/>
      <w:szCs w:val="22"/>
      <w:lang w:val="en-US" w:eastAsia="zh-CN" w:bidi="ar-SA"/>
    </w:rPr>
  </w:style>
  <w:style w:type="character" w:customStyle="1" w:styleId="28">
    <w:name w:val="标题 2 字符"/>
    <w:basedOn w:val="19"/>
    <w:link w:val="3"/>
    <w:uiPriority w:val="9"/>
    <w:rPr>
      <w:rFonts w:ascii="Times New Roman" w:hAnsi="Times New Roman"/>
      <w:b/>
      <w:sz w:val="30"/>
    </w:rPr>
  </w:style>
  <w:style w:type="character" w:customStyle="1" w:styleId="29">
    <w:name w:val="标题 3 字符"/>
    <w:basedOn w:val="19"/>
    <w:link w:val="4"/>
    <w:uiPriority w:val="9"/>
    <w:rPr>
      <w:rFonts w:ascii="Times New Roman" w:hAnsi="Times New Roman" w:eastAsia="Times New Roman"/>
      <w:b/>
      <w:bCs/>
      <w:sz w:val="28"/>
    </w:rPr>
  </w:style>
  <w:style w:type="character" w:customStyle="1" w:styleId="30">
    <w:name w:val="标题 4 字符"/>
    <w:basedOn w:val="19"/>
    <w:link w:val="5"/>
    <w:uiPriority w:val="9"/>
    <w:rPr>
      <w:rFonts w:ascii="Times New Roman" w:hAnsi="Times New Roman" w:eastAsia="Times New Roman" w:cstheme="majorBidi"/>
      <w:b/>
      <w:bCs/>
      <w:sz w:val="24"/>
      <w:szCs w:val="28"/>
    </w:rPr>
  </w:style>
  <w:style w:type="character" w:customStyle="1" w:styleId="31">
    <w:name w:val="标题 5 字符"/>
    <w:basedOn w:val="19"/>
    <w:link w:val="6"/>
    <w:uiPriority w:val="0"/>
    <w:rPr>
      <w:b/>
      <w:bCs/>
      <w:szCs w:val="28"/>
    </w:rPr>
  </w:style>
  <w:style w:type="character" w:customStyle="1" w:styleId="32">
    <w:name w:val="标题 字符"/>
    <w:basedOn w:val="19"/>
    <w:link w:val="14"/>
    <w:uiPriority w:val="10"/>
    <w:rPr>
      <w:rFonts w:ascii="Times New Roman" w:hAnsi="Times New Roman" w:cstheme="majorBidi"/>
      <w:b/>
      <w:bCs/>
      <w:sz w:val="44"/>
      <w:szCs w:val="24"/>
    </w:rPr>
  </w:style>
  <w:style w:type="character" w:customStyle="1" w:styleId="33">
    <w:name w:val="页眉 字符"/>
    <w:basedOn w:val="19"/>
    <w:link w:val="11"/>
    <w:uiPriority w:val="0"/>
    <w:rPr>
      <w:sz w:val="18"/>
      <w:szCs w:val="18"/>
    </w:rPr>
  </w:style>
  <w:style w:type="character" w:customStyle="1" w:styleId="34">
    <w:name w:val="页脚 字符"/>
    <w:basedOn w:val="19"/>
    <w:link w:val="10"/>
    <w:uiPriority w:val="0"/>
    <w:rPr>
      <w:sz w:val="18"/>
      <w:szCs w:val="18"/>
    </w:rPr>
  </w:style>
  <w:style w:type="character" w:customStyle="1" w:styleId="35">
    <w:name w:val="Placeholder Text1"/>
    <w:basedOn w:val="19"/>
    <w:semiHidden/>
    <w:uiPriority w:val="0"/>
    <w:rPr>
      <w:color w:val="808080"/>
    </w:rPr>
  </w:style>
  <w:style w:type="character" w:customStyle="1" w:styleId="36">
    <w:name w:val="批注文字 字符"/>
    <w:basedOn w:val="19"/>
    <w:link w:val="8"/>
    <w:uiPriority w:val="0"/>
  </w:style>
  <w:style w:type="character" w:customStyle="1" w:styleId="37">
    <w:name w:val="批注主题 字符"/>
    <w:basedOn w:val="36"/>
    <w:link w:val="15"/>
    <w:semiHidden/>
    <w:uiPriority w:val="0"/>
    <w:rPr>
      <w:b/>
      <w:bCs/>
    </w:rPr>
  </w:style>
  <w:style w:type="character" w:customStyle="1" w:styleId="38">
    <w:name w:val="脚注文本 字符"/>
    <w:basedOn w:val="19"/>
    <w:link w:val="13"/>
    <w:semiHidden/>
    <w:uiPriority w:val="0"/>
    <w:rPr>
      <w:sz w:val="18"/>
      <w:szCs w:val="18"/>
    </w:rPr>
  </w:style>
  <w:style w:type="character" w:customStyle="1" w:styleId="39">
    <w:name w:val="Unresolved Mention1"/>
    <w:basedOn w:val="19"/>
    <w:semiHidden/>
    <w:uiPriority w:val="0"/>
    <w:rPr>
      <w:color w:val="605E5C"/>
      <w:shd w:val="clear" w:color="auto" w:fill="E1DFDD"/>
    </w:rPr>
  </w:style>
  <w:style w:type="character" w:customStyle="1" w:styleId="40">
    <w:name w:val="Footnote Text Char"/>
    <w:semiHidden/>
    <w:uiPriority w:val="0"/>
    <w:rPr>
      <w:sz w:val="20"/>
      <w:szCs w:val="20"/>
    </w:rPr>
  </w:style>
  <w:style w:type="character" w:customStyle="1" w:styleId="41">
    <w:name w:val="尾注文本 字符"/>
    <w:link w:val="9"/>
    <w:semiHidden/>
    <w:uiPriority w:val="0"/>
    <w:rPr>
      <w:sz w:val="20"/>
      <w:szCs w:val="20"/>
    </w:rPr>
  </w:style>
  <w:style w:type="character" w:styleId="42">
    <w:name w:val="Placeholder Text"/>
    <w:basedOn w:val="19"/>
    <w:semiHidden/>
    <w:uiPriority w:val="99"/>
    <w:rPr>
      <w:color w:val="808080"/>
    </w:rPr>
  </w:style>
  <w:style w:type="character" w:customStyle="1" w:styleId="43">
    <w:name w:val="Unresolved Mention"/>
    <w:basedOn w:val="19"/>
    <w:semiHidden/>
    <w:unhideWhenUsed/>
    <w:uiPriority w:val="99"/>
    <w:rPr>
      <w:color w:val="605E5C"/>
      <w:shd w:val="clear" w:color="auto" w:fill="E1DFDD"/>
    </w:rPr>
  </w:style>
  <w:style w:type="paragraph" w:customStyle="1" w:styleId="44">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character" w:customStyle="1" w:styleId="45">
    <w:name w:val="副标题 字符"/>
    <w:basedOn w:val="19"/>
    <w:link w:val="12"/>
    <w:qFormat/>
    <w:uiPriority w:val="11"/>
    <w:rPr>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84DBFAE-2639-4B5E-9C26-E30E8F482997}"/>
      </w:docPartPr>
      <w:docPartBody>
        <w:p>
          <w:r>
            <w:rPr>
              <w:rStyle w:val="4"/>
            </w:rPr>
            <w:t>单击或点击此处输入文字。</w:t>
          </w:r>
        </w:p>
      </w:docPartBody>
    </w:docPart>
    <w:docPart>
      <w:docPartPr>
        <w:name w:val="D2311301DEE0476F91E27C787E55D460"/>
        <w:style w:val=""/>
        <w:category>
          <w:name w:val="常规"/>
          <w:gallery w:val="placeholder"/>
        </w:category>
        <w:types>
          <w:type w:val="bbPlcHdr"/>
        </w:types>
        <w:behaviors>
          <w:behavior w:val="content"/>
        </w:behaviors>
        <w:description w:val=""/>
        <w:guid w:val="{F01C25DA-43FE-4FD5-8168-42B1B6E29CA2}"/>
      </w:docPartPr>
      <w:docPartBody>
        <w:p>
          <w:pPr>
            <w:pStyle w:val="7"/>
          </w:pPr>
          <w:r>
            <w:rPr>
              <w:rStyle w:val="4"/>
            </w:rPr>
            <w:t>单击或点击此处输入文字。</w:t>
          </w:r>
        </w:p>
      </w:docPartBody>
    </w:docPart>
    <w:docPart>
      <w:docPartPr>
        <w:name w:val="8494947581AC4DBAADA6EC4057F0A46A"/>
        <w:style w:val=""/>
        <w:category>
          <w:name w:val="常规"/>
          <w:gallery w:val="placeholder"/>
        </w:category>
        <w:types>
          <w:type w:val="bbPlcHdr"/>
        </w:types>
        <w:behaviors>
          <w:behavior w:val="content"/>
        </w:behaviors>
        <w:description w:val=""/>
        <w:guid w:val="{B84D80F5-9A83-4450-BC8E-90F011ED1BFA}"/>
      </w:docPartPr>
      <w:docPartBody>
        <w:p>
          <w:pPr>
            <w:pStyle w:val="5"/>
          </w:pPr>
          <w:r>
            <w:rPr>
              <w:rStyle w:val="4"/>
            </w:rPr>
            <w:t>单击或点击此处输入文字。</w:t>
          </w:r>
        </w:p>
      </w:docPartBody>
    </w:docPart>
    <w:docPart>
      <w:docPartPr>
        <w:name w:val="64A6A75F7F1844BDAD61F38A5FD8C3E2"/>
        <w:style w:val=""/>
        <w:category>
          <w:name w:val="常规"/>
          <w:gallery w:val="placeholder"/>
        </w:category>
        <w:types>
          <w:type w:val="bbPlcHdr"/>
        </w:types>
        <w:behaviors>
          <w:behavior w:val="content"/>
        </w:behaviors>
        <w:description w:val=""/>
        <w:guid w:val="{EE1FDBDC-3089-4239-B3F9-C06715254CD1}"/>
      </w:docPartPr>
      <w:docPartBody>
        <w:p>
          <w:pPr>
            <w:pStyle w:val="6"/>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B1"/>
    <w:rsid w:val="00072C7E"/>
    <w:rsid w:val="00183EA6"/>
    <w:rsid w:val="001A531D"/>
    <w:rsid w:val="003170CB"/>
    <w:rsid w:val="00447212"/>
    <w:rsid w:val="0046774C"/>
    <w:rsid w:val="004E55B1"/>
    <w:rsid w:val="005624BA"/>
    <w:rsid w:val="005C18F7"/>
    <w:rsid w:val="006C61BD"/>
    <w:rsid w:val="007218EF"/>
    <w:rsid w:val="008F49CD"/>
    <w:rsid w:val="00A53FEF"/>
    <w:rsid w:val="00A83956"/>
    <w:rsid w:val="00B31DD5"/>
    <w:rsid w:val="00CF0E38"/>
    <w:rsid w:val="00DD1E5B"/>
    <w:rsid w:val="00F7362A"/>
    <w:rsid w:val="00FC4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94947581AC4DBAADA6EC4057F0A46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64A6A75F7F1844BDAD61F38A5FD8C3E2"/>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D2311301DEE0476F91E27C787E55D460"/>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ec_doc_trace ID="5b3a98e6-caf5-422f-a953-f0715244465a">
  <item id="8C3458D1-42D2-47BB-8B11-69A9B1E0F4BD" uid="WQRGT35M" time="1696235721" trigger_process=""/>
  <item id="8C3458D1-42D2-47BB-8B11-69A9B1E0F4BD" uid="YIAKNUGA" time="1697010520" trigger_process=""/>
</nsec_doc_tra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847AA-00F1-425A-B625-82E134941E8C}">
  <ds:schemaRefs/>
</ds:datastoreItem>
</file>

<file path=customXml/itemProps2.xml><?xml version="1.0" encoding="utf-8"?>
<ds:datastoreItem xmlns:ds="http://schemas.openxmlformats.org/officeDocument/2006/customXml" ds:itemID="{DB1B6D89-D717-40E1-B337-B793FAF60E3F}">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1290</Words>
  <Characters>7353</Characters>
  <Lines>61</Lines>
  <Paragraphs>17</Paragraphs>
  <TotalTime>24</TotalTime>
  <ScaleCrop>false</ScaleCrop>
  <LinksUpToDate>false</LinksUpToDate>
  <CharactersWithSpaces>8626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2023-10-31T09:43:00Z</dcterms:created>
  <dc:creator>dong rocke</dc:creator>
  <cp:lastModifiedBy>缪滢</cp:lastModifiedBy>
  <dcterms:modified xsi:type="dcterms:W3CDTF">2023-11-01T09:26:35Z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2D3152C03F424A6CA20AAE3C544BC39E_13</vt:lpwstr>
  </property>
</Properties>
</file>