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8631EE" w14:textId="77777777" w:rsidR="0005574A" w:rsidRPr="00665737" w:rsidRDefault="0005574A" w:rsidP="00665737">
      <w:pPr>
        <w:jc w:val="center"/>
        <w:rPr>
          <w:rFonts w:ascii="Times New Roman" w:hAnsi="Times New Roman" w:cs="Times New Roman"/>
          <w:b/>
          <w:sz w:val="28"/>
          <w:szCs w:val="28"/>
        </w:rPr>
      </w:pPr>
      <w:r w:rsidRPr="00665737">
        <w:rPr>
          <w:rFonts w:ascii="Times New Roman" w:hAnsi="Times New Roman" w:cs="Times New Roman"/>
          <w:b/>
          <w:sz w:val="28"/>
          <w:szCs w:val="28"/>
        </w:rPr>
        <w:t>Appendix S1</w:t>
      </w:r>
    </w:p>
    <w:p w14:paraId="5E772E97" w14:textId="0562FCBA" w:rsidR="0005574A" w:rsidRDefault="0005574A" w:rsidP="0005574A">
      <w:pPr>
        <w:rPr>
          <w:rFonts w:ascii="Times New Roman" w:hAnsi="Times New Roman" w:cs="Times New Roman"/>
          <w:b/>
        </w:rPr>
      </w:pPr>
      <w:r>
        <w:rPr>
          <w:rFonts w:ascii="Times New Roman" w:hAnsi="Times New Roman" w:cs="Times New Roman"/>
          <w:b/>
        </w:rPr>
        <w:t>Reviewing the ecological evidence-base for management of emerging tropical zoonoses: Kyasanur Forest Disease in India as a case study</w:t>
      </w:r>
    </w:p>
    <w:p w14:paraId="00B38D08" w14:textId="5AAC7F11" w:rsidR="000459FB" w:rsidRDefault="000459FB" w:rsidP="000459FB">
      <w:pPr>
        <w:rPr>
          <w:rFonts w:ascii="Times New Roman" w:hAnsi="Times New Roman" w:cs="Times New Roman"/>
        </w:rPr>
      </w:pPr>
    </w:p>
    <w:p w14:paraId="2F556BAF" w14:textId="51B354FF" w:rsidR="00D03F73" w:rsidRDefault="00D03F73" w:rsidP="00D03F73">
      <w:pPr>
        <w:spacing w:after="0" w:line="240" w:lineRule="auto"/>
      </w:pPr>
      <w:r w:rsidRPr="00A927D2">
        <w:rPr>
          <w:rFonts w:cstheme="minorHAnsi"/>
          <w:b/>
        </w:rPr>
        <w:t>Table S1:</w:t>
      </w:r>
      <w:r w:rsidRPr="00A927D2">
        <w:rPr>
          <w:rFonts w:cstheme="minorHAnsi"/>
        </w:rPr>
        <w:t xml:space="preserve"> Details of the current management practices recommended for preventing human cases of KFD in the Western Ghats area of India. Current management practices undertaken to prevent human cases of KFD were identified based on a number of guidance documents and sources originating from the National Centre for Disease Control and the Department of Health and Family Welfare Services: a guidance bulletin </w:t>
      </w:r>
      <w:r w:rsidRPr="00A927D2">
        <w:rPr>
          <w:rFonts w:cstheme="minorHAnsi"/>
        </w:rPr>
        <w:fldChar w:fldCharType="begin"/>
      </w:r>
      <w:r w:rsidR="00AB185F">
        <w:rPr>
          <w:rFonts w:cstheme="minorHAnsi"/>
        </w:rPr>
        <w:instrText>ADDIN F1000_CSL_CITATION&lt;~#@#~&gt;[{"title":"Kyasanur Forest Disease: a public health concern","id":"8283724","type":"article-journal","author":[{"family":"National Centre for Disease Control"}],"issued":{"date-parts":[["2019"]]},"URL":"https://idsp.nic.in/WriteReadData/l892s/60398414361527247979.pdf","accessed":{"date-parts":[["2020","2","25"]]},"citation-label":"8283724","CleanAbstract":"No abstract available"}]</w:instrText>
      </w:r>
      <w:r w:rsidRPr="00A927D2">
        <w:rPr>
          <w:rFonts w:cstheme="minorHAnsi"/>
        </w:rPr>
        <w:fldChar w:fldCharType="separate"/>
      </w:r>
      <w:r w:rsidRPr="00A927D2">
        <w:rPr>
          <w:rFonts w:cstheme="minorHAnsi"/>
        </w:rPr>
        <w:t>(1)</w:t>
      </w:r>
      <w:r w:rsidRPr="00A927D2">
        <w:rPr>
          <w:rFonts w:cstheme="minorHAnsi"/>
        </w:rPr>
        <w:fldChar w:fldCharType="end"/>
      </w:r>
      <w:r w:rsidRPr="00A927D2">
        <w:rPr>
          <w:rFonts w:cstheme="minorHAnsi"/>
        </w:rPr>
        <w:t xml:space="preserve">, a manual of KFD </w:t>
      </w:r>
      <w:r w:rsidRPr="00A927D2">
        <w:rPr>
          <w:rFonts w:cstheme="minorHAnsi"/>
        </w:rPr>
        <w:fldChar w:fldCharType="begin"/>
      </w:r>
      <w:r w:rsidR="00AB185F">
        <w:rPr>
          <w:rFonts w:cstheme="minorHAnsi"/>
        </w:rPr>
        <w:instrText>ADDIN F1000_CSL_CITATION&lt;~#@#~&gt;[{"title":"Manual on Kyasanur Forest Disease","id":"8283759","type":"report","publisher":"Directorate of Health and Family Welfare Services, Govt of Karnataka","author":[{"family":"Directorate of Health and Family Welfare Services, Govt of Karnataka"}],"issued":{"date-parts":[["2005"]]},"citation-label":"8283759","CleanAbstract":"No abstract available"}]</w:instrText>
      </w:r>
      <w:r w:rsidRPr="00A927D2">
        <w:rPr>
          <w:rFonts w:cstheme="minorHAnsi"/>
        </w:rPr>
        <w:fldChar w:fldCharType="separate"/>
      </w:r>
      <w:r w:rsidRPr="00A927D2">
        <w:rPr>
          <w:rFonts w:cstheme="minorHAnsi"/>
        </w:rPr>
        <w:t>(2)</w:t>
      </w:r>
      <w:r w:rsidRPr="00A927D2">
        <w:rPr>
          <w:rFonts w:cstheme="minorHAnsi"/>
        </w:rPr>
        <w:fldChar w:fldCharType="end"/>
      </w:r>
      <w:r>
        <w:rPr>
          <w:rFonts w:cstheme="minorHAnsi"/>
        </w:rPr>
        <w:t>.</w:t>
      </w:r>
      <w:r w:rsidRPr="00A927D2">
        <w:rPr>
          <w:rFonts w:cstheme="minorHAnsi"/>
        </w:rPr>
        <w:t xml:space="preserve"> The management</w:t>
      </w:r>
      <w:r>
        <w:t xml:space="preserve"> type indicates whether the measure targets reservoir hosts, vectors or human hosts and which barrier to human spillover the management addresses (see Figure 1 in the main paper). We detail</w:t>
      </w:r>
      <w:r w:rsidRPr="00502244">
        <w:t xml:space="preserve"> the main assumptions underpinning the management advice in terms of how such practice would reduce human transmiss</w:t>
      </w:r>
      <w:r>
        <w:t xml:space="preserve">ion via infected tick bites, </w:t>
      </w:r>
      <w:r w:rsidRPr="00502244">
        <w:t>review the empirical support for the assumptions made</w:t>
      </w:r>
      <w:r>
        <w:t xml:space="preserve">. We detail responses from key informant interviews undertaken within the KFD endemic area, relating to how the current management recommendations for preventing human cases of KFD are being applied in the field in order to illustrate challenges or misconceptions associated with management practices. Finally, based on the balance of supporting empirical evidence, we recommend </w:t>
      </w:r>
      <w:r w:rsidRPr="00502244">
        <w:t xml:space="preserve">whether the </w:t>
      </w:r>
      <w:r>
        <w:t xml:space="preserve">current </w:t>
      </w:r>
      <w:r w:rsidRPr="00502244">
        <w:t>management practice is justified or could be improved</w:t>
      </w:r>
      <w:r>
        <w:t>.</w:t>
      </w:r>
    </w:p>
    <w:p w14:paraId="7B10D4BD" w14:textId="77777777" w:rsidR="00D03F73" w:rsidRDefault="00D03F73" w:rsidP="00D03F73">
      <w:pPr>
        <w:spacing w:after="0" w:line="240" w:lineRule="auto"/>
      </w:pPr>
    </w:p>
    <w:tbl>
      <w:tblPr>
        <w:tblStyle w:val="TableGrid"/>
        <w:tblW w:w="0" w:type="auto"/>
        <w:tblLook w:val="04A0" w:firstRow="1" w:lastRow="0" w:firstColumn="1" w:lastColumn="0" w:noHBand="0" w:noVBand="1"/>
      </w:tblPr>
      <w:tblGrid>
        <w:gridCol w:w="1200"/>
        <w:gridCol w:w="1658"/>
        <w:gridCol w:w="1625"/>
        <w:gridCol w:w="2409"/>
        <w:gridCol w:w="3194"/>
        <w:gridCol w:w="2864"/>
      </w:tblGrid>
      <w:tr w:rsidR="00D03F73" w:rsidRPr="00502244" w14:paraId="50AFCE70" w14:textId="77777777" w:rsidTr="00534F58">
        <w:trPr>
          <w:trHeight w:val="612"/>
        </w:trPr>
        <w:tc>
          <w:tcPr>
            <w:tcW w:w="0" w:type="auto"/>
            <w:hideMark/>
          </w:tcPr>
          <w:p w14:paraId="4FBE5164" w14:textId="77777777" w:rsidR="00D03F73" w:rsidRPr="00502244"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Management Type (barrier to spill-over</w:t>
            </w:r>
            <w:r w:rsidRPr="00502244">
              <w:rPr>
                <w:rFonts w:eastAsia="Times New Roman" w:cstheme="minorHAnsi"/>
                <w:color w:val="000000"/>
                <w:sz w:val="18"/>
                <w:szCs w:val="18"/>
                <w:lang w:eastAsia="en-GB"/>
              </w:rPr>
              <w:t>)</w:t>
            </w:r>
          </w:p>
        </w:tc>
        <w:tc>
          <w:tcPr>
            <w:tcW w:w="1772" w:type="dxa"/>
            <w:hideMark/>
          </w:tcPr>
          <w:p w14:paraId="5345578C"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Current management recommendation</w:t>
            </w:r>
          </w:p>
        </w:tc>
        <w:tc>
          <w:tcPr>
            <w:tcW w:w="1843" w:type="dxa"/>
            <w:hideMark/>
          </w:tcPr>
          <w:p w14:paraId="263C771E"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Assumptions and rationale behind management guidance</w:t>
            </w:r>
          </w:p>
        </w:tc>
        <w:tc>
          <w:tcPr>
            <w:tcW w:w="2977" w:type="dxa"/>
            <w:hideMark/>
          </w:tcPr>
          <w:p w14:paraId="78B28AE5" w14:textId="77777777" w:rsidR="00D03F73" w:rsidRPr="00502244" w:rsidRDefault="00D03F73" w:rsidP="00316350">
            <w:pPr>
              <w:jc w:val="both"/>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Empirical evidence </w:t>
            </w:r>
          </w:p>
        </w:tc>
        <w:tc>
          <w:tcPr>
            <w:tcW w:w="4252" w:type="dxa"/>
          </w:tcPr>
          <w:p w14:paraId="74875A97" w14:textId="77777777" w:rsidR="00D03F73" w:rsidRPr="00502244"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Exemplar quotations from key informant interviews with disease managers  on how management recommendations are currently being applied in the field</w:t>
            </w:r>
          </w:p>
        </w:tc>
        <w:tc>
          <w:tcPr>
            <w:tcW w:w="3686" w:type="dxa"/>
            <w:hideMark/>
          </w:tcPr>
          <w:p w14:paraId="07AB462D"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Is management justified? Can management be refined and improved</w:t>
            </w:r>
          </w:p>
        </w:tc>
      </w:tr>
      <w:tr w:rsidR="00D03F73" w:rsidRPr="00502244" w14:paraId="556F8864" w14:textId="77777777" w:rsidTr="00534F58">
        <w:trPr>
          <w:trHeight w:val="3516"/>
        </w:trPr>
        <w:tc>
          <w:tcPr>
            <w:tcW w:w="0" w:type="auto"/>
            <w:hideMark/>
          </w:tcPr>
          <w:p w14:paraId="038F9155"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Tick bite prevention through protective measures </w:t>
            </w:r>
          </w:p>
          <w:p w14:paraId="35C719E9" w14:textId="77777777" w:rsidR="00D03F73" w:rsidRPr="00502244" w:rsidRDefault="00D03F73" w:rsidP="00316350">
            <w:pPr>
              <w:rPr>
                <w:rFonts w:eastAsia="Times New Roman" w:cstheme="minorHAnsi"/>
                <w:color w:val="000000"/>
                <w:sz w:val="18"/>
                <w:szCs w:val="18"/>
                <w:lang w:eastAsia="en-GB"/>
              </w:rPr>
            </w:pPr>
          </w:p>
          <w:p w14:paraId="3239C3AE"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w:t>
            </w:r>
            <w:r>
              <w:rPr>
                <w:rFonts w:eastAsia="Times New Roman" w:cstheme="minorHAnsi"/>
                <w:color w:val="000000"/>
                <w:sz w:val="18"/>
                <w:szCs w:val="18"/>
                <w:lang w:eastAsia="en-GB"/>
              </w:rPr>
              <w:t>Human hosts: human activities in ecosystems and spill-over host exposure to vectors)</w:t>
            </w:r>
          </w:p>
          <w:p w14:paraId="6D14C15A"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504A7D0D"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Personal protection measures should be taken (long clothes covering neck, chest, back, and legs) before going to the forest.</w:t>
            </w:r>
          </w:p>
          <w:p w14:paraId="54AC302A"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6CC0B04B"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Covering up the body will prevent tick bites</w:t>
            </w:r>
          </w:p>
          <w:p w14:paraId="373822CF" w14:textId="77777777" w:rsidR="00D03F73" w:rsidRPr="00502244" w:rsidRDefault="00D03F73" w:rsidP="00316350">
            <w:pPr>
              <w:rPr>
                <w:rFonts w:eastAsia="Times New Roman" w:cstheme="minorHAnsi"/>
                <w:color w:val="000000"/>
                <w:sz w:val="18"/>
                <w:szCs w:val="18"/>
                <w:lang w:eastAsia="en-GB"/>
              </w:rPr>
            </w:pPr>
          </w:p>
        </w:tc>
        <w:tc>
          <w:tcPr>
            <w:tcW w:w="2977" w:type="dxa"/>
            <w:hideMark/>
          </w:tcPr>
          <w:p w14:paraId="7F9C38E3" w14:textId="624DF6E6"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b/>
                <w:color w:val="000000"/>
                <w:sz w:val="18"/>
                <w:szCs w:val="18"/>
                <w:lang w:eastAsia="en-GB"/>
              </w:rPr>
              <w:t>Yes, this is a well-endorsed practice for tick prevention.</w:t>
            </w:r>
            <w:r w:rsidRPr="00502244">
              <w:rPr>
                <w:rFonts w:eastAsia="Times New Roman" w:cstheme="minorHAnsi"/>
                <w:color w:val="000000"/>
                <w:sz w:val="18"/>
                <w:szCs w:val="18"/>
                <w:lang w:eastAsia="en-GB"/>
              </w:rPr>
              <w:t xml:space="preserve"> The World Health Organisation (WHO) recommend that clothing provides some protection if, for example, trousers are tucked into boots or socks and if shirts are tucked into trousers. However, there is strong evidence that clothes and clothing impregnated with repellents provide more protection than simply covering up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F1000_CSL_CITATION&lt;~#@#~&gt;[{"title":"Vector Control","id":"8338290","type":"webpage","author":[{"family":"World Health Organisation"}],"issued":{"date-parts":[["1997"]]},"URL":"https://www.who.int/docstore/water_sanitation_health/vectcontrol/ch26.htm","accessed":{"date-parts":[["2020","3","4"]]},"citation-label":"8338290","CleanAbstract":"No abstract available"}]</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(3)</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w:t>
            </w:r>
          </w:p>
        </w:tc>
        <w:tc>
          <w:tcPr>
            <w:tcW w:w="4252" w:type="dxa"/>
          </w:tcPr>
          <w:p w14:paraId="273F4691" w14:textId="77777777" w:rsidR="00D03F73" w:rsidRPr="00502244" w:rsidRDefault="00D03F73" w:rsidP="00316350">
            <w:pPr>
              <w:rPr>
                <w:rFonts w:eastAsia="Times New Roman" w:cstheme="minorHAnsi"/>
                <w:b/>
                <w:color w:val="000000"/>
                <w:sz w:val="18"/>
                <w:szCs w:val="18"/>
                <w:lang w:eastAsia="en-GB"/>
              </w:rPr>
            </w:pPr>
            <w:r w:rsidRPr="0001744F">
              <w:rPr>
                <w:sz w:val="18"/>
                <w:szCs w:val="18"/>
              </w:rPr>
              <w:t>“…Nobody [affected groups] wears shoes or anything and you apply the oil also, it is only going to be protective for 3 to 4 hours but these people go in the morning and come in the night, so, no oil is going to work…”</w:t>
            </w:r>
          </w:p>
        </w:tc>
        <w:tc>
          <w:tcPr>
            <w:tcW w:w="3686" w:type="dxa"/>
            <w:hideMark/>
          </w:tcPr>
          <w:p w14:paraId="4182E3F2"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b/>
                <w:color w:val="000000"/>
                <w:sz w:val="18"/>
                <w:szCs w:val="18"/>
                <w:lang w:eastAsia="en-GB"/>
              </w:rPr>
              <w:t>Yes but further education</w:t>
            </w:r>
            <w:r w:rsidRPr="00502244">
              <w:rPr>
                <w:rFonts w:eastAsia="Times New Roman" w:cstheme="minorHAnsi"/>
                <w:color w:val="000000"/>
                <w:sz w:val="18"/>
                <w:szCs w:val="18"/>
                <w:lang w:eastAsia="en-GB"/>
              </w:rPr>
              <w:t xml:space="preserve"> is needed as this strategy alone will not prevent tick bites. The advice needs to be updated to highlight the need to cover the feet and ankles, and that clothing needs to form a continuous protective barrier by e.g. tucking trousers into socks, shirts into trousers. We recommend an integrated approach- use of protective clothing and tick repellents, checking the entire body daily after having been in tick-infested habitats, and prompt and effective removal of any attached ticks.</w:t>
            </w:r>
          </w:p>
        </w:tc>
      </w:tr>
      <w:tr w:rsidR="00D03F73" w:rsidRPr="00502244" w14:paraId="08F4F997" w14:textId="77777777" w:rsidTr="00534F58">
        <w:trPr>
          <w:trHeight w:val="4274"/>
        </w:trPr>
        <w:tc>
          <w:tcPr>
            <w:tcW w:w="0" w:type="auto"/>
            <w:hideMark/>
          </w:tcPr>
          <w:p w14:paraId="32D03720" w14:textId="77777777" w:rsidR="00D03F73" w:rsidRPr="00502244"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lastRenderedPageBreak/>
              <w:t>T</w:t>
            </w:r>
            <w:r w:rsidRPr="00502244">
              <w:rPr>
                <w:rFonts w:eastAsia="Times New Roman" w:cstheme="minorHAnsi"/>
                <w:color w:val="000000"/>
                <w:sz w:val="18"/>
                <w:szCs w:val="18"/>
                <w:lang w:eastAsia="en-GB"/>
              </w:rPr>
              <w:t xml:space="preserve">ick bite prevention through protective measures </w:t>
            </w:r>
          </w:p>
          <w:p w14:paraId="78DF9572" w14:textId="77777777" w:rsidR="00D03F73" w:rsidRPr="00502244" w:rsidRDefault="00D03F73" w:rsidP="00316350">
            <w:pPr>
              <w:rPr>
                <w:rFonts w:eastAsia="Times New Roman" w:cstheme="minorHAnsi"/>
                <w:color w:val="000000"/>
                <w:sz w:val="18"/>
                <w:szCs w:val="18"/>
                <w:lang w:eastAsia="en-GB"/>
              </w:rPr>
            </w:pPr>
          </w:p>
          <w:p w14:paraId="347539EA"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w:t>
            </w:r>
            <w:r>
              <w:rPr>
                <w:rFonts w:eastAsia="Times New Roman" w:cstheme="minorHAnsi"/>
                <w:color w:val="000000"/>
                <w:sz w:val="18"/>
                <w:szCs w:val="18"/>
                <w:lang w:eastAsia="en-GB"/>
              </w:rPr>
              <w:t>Human hosts: human activities in ecosystems and spill-over host exposure to vectors)</w:t>
            </w:r>
          </w:p>
          <w:p w14:paraId="103B9775"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592E27FD"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People living in the forest or visiting forest areas should use tick repellents (DMP oil, DEET, local herbs) before going to the forest. Permethrin-based repellents should be used on clothing</w:t>
            </w:r>
          </w:p>
          <w:p w14:paraId="5AC0EF7F"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36B0CC21"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Applying repellents will prevent tick bites</w:t>
            </w:r>
          </w:p>
          <w:p w14:paraId="3793E488" w14:textId="77777777" w:rsidR="00D03F73" w:rsidRPr="00502244" w:rsidRDefault="00D03F73" w:rsidP="00316350">
            <w:pPr>
              <w:rPr>
                <w:rFonts w:eastAsia="Times New Roman" w:cstheme="minorHAnsi"/>
                <w:color w:val="000000"/>
                <w:sz w:val="18"/>
                <w:szCs w:val="18"/>
                <w:lang w:eastAsia="en-GB"/>
              </w:rPr>
            </w:pPr>
          </w:p>
        </w:tc>
        <w:tc>
          <w:tcPr>
            <w:tcW w:w="2977" w:type="dxa"/>
            <w:hideMark/>
          </w:tcPr>
          <w:p w14:paraId="3FB30761" w14:textId="67A666B5"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b/>
                <w:color w:val="000000"/>
                <w:sz w:val="18"/>
                <w:szCs w:val="18"/>
                <w:lang w:eastAsia="en-GB"/>
              </w:rPr>
              <w:t>Yes, the use of repellents is well established and endorsed.</w:t>
            </w:r>
            <w:r w:rsidRPr="00502244">
              <w:rPr>
                <w:rFonts w:eastAsia="Times New Roman" w:cstheme="minorHAnsi"/>
                <w:color w:val="000000"/>
                <w:sz w:val="18"/>
                <w:szCs w:val="18"/>
                <w:lang w:eastAsia="en-GB"/>
              </w:rPr>
              <w:t xml:space="preserve"> The WHO recommend effective repellents that prevent ticks from attaching to the body include DEET, dimethyl phthalate, benzyl benzoate, dimethyl carbamate and indalone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F1000_CSL_CITATION&lt;~#@#~&gt;[{"title":"Vector Control","id":"8338290","type":"webpage","author":[{"family":"World Health Organisation"}],"issued":{"date-parts":[["1997"]]},"URL":"https://www.who.int/docstore/water_sanitation_health/vectcontrol/ch26.htm","accessed":{"date-parts":[["2020","3","4"]]},"citation-label":"8338290","CleanAbstract":"No abstract available"}]</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(3)</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and the U.S. Centres for Disease Control and Prevention recommend permethrin based repellents on clothing and ≥20% DEET on skin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F1000_CSL_CITATION&lt;~#@#~&gt;[{"title":"CDC yellow book 2020: health information for international travel","id":"7841813","type":"book","publisher":"Oxford University Press","isbn":"9780190085735","author":[{"family":"Centers for Disease Control and Prevention"}],"issued":{"date-parts":[["2019"]]},"editor":[{"family":"Brunette","given":"Gary W."},{"family":"Nemhauser","given":"Jeffrey B."}],"DOI":"10.1093/med/9780190928933.001.0001","citation-label":"7841813","Abstract":"&lt;p&gt;The CDC Yellow Book offers everything travelers and healthcare providers need to know for safe and healthy travel abroad. This 2020 edition includes: country-specific risk guidelines for yellow fever and malaria, including expert recommendations and 26 detailed, country-level maps; detailed maps showing distribution of travel-related illnesses, including dengue, Japanese encephalitis, meningococcal meningitis, and schistosomiasis; guidelines for self-treating common travel conditions, including altitude illness, jet lag, motion sickness, and travelers’ diarrhea; expert guidance on food and drink precautions to avoid illness, plus water-disinfection techniques for travel to remote destinations; specialized guidelines for non-leisure travelers, study abroad, work-related travel, and travel to mass gatherings; advice on medical tourism, complementary and integrative health approaches, and counterfeit drugs; health insights around 15 popular tourist destinations and itineraries; advising travelers with specific needs, including those with chronic medical conditions or weakened immune systems, health care workers, humanitarian aid workers, long-term travelers and expatriates, and last-minute travellers; considerations for newly arrived adoptees, immigrants, and refugees.&lt;/p&gt;","CleanAbstract":"The CDC Yellow Book offers everything travelers and healthcare providers need to know for safe and healthy travel abroad. This 2020 edition includes: country-specific risk guidelines for yellow fever and malaria, including expert recommendations and 26 detailed, country-level maps; detailed maps showing distribution of travel-related illnesses, including dengue, Japanese encephalitis, meningococcal meningitis, and schistosomiasis; guidelines for self-treating common travel conditions, including altitude illness, jet lag, motion sickness, and travelers’ diarrhea; expert guidance on food and drink precautions to avoid illness, plus water-disinfection techniques for travel to remote destinations; specialized guidelines for non-leisure travelers, study abroad, work-related travel, and travel to mass gatherings; advice on medical tourism, complementary and integrative health approaches, and counterfeit drugs; health insights around 15 popular tourist destinations and itineraries; advising travelers with specific needs, including those with chronic medical conditions or weakened immune systems, health care workers, humanitarian aid workers, long-term travelers and expatriates, and last-minute travellers; considerations for newly arrived adoptees, immigrants, and refugees."}]</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(4)</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Repellents may last longer if applied to clothing. However, both permethrin and DEET-based repellents are not be widely available in India and are prohibitively expensive. Local repellents vary in efficacy and there is currently no local guidance on when and how often to apply. DMP oil is distributed in areas where KFDV has previously been reported but is not very effective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F1000_CSL_CITATION&lt;~#@#~&gt;[{"title":"Comparative activity of three repellents against the ticks Rhipicephalus sanguineus and Argas persicus.","id":"7680000","page":"47-50","type":"article-journal","volume":"6","issue":"1","author":[{"family":"Kumar","given":"S"},{"family":"Prakash","given":"S"},{"family":"Kaushik","given":"M P"},{"family":"Rao","given":"K M"}],"issued":{"date-parts":[["1992","1"]]},"container-title":"Medical and veterinary entomology","container-title-short":"Med. Vet. Entomol.","journalAbbreviation":"Med. Vet. Entomol.","DOI":"10.1111/j.1365-2915.1992.tb00034.x","PMID":"1600227","citation-label":"7680000","Abstract":"The residual repellent activity of N,N-diethylphenyl-acetamide (DEPA), N,N-diethyl-3-methyl benzamide (DEET) and dimethylphthalate (DMP) against the hard tick Rhipicephalus sanguineus (Latreille) and the soft tick Argas persicus (Oken) from topical application on rabbits and hens respectively in the laboratory have been studied. It was found that a 25% concentration of DEET gave strong repellency (greater than 90%) against larvae and nymphs of R. sanguineus for 15 and 7 days respectively and against A. persicus larvae and nymphs greater than 90% for 11 and 5 days respectively. Strong repellency (greater than 90%) against adults of the hard and soft ticks was observed for 9 and 7 days respectively with 40% DEET. DEPA at 25% concentration showed strong repellency (greater than 90%) against larvae and nymphs of R. sanguineus and A. persicus for 11 and 5 days respectively. Adults of hard and soft ticks were strongly repelled (greater than 90%) for 9 and 5 days respectively by 40% DEPA. DMP was found to be the least effective against all stages of both species of tick.","CleanAbstract":"The residual repellent activity of N,N-diethylphenyl-acetamide (DEPA), N,N-diethyl-3-methyl benzamide (DEET) and dimethylphthalate (DMP) against the hard tick Rhipicephalus sanguineus (Latreille) and the soft tick Argas persicus (Oken) from topical application on rabbits and hens respectively in the laboratory have been studied. It was found that a 25% concentration of DEET gave strong repellency (greater than 90%) against larvae and nymphs of R. sanguineus for 15 and 7 days respectively and against A. persicus larvae and nymphs greater than 90% for 11 and 5 days respectively. Strong repellency (greater than 90%) against adults of the hard and soft ticks was observed for 9 and 7 days respectively with 40% DEET. DEPA at 25% concentration showed strong repellency (greater than 90%) against larvae and nymphs of R. sanguineus and A. persicus for 11 and 5 days respectively. Adults of hard and soft ticks were strongly repelled (greater than 90%) for 9 and 5 days respectively by 40% DEPA. DMP was found to be the least effective against all stages of both species of tick."}]</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(5)</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Use of natural repellents has been reported in some areas of the Western Ghats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F1000_CSL_CITATION&lt;~#@#~&gt;[{"title":"Ethnomedicinal assessment of Irula tribes of Walayar valley of Southern Western Ghats, India","id":"8579776","type":"article-journal","author":[{"family":"Venkatachalapathi","given":"Arjunan"},{"family":"Sangeeth","given":"Thekkan"},{"family":"Ali","given":"Mohammad Ajmal"},{"family":"Tamilselvi","given":"Sulur Senniyappan"},{"family":"Paulsamy","given":"Subramaniyam"}],"issued":{"date-parts":[["2016","10"]]},"container-title":"Saudi journal of biological sciences","container-title-short":"Saudi J. Biol. Sci.","journalAbbreviation":"Saudi J. Biol. Sci.","DOI":"10.1016/j.sjbs.2016.10.011","PMCID":"PMC5936975","citation-label":"8579776","Abstract":"The present study was aimed to explore the traditional knowledge of Irula tribal people who are practicing herbal medicine in Walayar valley, the Southern Western Ghats, India. A total number of 146 species of plants distributed in 122 genera belonging to 58 families were identified as commonly used ethnomedicinal plants by them. Interestingly, 26 new claims were also made in the present study. Through the data obtained from Irula tribal healers, the herbs were mostly used for medicine (40.4%) followed by trees (26.7%) and climbers (18.5%). In addition leaves were highly used for medicinal purposes, collected from 55 species (38%) followed by multiple parts from 18 species (12%).  Acorus calamus  is the species of higher use value (1.80) assessed to be prescribed most commonly for the treatment of cough. High informant consensus factor (1.0) obtained for insecticidal uses and cooling agent indicates that the usage of  Canarium strictum  and  Melia dubia , and  Mimosa pudica  and  Sesamum indicum  respectively for that purposes had obtained high degree of agreement among the healers in using these species for the respective purposes. The most commonly used method of preparation was decoction (63%) followed by raw form (23%), paste (12%) and powder (2%). Therefore, it is suggested to take-up pharmacological and phytochemical studies to evaluate the species to confirm the traditional knowledge of Irulas on medicinal plants.","CleanAbstract":"The present study was aimed to explore the traditional knowledge of Irula tribal people who are practicing herbal medicine in Walayar valley, the Southern Western Ghats, India. A total number of 146 species of plants distributed in 122 genera belonging to 58 families were identified as commonly used ethnomedicinal plants by them. Interestingly, 26 new claims were also made in the present study. Through the data obtained from Irula tribal healers, the herbs were mostly used for medicine (40.4%) followed by trees (26.7%) and climbers (18.5%). In addition leaves were highly used for medicinal purposes, collected from 55 species (38%) followed by multiple parts from 18 species (12%).  Acorus calamus  is the species of higher use value (1.80) assessed to be prescribed most commonly for the treatment of cough. High informant consensus factor (1.0) obtained for insecticidal uses and cooling agent indicates that the usage of  Canarium strictum  and  Melia dubia , and  Mimosa pudica  and  Sesamum indicum  respectively for that purposes had obtained high degree of agreement among the healers in using these species for the respective purposes. The most commonly used method of preparation was decoction (63%) followed by raw form (23%), paste (12%) and powder (2%). Therefore, it is suggested to take-up pharmacological and phytochemical studies to evaluate the species to confirm the traditional knowledge of Irulas on medicinal plants."}]</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(6)</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but efficacy is unknown. Repellents do not last more than a few hours when applied directly to the skin due to sweating, absorption and abrasion. </w:t>
            </w:r>
          </w:p>
        </w:tc>
        <w:tc>
          <w:tcPr>
            <w:tcW w:w="4252" w:type="dxa"/>
          </w:tcPr>
          <w:p w14:paraId="522EE323" w14:textId="77777777" w:rsidR="00D03F73" w:rsidRDefault="00D03F73" w:rsidP="00316350">
            <w:pPr>
              <w:jc w:val="both"/>
              <w:rPr>
                <w:rFonts w:eastAsia="Times New Roman" w:cstheme="minorHAnsi"/>
                <w:color w:val="000000"/>
                <w:sz w:val="18"/>
                <w:szCs w:val="18"/>
                <w:lang w:eastAsia="en-GB"/>
              </w:rPr>
            </w:pPr>
            <w:r w:rsidRPr="008B04B0">
              <w:rPr>
                <w:rFonts w:eastAsia="Times New Roman" w:cstheme="minorHAnsi"/>
                <w:color w:val="000000"/>
                <w:sz w:val="18"/>
                <w:szCs w:val="18"/>
                <w:lang w:eastAsia="en-GB"/>
              </w:rPr>
              <w:t>“…We ask them to apply DMP oil whenever they go to forest; I think few people… hardly 20% follow the precautions we suggest during outbreaks.”</w:t>
            </w:r>
          </w:p>
          <w:p w14:paraId="6BCC99D1" w14:textId="77777777" w:rsidR="00D03F73" w:rsidRDefault="00D03F73" w:rsidP="00316350">
            <w:pPr>
              <w:jc w:val="both"/>
              <w:rPr>
                <w:rFonts w:eastAsia="Times New Roman" w:cstheme="minorHAnsi"/>
                <w:color w:val="000000"/>
                <w:sz w:val="18"/>
                <w:szCs w:val="18"/>
                <w:lang w:eastAsia="en-GB"/>
              </w:rPr>
            </w:pPr>
          </w:p>
          <w:p w14:paraId="2335DA8B" w14:textId="77777777" w:rsidR="00D03F73" w:rsidRDefault="00D03F73" w:rsidP="00316350">
            <w:pPr>
              <w:jc w:val="both"/>
              <w:rPr>
                <w:sz w:val="18"/>
                <w:szCs w:val="18"/>
              </w:rPr>
            </w:pPr>
            <w:r w:rsidRPr="0001744F">
              <w:rPr>
                <w:sz w:val="18"/>
                <w:szCs w:val="18"/>
              </w:rPr>
              <w:t>“…Nobody [affected groups] wears shoes or anything and you apply the oil also, it is only going to be protective for 3 to 4 hours but these people go in the morning and come in the night, so, no oil is going to work…”</w:t>
            </w:r>
          </w:p>
          <w:p w14:paraId="640DC476" w14:textId="77777777" w:rsidR="00D03F73" w:rsidRDefault="00D03F73" w:rsidP="00316350">
            <w:pPr>
              <w:jc w:val="both"/>
              <w:rPr>
                <w:sz w:val="18"/>
                <w:szCs w:val="18"/>
              </w:rPr>
            </w:pPr>
          </w:p>
          <w:p w14:paraId="7F36C505" w14:textId="77777777" w:rsidR="00D03F73" w:rsidRPr="008B04B0" w:rsidRDefault="00D03F73" w:rsidP="00316350">
            <w:pPr>
              <w:jc w:val="both"/>
              <w:rPr>
                <w:rFonts w:eastAsia="Times New Roman" w:cstheme="minorHAnsi"/>
                <w:color w:val="000000"/>
                <w:sz w:val="18"/>
                <w:szCs w:val="18"/>
                <w:lang w:eastAsia="en-GB"/>
              </w:rPr>
            </w:pPr>
            <w:r>
              <w:rPr>
                <w:sz w:val="18"/>
                <w:szCs w:val="18"/>
              </w:rPr>
              <w:t>“</w:t>
            </w:r>
            <w:r w:rsidRPr="0001744F">
              <w:rPr>
                <w:sz w:val="18"/>
                <w:szCs w:val="18"/>
              </w:rPr>
              <w:t>We are also trying to create habits on that but why should we do pressurise so much on them, we know that it is tick repellent and even mosquito repellent…, it is good if it is used regularly, even if you say all this, they don’t use it. So, we have not understood why that gap still exists.”</w:t>
            </w:r>
          </w:p>
        </w:tc>
        <w:tc>
          <w:tcPr>
            <w:tcW w:w="3686" w:type="dxa"/>
            <w:hideMark/>
          </w:tcPr>
          <w:p w14:paraId="73314F11"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b/>
                <w:color w:val="000000"/>
                <w:sz w:val="18"/>
                <w:szCs w:val="18"/>
                <w:lang w:eastAsia="en-GB"/>
              </w:rPr>
              <w:t>Yes but further education is needed</w:t>
            </w:r>
            <w:r w:rsidRPr="00502244">
              <w:rPr>
                <w:rFonts w:eastAsia="Times New Roman" w:cstheme="minorHAnsi"/>
                <w:color w:val="000000"/>
                <w:sz w:val="18"/>
                <w:szCs w:val="18"/>
                <w:lang w:eastAsia="en-GB"/>
              </w:rPr>
              <w:t xml:space="preserve"> as this strategy alone will not prevent tick bites and the provided repellents are not very effective (DMP oil). We recommend an integrated approach- use of protective clothing and tick repellents, checking the entire body daily after having been in risky habitats, and prompt and effective removal of any attached ticks. Although there is evidence that forests have high tick densities, there is risk of tick-bites in other habitats too and this needs to be made clear.</w:t>
            </w:r>
          </w:p>
          <w:p w14:paraId="45B341ED" w14:textId="77777777" w:rsidR="00D03F73" w:rsidRPr="00502244" w:rsidRDefault="00D03F73" w:rsidP="00316350">
            <w:pPr>
              <w:rPr>
                <w:rFonts w:eastAsia="Times New Roman" w:cstheme="minorHAnsi"/>
                <w:color w:val="000000"/>
                <w:sz w:val="18"/>
                <w:szCs w:val="18"/>
                <w:lang w:eastAsia="en-GB"/>
              </w:rPr>
            </w:pPr>
          </w:p>
        </w:tc>
      </w:tr>
      <w:tr w:rsidR="00D03F73" w:rsidRPr="00502244" w14:paraId="66B8E213" w14:textId="77777777" w:rsidTr="00534F58">
        <w:trPr>
          <w:trHeight w:val="3334"/>
        </w:trPr>
        <w:tc>
          <w:tcPr>
            <w:tcW w:w="0" w:type="auto"/>
            <w:hideMark/>
          </w:tcPr>
          <w:p w14:paraId="3917DD30" w14:textId="77777777"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lastRenderedPageBreak/>
              <w:t xml:space="preserve">Tick bite prevention through protective measures </w:t>
            </w:r>
          </w:p>
          <w:p w14:paraId="638D5147" w14:textId="77777777" w:rsidR="00D03F73" w:rsidRDefault="00D03F73" w:rsidP="00316350">
            <w:pPr>
              <w:rPr>
                <w:rFonts w:eastAsia="Times New Roman" w:cstheme="minorHAnsi"/>
                <w:color w:val="000000"/>
                <w:sz w:val="18"/>
                <w:szCs w:val="18"/>
                <w:lang w:eastAsia="en-GB"/>
              </w:rPr>
            </w:pPr>
          </w:p>
          <w:p w14:paraId="3F73FEA3"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w:t>
            </w:r>
            <w:r>
              <w:rPr>
                <w:rFonts w:eastAsia="Times New Roman" w:cstheme="minorHAnsi"/>
                <w:color w:val="000000"/>
                <w:sz w:val="18"/>
                <w:szCs w:val="18"/>
                <w:lang w:eastAsia="en-GB"/>
              </w:rPr>
              <w:t>Human hosts: human activities in ecosystems and spill-over host exposure to vectors)</w:t>
            </w:r>
          </w:p>
          <w:p w14:paraId="5FFC97FE"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785FD0E0"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People should wash their clothes and body with hot water and soap after returning from the forest.</w:t>
            </w:r>
          </w:p>
          <w:p w14:paraId="0EDD06E8"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505EAA8D"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Washing clothes and body will remove ticks</w:t>
            </w:r>
          </w:p>
          <w:p w14:paraId="5AC1CCDF" w14:textId="77777777" w:rsidR="00D03F73" w:rsidRPr="00502244" w:rsidRDefault="00D03F73" w:rsidP="00316350">
            <w:pPr>
              <w:rPr>
                <w:rFonts w:eastAsia="Times New Roman" w:cstheme="minorHAnsi"/>
                <w:color w:val="000000"/>
                <w:sz w:val="18"/>
                <w:szCs w:val="18"/>
                <w:lang w:eastAsia="en-GB"/>
              </w:rPr>
            </w:pPr>
          </w:p>
        </w:tc>
        <w:tc>
          <w:tcPr>
            <w:tcW w:w="2977" w:type="dxa"/>
            <w:hideMark/>
          </w:tcPr>
          <w:p w14:paraId="57DD6532" w14:textId="2F083CA8"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Yes, the removal and washing of potentially contaminated clothes is a well endorsed recommendation. The WHO recommends that clothing should be removed and examined for the presence of ticks after a tick-infested area has been visited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F1000_CSL_CITATION&lt;~#@#~&gt;[{"title":"Vector Control","id":"8338290","type":"webpage","author":[{"family":"World Health Organisation"}],"issued":{"date-parts":[["1997"]]},"URL":"https://www.who.int/docstore/water_sanitation_health/vectcontrol/ch26.htm","accessed":{"date-parts":[["2020","3","4"]]},"citation-label":"8338290","CleanAbstract":"No abstract available"}]</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(3)</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However, there is evidence that ticks can survive even after washing clothes using washing machines and dryers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F1000_CSL_CITATION&lt;~#@#~&gt;[{"title":"The heat is on: Killing blacklegged ticks in residential washers and dryers to prevent tickborne diseases.","id":"7680016","page":"958-963","type":"article-journal","volume":"7","issue":"5","author":[{"family":"Nelson","given":"Christina A"},{"family":"Hayes","given":"Catherine M"},{"family":"Markowitz","given":"Molly A"},{"family":"Flynn","given":"Jacqueline J"},{"family":"Graham","given":"Alan C"},{"family":"Delorey","given":"Mark J"},{"family":"Mead","given":"Paul S"},{"family":"Dolan","given":"Marc C"}],"issued":{"date-parts":[["2016","4","28"]]},"container-title":"Ticks and tick-borne diseases","container-title-short":"Ticks Tick Borne Dis.","journalAbbreviation":"Ticks Tick Borne Dis.","DOI":"10.1016/j.ttbdis.2016.04.016","PMID":"27156138","citation-label":"7680016","Abstract":"Reducing exposure to ticks can help prevent Lyme disease and other tickborne diseases. Although it is currently recommended to dry clothes on high heat for one hour to kill ticks on clothing after spending time outdoors, this recommendation is based on a single published study of tick survival under various washing conditions and a predetermined one-hour drying time. We conducted a series of tests to investigate the effects of temperature, humidity, and drying time on killing nymphal and adult blacklegged ticks (Ixodes scapularis). Muslin bags containing 5 ticks each were washed then dried or dried only with six cotton towels during each drying cycle. All nymphal and adult ticks were killed when exposed to wash cycles when the water temperature reached ≥54°C (≥130°F); however, 50% of ticks survived hot water washes when the water temperature was &lt; 54°C. The majority (94%) of ticks survived warm washes [temperature range, 27-46°C (80-115°F)] and all ticks survived cold washes [15-27°C (59-80°F)]. When subsequently dried on high heat setting [54-85°C (129-185°F)], it took 50min to kill all ticks (95% confidence limit, 55min). Most significantly, we found that all adult and nymphal ticks died when placed directly in the dryer with dry towels and dried for 4min on high heat (95% confidence limit, 6min). We have identified effective, easily implemented methods to rid clothing of ticks after spending time outdoors. Placing clothing directly in a dryer and drying for a minimum of 6min on high heat will effectively kill ticks on clothing. If clothing is soiled and requires washing first, our results indicate clothing should be washed with water temperature ≥54°C (≥130°F) to kill ticks. When practiced with other tick-bite prevention methods, these techniques could further reduce the risk of acquiring tickborne diseases.&lt;br&gt;&lt;br&gt;Published by Elsevier GmbH.","CleanAbstract":"Reducing exposure to ticks can help prevent Lyme disease and other tickborne diseases. Although it is currently recommended to dry clothes on high heat for one hour to kill ticks on clothing after spending time outdoors, this recommendation is based on a single published study of tick survival under various washing conditions and a predetermined one-hour drying time. We conducted a series of tests to investigate the effects of temperature, humidity, and drying time on killing nymphal and adult blacklegged ticks (Ixodes scapularis). Muslin bags containing 5 ticks each were washed then dried or dried only with six cotton towels during each drying cycle. All nymphal and adult ticks were killed when exposed to wash cycles when the water temperature reached ≥54°C (≥130°F); however, 50% of ticks survived hot water washes when the water temperature was Published by Elsevier GmbH."},{"title":"A cautionary note: survival of nymphs of two species of ticks (Acari: Ixodidae) among clothes laundered in an automatic washer.","id":"7679963","page":"732-736","type":"article-journal","volume":"40","issue":"5","author":[{"family":"Carroll","given":"J F"}],"issued":{"date-parts":[["2003","9"]]},"container-title":"Journal of Medical Entomology","container-title-short":"J. Med. Entomol.","journalAbbreviation":"J. Med. Entomol.","DOI":"10.1603/0022-2585-40.5.732","PMID":"14596290","citation-label":"7679963","Abstract":"Host-seeking ticks often remain on clothing of persons returning home from work or recreation in tick habitats, and can pose at least a temporary risk to people and pets in these homes. Laundering clothing has been one of the recommendations to reduce tick exposure. Host-seeking lone star tick, Amblyomma americanum (L.), and blacklegged tick, Ixodes scapularis Say, nymphs confined in polyester mesh packets, were included with laundry in cold, warm, and hot wash cycles of an automatic clothes washer. Ticks were also placed with washed clothing and subjected to drying in an automatic clothes dryer set on high heat and on air only (unheated). Most nymphs (&gt; or = 90%) of both species survived the cold and warm washes, and 95% of A. americanum nymphs survived the hot wash. At the time of their removal from the washer, I. scapularis nymphs were clearly affected by the hot wash, but 65% were considered alive 20-24 h later. Large percentages of nymphs of both species survived hot washes in which two other detergents (a powder containing a nonchlorine bleach and a liquid) were used. All ticks were killed by the 1 h cycle at high heat in the clothes dryer, but with unheated air some nymphs of both species survived the 1 h cycle in the dryer. Given the laundering recommendations of clothing manufacturers and variation in the use automatic clothes washers, laundry washed in automatic washers should not be considered free of living ticks.","CleanAbstract":"Host-seeking ticks often remain on clothing of persons returning home from work or recreation in tick habitats, and can pose at least a temporary risk to people and pets in these homes. Laundering clothing has been one of the recommendations to reduce tick exposure. Host-seeking lone star tick, Amblyomma americanum (L.), and blacklegged tick, Ixodes scapularis Say, nymphs confined in polyester mesh packets, were included with laundry in cold, warm, and hot wash cycles of an automatic clothes washer. Ticks were also placed with washed clothing and subjected to drying in an automatic clothes dryer set on high heat and on air only (unheated). Most nymphs (&gt; or = 90%) of both species survived the cold and warm washes, and 95% of A. americanum nymphs survived the hot wash. At the time of their removal from the washer, I. scapularis nymphs were clearly affected by the hot wash, but 65% were considered alive 20-24 h later. Large percentages of nymphs of both species survived hot washes in which two other detergents (a powder containing a nonchlorine bleach and a liquid) were used. All ticks were killed by the 1 h cycle at high heat in the clothes dryer, but with unheated air some nymphs of both species survived the 1 h cycle in the dryer. Given the laundering recommendations of clothing manufacturers and variation in the use automatic clothes washers, laundry washed in automatic washers should not be considered free of living ticks."}]</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(7,8)</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Most households in rural India hand-wash clothes in cold water, which will be ineffective at removing ticks. Washing the body may remove unattached ticks but will not remove attached ones. Moreover, current guidance is misleading because it leads to the widespread belief that taking a shower will remove ticks and hence reduce the need for other protective measures such as daily body checks, or use of repellents.</w:t>
            </w:r>
          </w:p>
        </w:tc>
        <w:tc>
          <w:tcPr>
            <w:tcW w:w="4252" w:type="dxa"/>
          </w:tcPr>
          <w:p w14:paraId="6380155D" w14:textId="77777777" w:rsidR="00D03F73" w:rsidRPr="00502244" w:rsidRDefault="00D03F73" w:rsidP="00316350">
            <w:pPr>
              <w:rPr>
                <w:rFonts w:eastAsia="Times New Roman" w:cstheme="minorHAnsi"/>
                <w:color w:val="000000"/>
                <w:sz w:val="18"/>
                <w:szCs w:val="18"/>
                <w:lang w:eastAsia="en-GB"/>
              </w:rPr>
            </w:pPr>
          </w:p>
        </w:tc>
        <w:tc>
          <w:tcPr>
            <w:tcW w:w="3686" w:type="dxa"/>
            <w:hideMark/>
          </w:tcPr>
          <w:p w14:paraId="43C087B2"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Yes regarding washing of clothes but this will not be completely effective. Need to also warn people not to bring potentially contaminated clothes inside their homes and to have clear recommendations on how long clothes should be hung up outside to ensure they are tick-free.</w:t>
            </w:r>
            <w:r>
              <w:rPr>
                <w:rFonts w:eastAsia="Times New Roman" w:cstheme="minorHAnsi"/>
                <w:color w:val="000000"/>
                <w:sz w:val="18"/>
                <w:szCs w:val="18"/>
                <w:lang w:eastAsia="en-GB"/>
              </w:rPr>
              <w:t xml:space="preserve">Is important to quantify how far any surviving ticks are able to move if they drop off contaminated laundry. </w:t>
            </w:r>
            <w:r w:rsidRPr="00502244">
              <w:rPr>
                <w:rFonts w:eastAsia="Times New Roman" w:cstheme="minorHAnsi"/>
                <w:color w:val="000000"/>
                <w:sz w:val="18"/>
                <w:szCs w:val="18"/>
                <w:lang w:eastAsia="en-GB"/>
              </w:rPr>
              <w:t xml:space="preserve"> Is a need to educate people in how to check their bodies for ticks and safely remove them after having entered tick-infested habitats and to warn them that showering will not remove attached ticks. Health centres recommended to distribute tools for safe removal of ticks.</w:t>
            </w:r>
          </w:p>
          <w:p w14:paraId="4C229B9E" w14:textId="77777777" w:rsidR="00D03F73" w:rsidRPr="00502244" w:rsidRDefault="00D03F73" w:rsidP="00316350">
            <w:pPr>
              <w:rPr>
                <w:rFonts w:eastAsia="Times New Roman" w:cstheme="minorHAnsi"/>
                <w:color w:val="000000"/>
                <w:sz w:val="18"/>
                <w:szCs w:val="18"/>
                <w:lang w:eastAsia="en-GB"/>
              </w:rPr>
            </w:pPr>
          </w:p>
        </w:tc>
      </w:tr>
      <w:tr w:rsidR="00D03F73" w:rsidRPr="00502244" w14:paraId="5CED76E1" w14:textId="77777777" w:rsidTr="00534F58">
        <w:trPr>
          <w:trHeight w:val="4763"/>
        </w:trPr>
        <w:tc>
          <w:tcPr>
            <w:tcW w:w="0" w:type="auto"/>
            <w:hideMark/>
          </w:tcPr>
          <w:p w14:paraId="5DC5DF66" w14:textId="77777777"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lastRenderedPageBreak/>
              <w:t xml:space="preserve">Reduction of ticks in habitat </w:t>
            </w:r>
          </w:p>
          <w:p w14:paraId="0B18267F" w14:textId="77777777" w:rsidR="00D03F73" w:rsidRDefault="00D03F73" w:rsidP="00316350">
            <w:pPr>
              <w:rPr>
                <w:rFonts w:eastAsia="Times New Roman" w:cstheme="minorHAnsi"/>
                <w:color w:val="000000"/>
                <w:sz w:val="18"/>
                <w:szCs w:val="18"/>
                <w:lang w:eastAsia="en-GB"/>
              </w:rPr>
            </w:pPr>
          </w:p>
          <w:p w14:paraId="388992D4" w14:textId="77777777" w:rsidR="00D03F73" w:rsidRPr="00502244"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(vectors: vector host associations and contact rates with reservoirs)</w:t>
            </w:r>
          </w:p>
          <w:p w14:paraId="10D2ADCE"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7D6262B1" w14:textId="77777777" w:rsidR="00D03F73" w:rsidRPr="00502244"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The application o</w:t>
            </w:r>
            <w:r w:rsidRPr="00502244">
              <w:rPr>
                <w:rFonts w:eastAsia="Times New Roman" w:cstheme="minorHAnsi"/>
                <w:color w:val="000000"/>
                <w:sz w:val="18"/>
                <w:szCs w:val="18"/>
                <w:lang w:eastAsia="en-GB"/>
              </w:rPr>
              <w:t xml:space="preserve">f insecticide (Malathion) may be carried out in areas where monkey deaths have been reported within a radius of </w:t>
            </w:r>
            <w:r>
              <w:rPr>
                <w:rFonts w:eastAsia="Times New Roman" w:cstheme="minorHAnsi"/>
                <w:color w:val="000000"/>
                <w:sz w:val="18"/>
                <w:szCs w:val="18"/>
                <w:lang w:eastAsia="en-GB"/>
              </w:rPr>
              <w:t xml:space="preserve">50 feet </w:t>
            </w:r>
            <w:r w:rsidRPr="00502244">
              <w:rPr>
                <w:rFonts w:eastAsia="Times New Roman" w:cstheme="minorHAnsi"/>
                <w:color w:val="000000"/>
                <w:sz w:val="18"/>
                <w:szCs w:val="18"/>
                <w:lang w:eastAsia="en-GB"/>
              </w:rPr>
              <w:t>around the spot of the monkey death. It is also effective on forest tracks frequently visited by people for various activities.</w:t>
            </w:r>
          </w:p>
          <w:p w14:paraId="42711C9B"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08634D57"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Assumes that the main risk for humans in being bitten by infected ticks arises at a hotspot where ticks may leave a dying or dead monkey with high KFDV viraemia. The purpose of insecticide application is to kill </w:t>
            </w:r>
            <w:r>
              <w:rPr>
                <w:rFonts w:eastAsia="Times New Roman" w:cstheme="minorHAnsi"/>
                <w:color w:val="000000"/>
                <w:sz w:val="18"/>
                <w:szCs w:val="18"/>
                <w:lang w:eastAsia="en-GB"/>
              </w:rPr>
              <w:t>both partially fed and fully fed ticks (which may moult into infected nymph).</w:t>
            </w:r>
          </w:p>
          <w:p w14:paraId="649AACB7" w14:textId="77777777" w:rsidR="00D03F73" w:rsidRPr="00502244" w:rsidRDefault="00D03F73" w:rsidP="00316350">
            <w:pPr>
              <w:rPr>
                <w:rFonts w:eastAsia="Times New Roman" w:cstheme="minorHAnsi"/>
                <w:color w:val="000000"/>
                <w:sz w:val="18"/>
                <w:szCs w:val="18"/>
                <w:lang w:eastAsia="en-GB"/>
              </w:rPr>
            </w:pPr>
          </w:p>
        </w:tc>
        <w:tc>
          <w:tcPr>
            <w:tcW w:w="2977" w:type="dxa"/>
            <w:hideMark/>
          </w:tcPr>
          <w:p w14:paraId="1CE0C578" w14:textId="6CC10A44"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KFDV-infected monkeys are known to have high titres of virus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F1000_CSL_CITATION&lt;~#@#~&gt;[{"title":"Kyasanur forest disease virus: viremia and challenge studies in monkeys with evidence of cross-protection by Langat virus infection. [version 1; peer review: 3 approved]","id":"1133522","page":"61","type":"article-journal","volume":"1","author":[{"family":"Shah","given":"Keerti V"},{"family":"Dandawate","given":"Chandu N"},{"family":"Bhatt","given":"Pravin N"}],"issued":{"date-parts":[["2012","12","7"]]},"container-title":"F1000Research","container-title-short":"F1000Res.","journalAbbreviation":"F1000Res.","DOI":"10.12688/f1000research.1-61.v1","PMID":"24627765","PMCID":"PMC3924949","citation-label":"1133522","Abstract":"Kyasanur Forest Disease Virus (KFDV), discovered in 1957, is a member of the tick-borne encephalitis virus (TBEV) complex. Diseases caused by members of the TBEV complex occur in many parts of the world. KFDV produces a hemorrhagic fever in humans in South India and fatal illnesses in both species of monkeys in the area, the black faced langur (Presbytis entellus) and the bonnet macaque (Macaca radiata). Experimental infection of the langur and the bonnet macaque with early mouse passage KFDV strain P9605 resulted in a viremia of up to 11 days duration, peak viremia titers as high as 10 (9), and death in 82 = 100% of the animals. Prolonged passage of the KFDV strain P9605 in monkey kidney tissue culture resulted in a markedly reduced virulence of the virus for both species; peak viremia titers in monkeys decreased by 2.5 to 4.0 log LD 50 (p= 0.001), and the mortality decreased to 10% (p= 0.001). In challenge experiments, monkeys previously infected with tissue-culture-adapted KFDV, or with the related Langat virus from Malaysia, were fully protected against virulent KFDV. These studies in non-human primates lend support to the idea that a live virus vaccine from a member of the TBEV complex may be broadly protective against infections by other members of the TBEV complex. ","CleanAbstract":"Kyasanur Forest Disease Virus (KFDV), discovered in 1957, is a member of the tick-borne encephalitis virus (TBEV) complex. Diseases caused by members of the TBEV complex occur in many parts of the world. KFDV produces a hemorrhagic fever in humans in South India and fatal illnesses in both species of monkeys in the area, the black faced langur (Presbytis entellus) and the bonnet macaque (Macaca radiata). Experimental infection of the langur and the bonnet macaque with early mouse passage KFDV strain P9605 resulted in a viremia of up to 11 days duration, peak viremia titers as high as 10 (9), and death in 82 = 100% of the animals. Prolonged passage of the KFDV strain P9605 in monkey kidney tissue culture resulted in a markedly reduced virulence of the virus for both species; peak viremia titers in monkeys decreased by 2.5 to 4.0 log LD 50 (p= 0.001), and the mortality decreased to 10% (p= 0.001). In challenge experiments, monkeys previously infected with tissue-culture-adapted KFDV, or with the related Langat virus from Malaysia, were fully protected against virulent KFDV. These studies in non-human primates lend support to the idea that a live virus vaccine from a member of the TBEV complex may be broadly protective against infections by other members of the TBEV complex. "}]</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(9)</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and so are likely to bear infected ticks. There is evidence that engorged ticks can move up to 30cm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F1000_CSL_CITATION&lt;~#@#~&gt;[{"title":"Observations on the biology of Haemaphysalis spinigera Neumann, 1897 (Acarina: Ixodidae) under Natural conditions in KFD area. ","id":"4590782","page":"548-562","type":"article-journal","volume":"82","author":[{"family":"Bhat","given":"H R"}],"issued":{"date-parts":[["1986"]]},"container-title":"Journal of Bombay Natural History Societ","citation-label":"4590782","CleanAbstract":"No abstract available"}]</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(10)</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but no empirical data exists on whether and how successfully interrupted feeding occurs in the species of tick most commonly found to transmit KFDV. </w:t>
            </w:r>
          </w:p>
          <w:p w14:paraId="76045007" w14:textId="42D6760A"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Partially-fed ticks infected with KFDV have been found at sites of monkey-deaths, but experimental transmission studies suggest that these have limited potential to transmit virus by feeding on a second host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F1000_CSL_CITATION&lt;~#@#~&gt;[{"title":"Studies on the transmission of Kyasanur forest disease virus by partly fed ixodid ticks.","id":"4591087","page":"708-713","type":"article-journal","volume":"69","author":[{"family":"Sreenivasan","given":"M A"},{"family":"Bhat","given":"H R"},{"family":"Rajagopalan","given":"P K"}],"issued":{"date-parts":[["1979","5"]]},"container-title":"The Indian Journal of Medical Research","container-title-short":"Indian J. Med. Res.","journalAbbreviation":"Indian J. Med. Res.","PMID":"229077","citation-label":"4591087","Abstract":"&lt;p&gt;Large number of partly fed ixodid ticks have been found to drop on the forest ground soon after the death of monkeys in the Kyasanur forest disease (KFD) area. Twenty four pools of such partly fed larvae, nymphs and adults belonging to 5 species of ixodid ticks yielded KFD virus. Experimental transmission studies with partly fed larvae and nymphs of Haemaphysalis turturis and Ixodes petauristae showed that they pick up the virus after partial feeding on infected monkeys and squirrels, but have limited potential to transmit virus while completing feeding on second susceptible hosts.&lt;br&gt;&lt;/p&gt;","CleanAbstract":"Large number of partly fed ixodid ticks have been found to drop on the forest ground soon after the death of monkeys in the Kyasanur forest disease (KFD) area. Twenty four pools of such partly fed larvae, nymphs and adults belonging to 5 species of ixodid ticks yielded KFD virus. Experimental transmission studies with partly fed larvae and nymphs of Haemaphysalis turturis and Ixodes petauristae showed that they pick up the virus after partial feeding on infected monkeys and squirrels, but have limited potential to transmit virus while completing feeding on second susceptible hosts."}]</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(11)</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Indeed, such interrupted feeding (intra-stadial feeding) has only rarely been recorded in other tick-borne disease systems and most often under laboratory conditions, for example in </w:t>
            </w:r>
            <w:r w:rsidRPr="00502244">
              <w:rPr>
                <w:rFonts w:eastAsia="Times New Roman" w:cstheme="minorHAnsi"/>
                <w:i/>
                <w:color w:val="000000"/>
                <w:sz w:val="18"/>
                <w:szCs w:val="18"/>
                <w:lang w:eastAsia="en-GB"/>
              </w:rPr>
              <w:t>Rhipicephalus</w:t>
            </w:r>
            <w:r w:rsidRPr="00502244">
              <w:rPr>
                <w:rFonts w:eastAsia="Times New Roman" w:cstheme="minorHAnsi"/>
                <w:color w:val="000000"/>
                <w:sz w:val="18"/>
                <w:szCs w:val="18"/>
                <w:lang w:eastAsia="en-GB"/>
              </w:rPr>
              <w:t xml:space="preserve"> spp.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F1000_CSL_CITATION&lt;~#@#~&gt;[{"title":"Intra-stadial tick-borne Thogoto virus (Orthomyxoviridae) transmission: accelerated arbovirus transmission triggered by host death.","id":"7031413","page":"439-446","type":"article-journal","volume":"122","issue":"Pt 4","author":[{"family":"Wang","given":"H"},{"family":"Nuttall","given":"P A"}],"issued":{"date-parts":[["2001","4"]]},"container-title":"Parasitology","container-title-short":"Parasitology","journalAbbreviation":"Parasitology","DOI":"10.1017/S0031182001007478","PMID":"11315177","citation-label":"7031413","Abstract":"Haematophagous insect vectors of arthropod-borne viruses (arboviruses) feed repeatedly. Consequently, they can transmit arboviruses to more than one host during the same developmental stage (intra-stadial transmission). By contrast, ixodid ticks generally feed only once at each parasitic stage (larva, nymph, and adult) and hence they have only one opportunity for tickborne virus transmission per stadium (inter-stadial transmission). Under natural conditions, tick-infested hosts may die (from disease or other causes) before the ticks have completed their long period of engorgement. A laboratory model was used to investigate the consequences of premature host death on tick-borne virus transmission. We report intra-stadial transmission of Thogoto virus by the nymphal, male, and female ticks of Rhipicephalus appendiculatus. Tick-borne Thogoto virus infection caused viraemia and death of hamsters before the nymphal and adult ticks feeding on them had completed engorgement. The resulting partially fed ticks were allowed to continue engorgement on new, uninfected hosts (interrupted feeding). During feeding on the subsequent hosts, they transmitted the virus intra-stadially to susceptible hosts (hamsters), and to uninfected co-feeding ticks on non-susceptible hosts (guinea-pigs). Intra-stadial transmission, mediated by interrupted feeding, may help explain outbreaks of rapid and fatal tick-borne viral diseases, and the epidemiology as well as evolution of virulence, in a susceptible host population. Additionally, intra-stadial transmission provides an increased risk of tick-borne pathogen transmission to humans and domestic animals during slaughter and game hunting.","CleanAbstract":"Haematophagous insect vectors of arthropod-borne viruses (arboviruses) feed repeatedly. Consequently, they can transmit arboviruses to more than one host during the same developmental stage (intra-stadial transmission). By contrast, ixodid ticks generally feed only once at each parasitic stage (larva, nymph, and adult) and hence they have only one opportunity for tickborne virus transmission per stadium (inter-stadial transmission). Under natural conditions, tick-infested hosts may die (from disease or other causes) before the ticks have completed their long period of engorgement. A laboratory model was used to investigate the consequences of premature host death on tick-borne virus transmission. We report intra-stadial transmission of Thogoto virus by the nymphal, male, and female ticks of Rhipicephalus appendiculatus. Tick-borne Thogoto virus infection caused viraemia and death of hamsters before the nymphal and adult ticks feeding on them had completed engorgement. The resulting partially fed ticks were allowed to continue engorgement on new, uninfected hosts (interrupted feeding). During feeding on the subsequent hosts, they transmitted the virus intra-stadially to susceptible hosts (hamsters), and to uninfected co-feeding ticks on non-susceptible hosts (guinea-pigs). Intra-stadial transmission, mediated by interrupted feeding, may help explain outbreaks of rapid and fatal tick-borne viral diseases, and the epidemiology as well as evolution of virulence, in a susceptible host population. Additionally, intra-stadial transmission provides an increased risk of tick-borne pathogen transmission to humans and domestic animals during slaughter and game hunting."},{"title":"Movement of Rhipicephalus sanguineus adults between co-housed dogs during active feeding.","id":"8347686","page":"139-145","type":"article-journal","volume":"150","issue":"1-2","author":[{"family":"Little","given":"Susan E"},{"family":"Hostetler","given":"Joe"},{"family":"Kocan","given":"Katherine M"}],"issued":{"date-parts":[["2007","11","30"]]},"container-title":"Veterinary Parasitology","container-title-short":"Vet. Parasitol.","journalAbbreviation":"Vet. Parasitol.","DOI":"10.1016/j.vetpar.2007.08.029","PMID":"17904292","citation-label":"8347686","Abstract":"Adult male ticks have been shown capable of experimental acquisition and transmission of tick-borne pathogens without requiring a molt. To determine the ecological relevance of this intrastadial transmission route, we evaluated the extent to which actively feeding male Rhipicephalus sanguineus move naturally between co-housed infested dogs. Dogs (n=4) were infested with single color-coded ticks, individually housed in tick-confinement cages for 48 h while infestations established, and then each dog examined and the ticks present counted. Dogs were then co-housed in a large, group pen for an additional 7 (study 1) or 5 (study 2) days. In the first study, sex ratios were adjusted to encourage migration, with two dogs receiving predominantly female ticks and two dogs receiving all male ticks. In the second study, each dog received a ratio of ticks that parallels that found in natural infestations (4:1 male to female). Results showed that ticks readily migrated between infested, co-housed dogs. Rates of immigration, defined as the percentage of ticks previously attached to one dog that moved onto another dog, ranged from 0 to 46% (mean=31.1% study 1; 9.4% study 2). Emigration rates, defined as the number of ticks initially infesting one dog that moved to another dog, averaged 35.2% in study 1 and 10.8% in study 2 (3.6-67.6%). Movement of adult ticks between dogs represents a naturally occurring form of interrupted feeding, a strategy which has been shown to shorten the feeding time necessary to allow transmission of pathogens. In ticks that readily detach from one host and reattach to a second host to resume feeding, replication of any pathogens present has already been initiated and therefore the same delay in transmission seen in ticks attached to a host for the first time may not occur.","CleanAbstract":"Adult male ticks have been shown capable of experimental acquisition and transmission of tick-borne pathogens without requiring a molt. To determine the ecological relevance of this intrastadial transmission route, we evaluated the extent to which actively feeding male Rhipicephalus sanguineus move naturally between co-housed infested dogs. Dogs (n=4) were infested with single color-coded ticks, individually housed in tick-confinement cages for 48 h while infestations established, and then each dog examined and the ticks present counted. Dogs were then co-housed in a large, group pen for an additional 7 (study 1) or 5 (study 2) days. In the first study, sex ratios were adjusted to encourage migration, with two dogs receiving predominantly female ticks and two dogs receiving all male ticks. In the second study, each dog received a ratio of ticks that parallels that found in natural infestations (4:1 male to female). Results showed that ticks readily migrated between infested, co-housed dogs. Rates of immigration, defined as the percentage of ticks previously attached to one dog that moved onto another dog, ranged from 0 to 46% (mean=31.1% study 1; 9.4% study 2). Emigration rates, defined as the number of ticks initially infesting one dog that moved to another dog, averaged 35.2% in study 1 and 10.8% in study 2 (3.6-67.6%). Movement of adult ticks between dogs represents a naturally occurring form of interrupted feeding, a strategy which has been shown to shorten the feeding time necessary to allow transmission of pathogens. In ticks that readily detach from one host and reattach to a second host to resume feeding, replication of any pathogens present has already been initiated and therefore the same delay in transmission seen in ticks attached to a host for the first time may not occur."}]</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(12,13)</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There is therefore no direct empirical evidence that locations of monkey deaths are hotspots of host-seeking infected ticks capable of transmitting the virus to humans.</w:t>
            </w:r>
          </w:p>
          <w:p w14:paraId="1E7F08AB" w14:textId="77777777" w:rsidR="00D03F73" w:rsidRPr="00502244" w:rsidRDefault="00D03F73" w:rsidP="00316350">
            <w:pPr>
              <w:rPr>
                <w:rFonts w:eastAsia="Times New Roman" w:cstheme="minorHAnsi"/>
                <w:color w:val="000000"/>
                <w:sz w:val="18"/>
                <w:szCs w:val="18"/>
                <w:lang w:eastAsia="en-GB"/>
              </w:rPr>
            </w:pPr>
          </w:p>
        </w:tc>
        <w:tc>
          <w:tcPr>
            <w:tcW w:w="4252" w:type="dxa"/>
          </w:tcPr>
          <w:p w14:paraId="0A7C3FCC" w14:textId="77777777" w:rsidR="00D03F73" w:rsidRPr="00502244" w:rsidRDefault="00D03F73" w:rsidP="00316350">
            <w:pPr>
              <w:jc w:val="both"/>
              <w:rPr>
                <w:rFonts w:eastAsia="Times New Roman" w:cstheme="minorHAnsi"/>
                <w:color w:val="000000"/>
                <w:sz w:val="18"/>
                <w:szCs w:val="18"/>
                <w:lang w:eastAsia="en-GB"/>
              </w:rPr>
            </w:pPr>
          </w:p>
        </w:tc>
        <w:tc>
          <w:tcPr>
            <w:tcW w:w="3686" w:type="dxa"/>
            <w:hideMark/>
          </w:tcPr>
          <w:p w14:paraId="5BA82703" w14:textId="47B035DB"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Intervention is not currently justified, further empirical evidence is needed to address whether this is a valid management practice. Humans are mainly infected by nymphal ticks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F1000_CSL_CITATION&lt;~#@#~&gt;[{"title":"Kyasanur Forest Disease 1957-1964","id":"8596071","type":"book","publisher":"Indian Council of Medical Research","author":[{"family":"Virus Research Centre, Pune, India."}],"issued":{"date-parts":[["1964"]]},"citation-label":"8596071","CleanAbstract":"No abstract available"}]</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(14)</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For the dead monkey to constitute an infection risk to humans, either infected partially-fed nymphs must be leaving the dead monkey and searching for a new host (which assumes that intra-stadial feeding is occurring) or infected larvae, infected either by co-feeding or systemically, leave the dead monkey and then pose a risk to humans after they have moulted to become nymphs and seek new hosts. Management currently assumes that the focal risk arises from ticks leaving the dead monkey- if no  questing behaviour is occurring in partially-fed nymphs then the likely rate of potentially infected and viable ticks arising from the host is no greater than for any suitable habitat where the monkey has spent time. Additionally, there is evidence from tick populations in other parts of India that malathion resistance can be an issue in tick control and also that malathion can have implications for human and animal health, such as limited evidence it can increase cancer risk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F1000_CSL_CITATION&lt;~#@#~&gt;[{"title":"Pesticides as risk factors for head and neck cancer: A review.","id":"7679959","page":"641-651","type":"article-journal","volume":"47","issue":"7","author":[{"family":"Brasil","given":"Veruska Lima Moura"},{"family":"Ramos Pinto","given":"Mariana Bitu"},{"family":"Bonan","given":"Roberta Ferreti"},{"family":"Kowalski","given":"Luiz Paulo"},{"family":"da Cruz Perez","given":"Danyel Elias"}],"issued":{"date-parts":[["2018","8"]]},"container-title":"Journal of Oral Pathology &amp; Medicine","container-title-short":"J. Oral Pathol. Med.","journalAbbreviation":"J. Oral Pathol. Med.","DOI":"10.1111/jop.12701","PMID":"29489035","citation-label":"7679959","Abstract":"Humans may be exposed to pesticides such as fungicides, herbicides, and insecticides, during occupational and non-occupational activities. Pesticides could be related to cancer development mainly because of their effects on the endocrine and immune systems and their cumulative effect. The present review evaluated in current literature evidence of an association between exposure to pesticides and the occurrence of head and neck cancer (HNC). A literature search for cohort studies was conducted in the PubMed, Web of science, and Cochrane databases. Methodological quality of each study was rated with the Scottish Intercollegiate Guidelines Network (SIGN) checklist. One thousand one hundred and thirty-two studies were identified. Thirty-two were included. Most of the studies found addressed occupational exposure to pesticides and were conducted in Europe and North America. Eleven high-quality studies were found. Most of them found no association between exposure to pesticides and increased risk of HNC. Two studies found some evidence of a positive association between pesticide (malathion and atrazine) exposure and thyroid cancer. The literature review does not support a clear evidence for association between pesticides exposure and HNC. Only limited evidence points to a positive association between exposure to some pesticides and thyroid cancer. Further standardized studies based on appropriate designs are required to clarify the effect of pesticides on the genesis of HNC, considering dose, length of exposure, and type of pesticide.&lt;br&gt;&lt;br&gt;© 2018 John Wiley &amp; Sons A/S. Published by John Wiley &amp; Sons Ltd.","CleanAbstract":"Humans may be exposed to pesticides such as fungicides, herbicides, and insecticides, during occupational and non-occupational activities. Pesticides could be related to cancer development mainly because of their effects on the endocrine and immune systems and their cumulative effect. The present review evaluated in current literature evidence of an association between exposure to pesticides and the occurrence of head and neck cancer (HNC). A literature search for cohort studies was conducted in the PubMed, Web of science, and Cochrane databases. Methodological quality of each study was rated with the Scottish Intercollegiate Guidelines Network (SIGN) checklist. One thousand one hundred and thirty-two studies were identified. Thirty-two were included. Most of the studies found addressed occupational exposure to pesticides and were conducted in Europe and North America. Eleven high-quality studies were found. Most of them found no association between exposure to pesticides and increased risk of HNC. Two studies found some evidence of a positive association between pesticide (malathion and atrazine) exposure and thyroid cancer. The literature review does not support a clear evidence for association between pesticides exposure and HNC. Only limited evidence points to a positive association between exposure to some pesticides and thyroid cancer. Further standardized studies based on appropriate designs are required to clarify the effect of pesticides on the genesis of HNC, considering dose, length of exposure, and type of pesticide.© 2018 John Wiley &amp; Sons A/S. Published by John Wiley &amp; Sons Ltd."}]</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(15)</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w:t>
            </w:r>
          </w:p>
        </w:tc>
      </w:tr>
      <w:tr w:rsidR="00D03F73" w:rsidRPr="00502244" w14:paraId="0C71D8E2" w14:textId="77777777" w:rsidTr="00534F58">
        <w:trPr>
          <w:trHeight w:val="3672"/>
        </w:trPr>
        <w:tc>
          <w:tcPr>
            <w:tcW w:w="0" w:type="auto"/>
            <w:hideMark/>
          </w:tcPr>
          <w:p w14:paraId="1CF678F2" w14:textId="77777777"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lastRenderedPageBreak/>
              <w:t xml:space="preserve">Prevention of tick bites on livestock </w:t>
            </w:r>
          </w:p>
          <w:p w14:paraId="368AA246" w14:textId="77777777" w:rsidR="00D03F73" w:rsidRDefault="00D03F73" w:rsidP="00316350">
            <w:pPr>
              <w:rPr>
                <w:rFonts w:eastAsia="Times New Roman" w:cstheme="minorHAnsi"/>
                <w:color w:val="000000"/>
                <w:sz w:val="18"/>
                <w:szCs w:val="18"/>
                <w:lang w:eastAsia="en-GB"/>
              </w:rPr>
            </w:pPr>
          </w:p>
          <w:p w14:paraId="7F802068"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w:t>
            </w:r>
            <w:r>
              <w:rPr>
                <w:rFonts w:eastAsia="Times New Roman" w:cstheme="minorHAnsi"/>
                <w:color w:val="000000"/>
                <w:sz w:val="18"/>
                <w:szCs w:val="18"/>
                <w:lang w:eastAsia="en-GB"/>
              </w:rPr>
              <w:t>vectors: vector density, distributions, habitats and behaviour</w:t>
            </w:r>
            <w:r w:rsidRPr="00502244">
              <w:rPr>
                <w:rFonts w:eastAsia="Times New Roman" w:cstheme="minorHAnsi"/>
                <w:color w:val="000000"/>
                <w:sz w:val="18"/>
                <w:szCs w:val="18"/>
                <w:lang w:eastAsia="en-GB"/>
              </w:rPr>
              <w:t>)</w:t>
            </w:r>
          </w:p>
          <w:p w14:paraId="716832D5"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45731BBA"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Application of insecticide on cattle can prevent transportation of ticks from forests to dwelling premises.</w:t>
            </w:r>
          </w:p>
          <w:p w14:paraId="6BFB7C45"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29DB4AC5" w14:textId="77777777"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Cattle have high tick loads and are capable of </w:t>
            </w:r>
            <w:r>
              <w:rPr>
                <w:rFonts w:eastAsia="Times New Roman" w:cstheme="minorHAnsi"/>
                <w:color w:val="000000"/>
                <w:sz w:val="18"/>
                <w:szCs w:val="18"/>
                <w:lang w:eastAsia="en-GB"/>
              </w:rPr>
              <w:t>moving infected ticks from high-</w:t>
            </w:r>
            <w:r w:rsidRPr="00502244">
              <w:rPr>
                <w:rFonts w:eastAsia="Times New Roman" w:cstheme="minorHAnsi"/>
                <w:color w:val="000000"/>
                <w:sz w:val="18"/>
                <w:szCs w:val="18"/>
                <w:lang w:eastAsia="en-GB"/>
              </w:rPr>
              <w:t>risk habitats such as forests into the vicinity of human habitation. Tick loads on cattle will be reduced by the application of appropriate acaricides.</w:t>
            </w:r>
          </w:p>
          <w:p w14:paraId="5CD02A07" w14:textId="77777777" w:rsidR="00D03F73" w:rsidRPr="00502244" w:rsidRDefault="00D03F73" w:rsidP="00316350">
            <w:pPr>
              <w:rPr>
                <w:rFonts w:eastAsia="Times New Roman" w:cstheme="minorHAnsi"/>
                <w:color w:val="000000"/>
                <w:sz w:val="18"/>
                <w:szCs w:val="18"/>
                <w:lang w:eastAsia="en-GB"/>
              </w:rPr>
            </w:pPr>
          </w:p>
        </w:tc>
        <w:tc>
          <w:tcPr>
            <w:tcW w:w="2977" w:type="dxa"/>
            <w:hideMark/>
          </w:tcPr>
          <w:p w14:paraId="38E92CCE" w14:textId="3C17D169"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Cattle are known to have high tick loads, including high loads of feeding adults and including H. spinigera,  athough the most common tick species found on cattle have not been incriminated in the KFDV transmission cycle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F1000_CSL_CITATION&lt;~#@#~&gt;[{"title":"Ixodid ticks on their mammalian hosts in the Kyasanur Forest disease area of Mysore State, India, 1961-64.","id":"4590664","page":"510-525","type":"article-journal","volume":"56","issue":"4","author":[{"family":"Rajagopalan","given":"P K"},{"family":"Patil","given":"A P"},{"family":"Boshell","given":"J"}],"issued":{"date-parts":[["1968","4"]]},"container-title":"The Indian Journal of Medical Research","container-title-short":"Indian J. Med. Res.","journalAbbreviation":"Indian J. Med. Res.","PMID":"4971268","citation-label":"4590664","CleanAbstract":"No abstract available"},{"title":"Distribution and prevalence of ticks on livestock population in endemic area of Kyasanur forest disease in Western Ghats of Kerala, South India.","id":"8596130","page":"256-262","type":"article-journal","volume":"43","issue":"2","author":[{"family":"Balasubramanian","given":"R"},{"family":"Yadav","given":"Pragya D"},{"family":"Sahina","given":"S"},{"family":"Arathy Nadh","given":"V"}],"issued":{"date-parts":[["2019","6"]]},"container-title":"Journal of parasitic diseases : official organ of the Indian Society for Parasitology","container-title-short":"J. Parasit. Dis.","journalAbbreviation":"J. Parasit. Dis.","DOI":"10.1007/s12639-019-01086-7","PMID":"31263331","PMCID":"PMC6570721","citation-label":"8596130","Abstract":"Tick borne zoonotic diseases are one of the major emerging threats to live stock and public health in India, especially in Western Ghats of south India. Since livestock and wild animals share habitats and grasslands, it is important to know the species composition of major tick parasitism on live stock as well as their geographical distribution for effective control of tick and tick borne diseases. This study provides basic knowledge that is necessary to initiate Kyasanur Forest Disease (KFD) prevention programs in these areas. Ticks were sampled from Wayanad districts of Kerala from domestic animals and identified morphologically. A total of 195 cattle searched, in which 168 (86.15%) cattle were infested with ticks and a total of 3633 ticks comprising three genera and seven species were collected, Rhipicephalus microplus (52.71%) was prevalent species followed by Haemaphysalis bispinosa (16.9%), Rhipicephalus decoloratus (15.77%), Haemaphysalis turturis (11.42%), Rhipicephalus sanguineus (1.32%), Amblyomma integrum (1.15%) and Haemaphysalis spinigera (0.71%) were identified based on their morphological characters. As R. microplus was the prevalent species, the risk of transmission of babesiosis and anaplasmosis to cattle increases and the presence of Haemaphysalis sp. point out the risk of KFD in among the tribal colony people and it can be reduced by applying with acaricides on domestic animals.","CleanAbstract":"Tick borne zoonotic diseases are one of the major emerging threats to live stock and public health in India, especially in Western Ghats of south India. Since livestock and wild animals share habitats and grasslands, it is important to know the species composition of major tick parasitism on live stock as well as their geographical distribution for effective control of tick and tick borne diseases. This study provides basic knowledge that is necessary to initiate Kyasanur Forest Disease (KFD) prevention programs in these areas. Ticks were sampled from Wayanad districts of Kerala from domestic animals and identified morphologically. A total of 195 cattle searched, in which 168 (86.15%) cattle were infested with ticks and a total of 3633 ticks comprising three genera and seven species were collected, Rhipicephalus microplus (52.71%) was prevalent species followed by Haemaphysalis bispinosa (16.9%), Rhipicephalus decoloratus (15.77%), Haemaphysalis turturis (11.42%), Rhipicephalus sanguineus (1.32%), Amblyomma integrum (1.15%) and Haemaphysalis spinigera (0.71%) were identified based on their morphological characters. As R. microplus was the prevalent species, the risk of transmission of babesiosis and anaplasmosis to cattle increases and the presence of Haemaphysalis sp. point out the risk of KFD in among the tribal colony people and it can be reduced by applying with acaricides on domestic animals."}]</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(16,17)</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Hence, cattle may act both as an amplifier of tick numbers and as a disperser of ticks between habitats.</w:t>
            </w:r>
          </w:p>
          <w:p w14:paraId="6468A1A4" w14:textId="77777777" w:rsidR="00D03F73" w:rsidRPr="00502244" w:rsidRDefault="00D03F73" w:rsidP="00316350">
            <w:pPr>
              <w:rPr>
                <w:rFonts w:eastAsia="Times New Roman" w:cstheme="minorHAnsi"/>
                <w:color w:val="000000"/>
                <w:sz w:val="18"/>
                <w:szCs w:val="18"/>
                <w:lang w:eastAsia="en-GB"/>
              </w:rPr>
            </w:pPr>
          </w:p>
          <w:p w14:paraId="1D0E035F" w14:textId="40F1DEA5"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However, conversely cattle may act to dilute KFDV infection. Cattle themselves do not show systemic infection with KFDV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F1000_CSL_CITATION&lt;~#@#~&gt;[{"title":"The reaction of cattle to Kyasanur Forest disease virus.","id":"4591126","page":"195-198","type":"article-journal","volume":"59","issue":"2","author":[{"family":"Anderson","given":"C R"},{"family":"Singh","given":"K R"}],"issued":{"date-parts":[["1971","2"]]},"container-title":"The Indian Journal of Medical Research","container-title-short":"Indian J. Med. Res.","journalAbbreviation":"Indian J. Med. Res.","PMID":"5579235","citation-label":"4591126","CleanAbstract":"No abstract available"}]</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(18)</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There is evidence from other systems that increased density of ungulate hosts which can amplify ticks but don’t have systemic infection, may dilute pathogen transmission by diverting tick bites from competent hosts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F1000_CSL_CITATION&lt;~#@#~&gt;[{"title":"Effect of deer density on tick infestation of rodents and the hazard of tick-borne encephalitis. II: population and infection models.","id":"4603244","page":"373-381","type":"article-journal","volume":"42","issue":"4","author":[{"family":"Bolzoni","given":"L"},{"family":"Rosà","given":"R"},{"family":"Cagnacci","given":"F"},{"family":"Rizzoli","given":"A"}],"issued":{"date-parts":[["2012","4"]]},"container-title":"International Journal for Parasitology","container-title-short":"Int. J. Parasitol.","journalAbbreviation":"Int. J. Parasitol.","DOI":"10.1016/j.ijpara.2012.02.006","PMID":"22429768","citation-label":"4603244","Abstract":"Tick-borne encephalitis is an emerging vector-borne zoonotic disease reported in several European and Asiatic countries with complex transmission routes that involve various vertebrate host species other than a tick vector. Understanding and quantifying the contribution of the different hosts involved in the TBE virus cycle is crucial in estimating the threshold conditions for virus emergence and spread. Some hosts, such as rodents, act both as feeding hosts for ticks and reservoirs of the infection. Other species, such as deer, provide important sources of blood for feeding ticks but they do not support TBE virus transmission, acting instead as dead-end (i.e., incompetent) hosts. Here, we introduce an eco-epidemiological model to explore the dynamics of tick populations and TBE virus infection in relation to the density of two key hosts. In particular, our aim is to validate and interpret in a robust theoretical framework the empirical findings regarding the effect of deer density on tick infestation on rodents and thus TBE virus occurrence from selected European foci. Model results show hump-shaped relationships between deer density and both feeding ticks on rodents and the basic reproduction number for TBE virus. This suggests that deer may act as tick amplifiers, but may also divert tick bites from competent hosts, thus diluting pathogen transmission. However, our model shows that the mechanism responsible for the dilution effect is more complex than the simple reduction of tick burden on competent hosts. Indeed, while the number of feeding ticks on rodents may increase with deer density, the proportion of blood meals on competent compared with incompetent hosts may decrease, triggering a decline in infection. As a consequence, using simply the number of ticks per rodent as a predictor of TBE transmission potential could be misleading if competent hosts share habitats with incompetent hosts.&lt;br&gt;&lt;br&gt;Copyright © 2012 Australian Society for Parasitology Inc. Published by Elsevier Ltd. All rights reserved.","CleanAbstract":"Tick-borne encephalitis is an emerging vector-borne zoonotic disease reported in several European and Asiatic countries with complex transmission routes that involve various vertebrate host species other than a tick vector. Understanding and quantifying the contribution of the different hosts involved in the TBE virus cycle is crucial in estimating the threshold conditions for virus emergence and spread. Some hosts, such as rodents, act both as feeding hosts for ticks and reservoirs of the infection. Other species, such as deer, provide important sources of blood for feeding ticks but they do not support TBE virus transmission, acting instead as dead-end (i.e., incompetent) hosts. Here, we introduce an eco-epidemiological model to explore the dynamics of tick populations and TBE virus infection in relation to the density of two key hosts. In particular, our aim is to validate and interpret in a robust theoretical framework the empirical findings regarding the effect of deer density on tick infestation on rodents and thus TBE virus occurrence from selected European foci. Model results show hump-shaped relationships between deer density and both feeding ticks on rodents and the basic reproduction number for TBE virus. This suggests that deer may act as tick amplifiers, but may also divert tick bites from competent hosts, thus diluting pathogen transmission. However, our model shows that the mechanism responsible for the dilution effect is more complex than the simple reduction of tick burden on competent hosts. Indeed, while the number of feeding ticks on rodents may increase with deer density, the proportion of blood meals on competent compared with incompetent hosts may decrease, triggering a decline in infection. As a consequence, using simply the number of ticks per rodent as a predictor of TBE transmission potential could be misleading if competent hosts share habitats with incompetent hosts.Copyright © 2012 Australian Society for Parasitology Inc. Published by Elsevier Ltd. All rights reserved."},{"title":"Quantifying dilution and amplification in a community of hosts for tick-borne pathogens.","id":"3964912","page":"484-498","type":"article-journal","volume":"26","issue":"2","author":[{"family":"Levi","given":"Taal"},{"family":"Keesing","given":"Felicia"},{"family":"Holt","given":"Robert D"},{"family":"Barfield","given":"Michael"},{"family":"Ostfeld","given":"Richard S"}],"issued":{"date-parts":[["2016","3"]]},"container-title":"Ecological Applications","container-title-short":"Ecol. Appl.","journalAbbreviation":"Ecol. Appl.","DOI":"10.1890/15-0122","PMID":"27209790","citation-label":"3964912","Abstract":"Recent controversy over whether biodiversity reduces disease risk (dilution effect) has focused on the ecology of Lyme disease, a tick-borne zoonosis. A criticism of the dilution effect is that increasing host species richness might amplify disease risk, assuming that total host abundance, and therefore feeding opportunities for ticks, increase with species richness. In contrast, a dilution effect is expected when poor quality hosts for ticks and pathogens (dilution hosts) divert tick blood meals away from competent hosts. Even if host densities are additive, the relationship between host density and tick encounters can be nonlinear if the number of ticks that encounter a host is a saturating function of host density, which occurs if ticks aggregate on the remaining hosts rather than failing to find a host before death. Both dilution and amplification are theoretical possibilities, and assessing which is more prevalent required detailed analyses of empirical systems. We used field data to explore the degree of tick redistribution onto fewer individuals with variation in intraspecific host density and novel data-driven models for tick dynamics to determine how changes in vertebrate community composition influence the density of nymphs infected with the Lyme bacterium. To be conservative, we allowed total host density to increase additively with species richness. Our long-term field studies found that larval and nymphal ticks redistribute onto fewer individuals as host densities decline, that a large proportion of nymphs and adults find hosts, and that mice and chipmunks feed a large proportion of nymphs. White-footed mice, eastern chipmunks, short-tailed shrews, and masked shrews were important amplification hosts that greatly increased the density of infected nymphs. Gray squirrels and Virginia opossums were important dilution hosts. Removing these two species increased the maximum number of larvae attached to amplification hosts by 57%. Raccoons and birds were minor dilution hosts under some conditions. Even under the assumption of additive community assembly, some species are likely to reduce the density of infected nymphs as diversity increases. If the assumption of additivity is relaxed, then species that reduce the density of small mammals through predation or competition might substantially reduce disease risk.","CleanAbstract":"Recent controversy over whether biodiversity reduces disease risk (dilution effect) has focused on the ecology of Lyme disease, a tick-borne zoonosis. A criticism of the dilution effect is that increasing host species richness might amplify disease risk, assuming that total host abundance, and therefore feeding opportunities for ticks, increase with species richness. In contrast, a dilution effect is expected when poor quality hosts for ticks and pathogens (dilution hosts) divert tick blood meals away from competent hosts. Even if host densities are additive, the relationship between host density and tick encounters can be nonlinear if the number of ticks that encounter a host is a saturating function of host density, which occurs if ticks aggregate on the remaining hosts rather than failing to find a host before death. Both dilution and amplification are theoretical possibilities, and assessing which is more prevalent required detailed analyses of empirical systems. We used field data to explore the degree of tick redistribution onto fewer individuals with variation in intraspecific host density and novel data-driven models for tick dynamics to determine how changes in vertebrate community composition influence the density of nymphs infected with the Lyme bacterium. To be conservative, we allowed total host density to increase additively with species richness. Our long-term field studies found that larval and nymphal ticks redistribute onto fewer individuals as host densities decline, that a large proportion of nymphs and adults find hosts, and that mice and chipmunks feed a large proportion of nymphs. White-footed mice, eastern chipmunks, short-tailed shrews, and masked shrews were important amplification hosts that greatly increased the density of infected nymphs. Gray squirrels and Virginia opossums were important dilution hosts. Removing these two species increased the maximum number of larvae attached to amplification hosts by 57%. Raccoons and birds were minor dilution hosts under some conditions. Even under the assumption of additive community assembly, some species are likely to reduce the density of infected nymphs as diversity increases. If the assumption of additivity is relaxed, then species that reduce the density of small mammals through predation or competition might substantially reduce disease risk."}]</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(19,20)</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w:t>
            </w:r>
          </w:p>
          <w:p w14:paraId="3DA4117A" w14:textId="77777777" w:rsidR="00D03F73" w:rsidRPr="00502244" w:rsidRDefault="00D03F73" w:rsidP="00316350">
            <w:pPr>
              <w:rPr>
                <w:rFonts w:eastAsia="Times New Roman" w:cstheme="minorHAnsi"/>
                <w:color w:val="000000"/>
                <w:sz w:val="18"/>
                <w:szCs w:val="18"/>
                <w:lang w:eastAsia="en-GB"/>
              </w:rPr>
            </w:pPr>
          </w:p>
          <w:p w14:paraId="5A3F577A" w14:textId="46CCF0C8"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Acaricides are used widely globally to reduce tick loads on cattle, however, effectiveness depends on the substance used, the species of ticks being targeted and on whether there is acaricide-resistance in tick populations (see review by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F1000_CSL_CITATION&lt;~#@#~&gt;[{"title":"Chemical control of ticks on cattle and the resistance of these parasites to acaricides","id":"2636806","page":"S353-S366","type":"article-journal","volume":"129","issue":"7","author":[{"family":"George","given":"J E"},{"family":"Pound","given":"J M"},{"family":"Davey","given":"R B"}],"issued":{"date-parts":[["2004","10"]]},"container-title":"Parasitology","container-title-short":"Parasitology","journalAbbreviation":"Parasitology","DOI":"10.1017/S0031182003004682","AuthorYearDisplayFormat":true,"Default":true,"citation-label":"2636806","CleanAbstract":"No abstract available"}]</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(21)</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w:t>
            </w:r>
          </w:p>
        </w:tc>
        <w:tc>
          <w:tcPr>
            <w:tcW w:w="4252" w:type="dxa"/>
          </w:tcPr>
          <w:p w14:paraId="4B0BBB36" w14:textId="77777777" w:rsidR="00D03F73"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“…W</w:t>
            </w:r>
            <w:r w:rsidRPr="000977F7">
              <w:rPr>
                <w:rFonts w:eastAsia="Times New Roman" w:cstheme="minorHAnsi"/>
                <w:color w:val="000000"/>
                <w:sz w:val="18"/>
                <w:szCs w:val="18"/>
                <w:lang w:eastAsia="en-GB"/>
              </w:rPr>
              <w:t>hen pet animals visit the forest, not only buffalo, rat and dog als</w:t>
            </w:r>
            <w:r>
              <w:rPr>
                <w:rFonts w:eastAsia="Times New Roman" w:cstheme="minorHAnsi"/>
                <w:color w:val="000000"/>
                <w:sz w:val="18"/>
                <w:szCs w:val="18"/>
                <w:lang w:eastAsia="en-GB"/>
              </w:rPr>
              <w:t>o, they have a chance to carry ticks on their body, those n</w:t>
            </w:r>
            <w:r w:rsidRPr="000977F7">
              <w:rPr>
                <w:rFonts w:eastAsia="Times New Roman" w:cstheme="minorHAnsi"/>
                <w:color w:val="000000"/>
                <w:sz w:val="18"/>
                <w:szCs w:val="18"/>
                <w:lang w:eastAsia="en-GB"/>
              </w:rPr>
              <w:t>ymph stage ticks become adult. In this situation, veterinary department helps to control the adult tick by applying chemical</w:t>
            </w:r>
            <w:r>
              <w:rPr>
                <w:rFonts w:eastAsia="Times New Roman" w:cstheme="minorHAnsi"/>
                <w:color w:val="000000"/>
                <w:sz w:val="18"/>
                <w:szCs w:val="18"/>
                <w:lang w:eastAsia="en-GB"/>
              </w:rPr>
              <w:t xml:space="preserve"> [acaricides] </w:t>
            </w:r>
            <w:r w:rsidRPr="000977F7">
              <w:rPr>
                <w:rFonts w:eastAsia="Times New Roman" w:cstheme="minorHAnsi"/>
                <w:color w:val="000000"/>
                <w:sz w:val="18"/>
                <w:szCs w:val="18"/>
                <w:lang w:eastAsia="en-GB"/>
              </w:rPr>
              <w:t>on the animal body.</w:t>
            </w:r>
            <w:r>
              <w:rPr>
                <w:rFonts w:eastAsia="Times New Roman" w:cstheme="minorHAnsi"/>
                <w:color w:val="000000"/>
                <w:sz w:val="18"/>
                <w:szCs w:val="18"/>
                <w:lang w:eastAsia="en-GB"/>
              </w:rPr>
              <w:t>”</w:t>
            </w:r>
          </w:p>
          <w:p w14:paraId="1C19E2EE" w14:textId="77777777" w:rsidR="00D03F73" w:rsidRDefault="00D03F73" w:rsidP="00316350">
            <w:pPr>
              <w:rPr>
                <w:rFonts w:eastAsia="Times New Roman" w:cstheme="minorHAnsi"/>
                <w:color w:val="000000"/>
                <w:sz w:val="18"/>
                <w:szCs w:val="18"/>
                <w:lang w:eastAsia="en-GB"/>
              </w:rPr>
            </w:pPr>
          </w:p>
          <w:p w14:paraId="282395E9" w14:textId="77777777" w:rsidR="00D03F73" w:rsidRDefault="00D03F73" w:rsidP="00316350">
            <w:pPr>
              <w:jc w:val="both"/>
              <w:rPr>
                <w:rFonts w:eastAsia="Times New Roman" w:cstheme="minorHAnsi"/>
                <w:color w:val="000000"/>
                <w:sz w:val="18"/>
                <w:szCs w:val="18"/>
                <w:lang w:eastAsia="en-GB"/>
              </w:rPr>
            </w:pPr>
            <w:r>
              <w:rPr>
                <w:rFonts w:eastAsia="Times New Roman" w:cstheme="minorHAnsi"/>
                <w:color w:val="000000"/>
                <w:sz w:val="18"/>
                <w:szCs w:val="18"/>
                <w:lang w:eastAsia="en-GB"/>
              </w:rPr>
              <w:t>“</w:t>
            </w:r>
            <w:r w:rsidRPr="00097CE8">
              <w:rPr>
                <w:rFonts w:eastAsia="Times New Roman" w:cstheme="minorHAnsi"/>
                <w:color w:val="000000"/>
                <w:sz w:val="18"/>
                <w:szCs w:val="18"/>
                <w:lang w:eastAsia="en-GB"/>
              </w:rPr>
              <w:t>We said to people that do not leave the cattle to the forest because they carry ticks to home so that l</w:t>
            </w:r>
            <w:r>
              <w:rPr>
                <w:rFonts w:eastAsia="Times New Roman" w:cstheme="minorHAnsi"/>
                <w:color w:val="000000"/>
                <w:sz w:val="18"/>
                <w:szCs w:val="18"/>
                <w:lang w:eastAsia="en-GB"/>
              </w:rPr>
              <w:t>eads to disease. Though it [KFDV] does no</w:t>
            </w:r>
            <w:r w:rsidRPr="00097CE8">
              <w:rPr>
                <w:rFonts w:eastAsia="Times New Roman" w:cstheme="minorHAnsi"/>
                <w:color w:val="000000"/>
                <w:sz w:val="18"/>
                <w:szCs w:val="18"/>
                <w:lang w:eastAsia="en-GB"/>
              </w:rPr>
              <w:t>t come from adult ticks still that is a carrier, that lie egg, that multiply and increase in their count. Fodder shortage problem happen because animals did not leave to the forest.</w:t>
            </w:r>
            <w:r>
              <w:rPr>
                <w:rFonts w:eastAsia="Times New Roman" w:cstheme="minorHAnsi"/>
                <w:color w:val="000000"/>
                <w:sz w:val="18"/>
                <w:szCs w:val="18"/>
                <w:lang w:eastAsia="en-GB"/>
              </w:rPr>
              <w:t>”</w:t>
            </w:r>
          </w:p>
          <w:p w14:paraId="783AD020" w14:textId="77777777" w:rsidR="00D03F73" w:rsidRDefault="00D03F73" w:rsidP="00316350">
            <w:pPr>
              <w:jc w:val="both"/>
              <w:rPr>
                <w:rFonts w:eastAsia="Times New Roman" w:cstheme="minorHAnsi"/>
                <w:color w:val="000000"/>
                <w:sz w:val="18"/>
                <w:szCs w:val="18"/>
                <w:lang w:eastAsia="en-GB"/>
              </w:rPr>
            </w:pPr>
          </w:p>
          <w:p w14:paraId="034F5C95" w14:textId="77777777" w:rsidR="00D03F73" w:rsidRPr="00502244" w:rsidRDefault="00D03F73" w:rsidP="00316350">
            <w:pPr>
              <w:jc w:val="both"/>
              <w:rPr>
                <w:rFonts w:eastAsia="Times New Roman" w:cstheme="minorHAnsi"/>
                <w:color w:val="000000"/>
                <w:sz w:val="18"/>
                <w:szCs w:val="18"/>
                <w:lang w:eastAsia="en-GB"/>
              </w:rPr>
            </w:pPr>
            <w:r>
              <w:rPr>
                <w:rFonts w:eastAsia="Times New Roman" w:cstheme="minorHAnsi"/>
                <w:color w:val="000000"/>
                <w:sz w:val="18"/>
                <w:szCs w:val="18"/>
                <w:lang w:eastAsia="en-GB"/>
              </w:rPr>
              <w:t>“S</w:t>
            </w:r>
            <w:r w:rsidRPr="00CF24A7">
              <w:rPr>
                <w:rFonts w:eastAsia="Times New Roman" w:cstheme="minorHAnsi"/>
                <w:color w:val="000000"/>
                <w:sz w:val="18"/>
                <w:szCs w:val="18"/>
                <w:lang w:eastAsia="en-GB"/>
              </w:rPr>
              <w:t>ee, now animals go to forest for grazing and comes back to home, for that anti tick measures should be taken because tic</w:t>
            </w:r>
            <w:r>
              <w:rPr>
                <w:rFonts w:eastAsia="Times New Roman" w:cstheme="minorHAnsi"/>
                <w:color w:val="000000"/>
                <w:sz w:val="18"/>
                <w:szCs w:val="18"/>
                <w:lang w:eastAsia="en-GB"/>
              </w:rPr>
              <w:t>ks might come from cattle also…”</w:t>
            </w:r>
          </w:p>
        </w:tc>
        <w:tc>
          <w:tcPr>
            <w:tcW w:w="3686" w:type="dxa"/>
            <w:hideMark/>
          </w:tcPr>
          <w:p w14:paraId="169F6479"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No, because it is currently unknown whether cattle may be acting as tick (and indirectly disease) amplifiers or whether they are acting to dilute infection risk. Cattle may be moving infected ticks to human habitations, and due to having high tick infestation levels (particularly adults: fully fed females are capable of laying thousands of eggs and giving rise to hotspots of larval ticks)  and large activity ranges, may be maintaining high tick densities in habitats around villages, leading to higher vector availability for hosts that can potentially transmit KFDV. </w:t>
            </w:r>
          </w:p>
          <w:p w14:paraId="7BDE2D1A" w14:textId="77777777" w:rsidR="00D03F73" w:rsidRPr="00502244" w:rsidRDefault="00D03F73" w:rsidP="00316350">
            <w:pPr>
              <w:rPr>
                <w:rFonts w:eastAsia="Times New Roman" w:cstheme="minorHAnsi"/>
                <w:color w:val="000000"/>
                <w:sz w:val="18"/>
                <w:szCs w:val="18"/>
                <w:lang w:eastAsia="en-GB"/>
              </w:rPr>
            </w:pPr>
          </w:p>
          <w:p w14:paraId="157549AA" w14:textId="042C2F20"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 Although acaricides can reduce tick burdens on cattle, there may be issues with resistance to these pesticides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F1000_CSL_CITATION&lt;~#@#~&gt;[{"title":"Chemical control of ticks on cattle and the resistance of these parasites to acaricides","id":"2636806","page":"S353-S366","type":"article-journal","volume":"129","issue":"7","author":[{"family":"George","given":"J E"},{"family":"Pound","given":"J M"},{"family":"Davey","given":"R B"}],"issued":{"date-parts":[["2004","10"]]},"container-title":"Parasitology","container-title-short":"Parasitology","journalAbbreviation":"Parasitology","DOI":"10.1017/S0031182003004682","citation-label":"2636806","CleanAbstract":"No abstract available"}]</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(21)</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There is also a need for clear guidance on the choice of appropriate acaricide and/or repellent for livestock, and frequency of application.</w:t>
            </w:r>
          </w:p>
          <w:p w14:paraId="4F97C51D" w14:textId="77777777" w:rsidR="00D03F73" w:rsidRPr="00502244" w:rsidRDefault="00D03F73" w:rsidP="00316350">
            <w:pPr>
              <w:rPr>
                <w:rFonts w:eastAsia="Times New Roman" w:cstheme="minorHAnsi"/>
                <w:color w:val="000000"/>
                <w:sz w:val="18"/>
                <w:szCs w:val="18"/>
                <w:lang w:eastAsia="en-GB"/>
              </w:rPr>
            </w:pPr>
          </w:p>
        </w:tc>
      </w:tr>
      <w:tr w:rsidR="00D03F73" w:rsidRPr="00502244" w14:paraId="620F7CA3" w14:textId="77777777" w:rsidTr="00534F58">
        <w:trPr>
          <w:trHeight w:val="3486"/>
        </w:trPr>
        <w:tc>
          <w:tcPr>
            <w:tcW w:w="0" w:type="auto"/>
            <w:hideMark/>
          </w:tcPr>
          <w:p w14:paraId="069A066F" w14:textId="77777777"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lastRenderedPageBreak/>
              <w:t xml:space="preserve">Reduction of ticks in habitat </w:t>
            </w:r>
          </w:p>
          <w:p w14:paraId="5DF589DE" w14:textId="77777777" w:rsidR="00D03F73" w:rsidRDefault="00D03F73" w:rsidP="00316350">
            <w:pPr>
              <w:rPr>
                <w:rFonts w:eastAsia="Times New Roman" w:cstheme="minorHAnsi"/>
                <w:color w:val="000000"/>
                <w:sz w:val="18"/>
                <w:szCs w:val="18"/>
                <w:lang w:eastAsia="en-GB"/>
              </w:rPr>
            </w:pPr>
          </w:p>
          <w:p w14:paraId="2FB6F6AC"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w:t>
            </w:r>
            <w:r>
              <w:rPr>
                <w:rFonts w:eastAsia="Times New Roman" w:cstheme="minorHAnsi"/>
                <w:color w:val="000000"/>
                <w:sz w:val="18"/>
                <w:szCs w:val="18"/>
                <w:lang w:eastAsia="en-GB"/>
              </w:rPr>
              <w:t>vectors: vector density, distributions, habitats and behaviour</w:t>
            </w:r>
            <w:r w:rsidRPr="00502244">
              <w:rPr>
                <w:rFonts w:eastAsia="Times New Roman" w:cstheme="minorHAnsi"/>
                <w:color w:val="000000"/>
                <w:sz w:val="18"/>
                <w:szCs w:val="18"/>
                <w:lang w:eastAsia="en-GB"/>
              </w:rPr>
              <w:t>)</w:t>
            </w:r>
          </w:p>
          <w:p w14:paraId="1921E2FA" w14:textId="77777777" w:rsidR="00D03F73" w:rsidRPr="00502244" w:rsidRDefault="00D03F73" w:rsidP="00316350">
            <w:pPr>
              <w:rPr>
                <w:rFonts w:eastAsia="Times New Roman" w:cstheme="minorHAnsi"/>
                <w:color w:val="000000"/>
                <w:sz w:val="18"/>
                <w:szCs w:val="18"/>
                <w:lang w:eastAsia="en-GB"/>
              </w:rPr>
            </w:pPr>
          </w:p>
          <w:p w14:paraId="440D5707"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4ED088F3"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Controlled burning of the dry leaves and bushes in the forest boundaries, premises of human habitats.</w:t>
            </w:r>
          </w:p>
          <w:p w14:paraId="3122B136"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1AF543C7"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Assumes burning of vegetation will reduce tick densities and prevent human transmission of KFDV.</w:t>
            </w:r>
          </w:p>
          <w:p w14:paraId="4E35F6FE" w14:textId="77777777" w:rsidR="00D03F73" w:rsidRPr="00502244" w:rsidRDefault="00D03F73" w:rsidP="00316350">
            <w:pPr>
              <w:rPr>
                <w:rFonts w:eastAsia="Times New Roman" w:cstheme="minorHAnsi"/>
                <w:color w:val="000000"/>
                <w:sz w:val="18"/>
                <w:szCs w:val="18"/>
                <w:lang w:eastAsia="en-GB"/>
              </w:rPr>
            </w:pPr>
          </w:p>
        </w:tc>
        <w:tc>
          <w:tcPr>
            <w:tcW w:w="2977" w:type="dxa"/>
            <w:hideMark/>
          </w:tcPr>
          <w:p w14:paraId="075155FA" w14:textId="7AEF32C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Evidence on whether burning reduces tick densities in other systems is mixed. In general, there is evidence that repeated burning can reduce tick densities in the long-term. For example,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F1000_CSL_CITATION&lt;~#@#~&gt;[{"title":"The phenology of ticks and the effects of long-term prescribed burning on tick population dynamics in southwestern Georgia and northwestern Florida.","id":"7679986","page":"e112174","type":"article-journal","volume":"9","issue":"11","author":[{"family":"Gleim","given":"Elizabeth R"},{"family":"Conner","given":"L Mike"},{"family":"Berghaus","given":"Roy D"},{"family":"Levin","given":"Michael L"},{"family":"Zemtsova","given":"Galina E"},{"family":"Yabsley","given":"Michael J"}],"issued":{"date-parts":[["2014","11","6"]]},"container-title":"Plos One","container-title-short":"PLoS ONE","journalAbbreviation":"PLoS ONE","DOI":"10.1371/journal.pone.0112174","PMID":"25375797","PMCID":"PMC4223030","citation-label":"7679986","Abstract":"Some tick populations have increased dramatically in the past several decades leading to an increase in the incidence and emergence of tick-borne diseases. Management strategies that can effectively reduce tick populations while better understanding regional tick phenology is needed. One promising management strategy is prescribed burning. However, the efficacy of prescribed burning as a mechanism for tick control is unclear because past studies have provided conflicting data, likely due to a failure of some studies to simulate operational management scenarios and/or account for other predictors of tick abundance. Therefore, our study was conducted to increase knowledge of tick population dynamics relative to long-term prescribed fire management. Furthermore, we targeted a region, southwestern Georgia and northwestern Florida (USA), in which little is known regarding tick dynamics so that basic phenology could be determined. Twenty-one plots with varying burn regimes (burned surrounded by burned [BB], burned surrounded by unburned [BUB], unburned surrounded by burned [UBB], and unburned surrounded by unburned [UBUB]) were sampled monthly for two years while simultaneously collecting data on variables that can affect tick abundance (e.g., host abundance, vegetation structure, and micro- and macro-climatic conditions). In total, 47,185 ticks were collected, of which, 99% were Amblyomma americanum, 0.7% were Ixodes scapularis, and fewer numbers of Amblyomma maculatum, Ixodes brunneus, and Dermacentor variabilis. Monthly seasonality trends were similar between 2010 and 2011. Long-term prescribed burning consistently and significantly reduced tick counts (overall and specifically for A. americanum and I. scapularis) regardless of the burn regimes and variables evaluated. Tick species composition varied according to burn regime with A. americanum dominating at UBUB, A. maculatum at BB, I. scapularis at UBB, and a more even composition at BUB. These data indicate that regular prescribed burning is an effective tool for reducing tick populations and ultimately may reduce risk of tick-borne disease. ","CleanAbstract":"Some tick populations have increased dramatically in the past several decades leading to an increase in the incidence and emergence of tick-borne diseases. Management strategies that can effectively reduce tick populations while better understanding regional tick phenology is needed. One promising management strategy is prescribed burning. However, the efficacy of prescribed burning as a mechanism for tick control is unclear because past studies have provided conflicting data, likely due to a failure of some studies to simulate operational management scenarios and/or account for other predictors of tick abundance. Therefore, our study was conducted to increase knowledge of tick population dynamics relative to long-term prescribed fire management. Furthermore, we targeted a region, southwestern Georgia and northwestern Florida (USA), in which little is known regarding tick dynamics so that basic phenology could be determined. Twenty-one plots with varying burn regimes (burned surrounded by burned [BB], burned surrounded by unburned [BUB], unburned surrounded by burned [UBB], and unburned surrounded by unburned [UBUB]) were sampled monthly for two years while simultaneously collecting data on variables that can affect tick abundance (e.g., host abundance, vegetation structure, and micro- and macro-climatic conditions). In total, 47,185 ticks were collected, of which, 99% were Amblyomma americanum, 0.7% were Ixodes scapularis, and fewer numbers of Amblyomma maculatum, Ixodes brunneus, and Dermacentor variabilis. Monthly seasonality trends were similar between 2010 and 2011. Long-term prescribed burning consistently and significantly reduced tick counts (overall and specifically for A. americanum and I. scapularis) regardless of the burn regimes and variables evaluated. Tick species composition varied according to burn regime with A. americanum dominating at UBUB, A. maculatum at BB, I. scapularis at UBB, and a more even composition at BUB. These data indicate that regular prescribed burning is an effective tool for reducing tick populations and ultimately may reduce risk of tick-borne disease. "}]</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(22)</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found that repeated burning does not reduce pathogen prevalence but did reduce tick encounter rates and thus lower risk of pathogen transmission in the USA. However, vector and host responses to fire may be complex and difficult to predict. A study of natural wildfires in California found that questing tick densities were higher in the year following the fire with declines in subsequent years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F1000_CSL_CITATION&lt;~#@#~&gt;[{"title":"Risk of vector tick exposure initially increases, then declines through time in response to wildfire in California","id":"8348202","type":"article-journal","author":[{"family":"MacDonald","given":"A J"},{"family":"Hyon","given":"D W"},{"family":"McDaniels","given":"A"}],"issued":{"date-parts":[["2018"]]},"citation-label":"8348202","Abstract":"Identifying the effects of human‐driven perturbations, such as species introductions or habitat fragmentation, on the ecology and dynamics of infectious disease has become a central focus of disease ecologists. Yet, comparatively little is known about how the ecology …","CleanAbstract":"Identifying the effects of human‐driven perturbations, such as species introductions or habitat fragmentation, on the ecology and dynamics of infectious disease has become a central focus of disease ecologists. Yet, comparatively little is known about how the ecology …"}]</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(23)</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There is a risk that burning may increase tick density in the short-term,or could potentially lead to altered host movements that may increase infection risk.</w:t>
            </w:r>
          </w:p>
        </w:tc>
        <w:tc>
          <w:tcPr>
            <w:tcW w:w="4252" w:type="dxa"/>
          </w:tcPr>
          <w:p w14:paraId="565C1A48" w14:textId="77777777" w:rsidR="00D03F73" w:rsidRPr="00502244" w:rsidRDefault="00D03F73" w:rsidP="00316350">
            <w:pPr>
              <w:rPr>
                <w:rFonts w:eastAsia="Times New Roman" w:cstheme="minorHAnsi"/>
                <w:color w:val="000000"/>
                <w:sz w:val="18"/>
                <w:szCs w:val="18"/>
                <w:lang w:eastAsia="en-GB"/>
              </w:rPr>
            </w:pPr>
          </w:p>
        </w:tc>
        <w:tc>
          <w:tcPr>
            <w:tcW w:w="3686" w:type="dxa"/>
            <w:hideMark/>
          </w:tcPr>
          <w:p w14:paraId="26691A6B" w14:textId="4294CF3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Management is not justified as is not supported by empirical evidence, with no robust studies of the impacts of burning regimes on tick species implicated in KFDV transmission having been undertaken in India. The outcomes of prescribed burning can be difficult to predict and could potentially increase human infection risk in the short-term. Burning may also alter vegetation structure and proportion of invasive plant species, </w:t>
            </w:r>
            <w:r>
              <w:rPr>
                <w:rFonts w:eastAsia="Times New Roman" w:cstheme="minorHAnsi"/>
                <w:color w:val="000000"/>
                <w:sz w:val="18"/>
                <w:szCs w:val="18"/>
                <w:lang w:eastAsia="en-GB"/>
              </w:rPr>
              <w:t xml:space="preserve"> and has been used in some areas to remove local forest and make areas easier to convert to agricultural land, </w:t>
            </w:r>
            <w:r w:rsidRPr="00502244">
              <w:rPr>
                <w:rFonts w:eastAsia="Times New Roman" w:cstheme="minorHAnsi"/>
                <w:color w:val="000000"/>
                <w:sz w:val="18"/>
                <w:szCs w:val="18"/>
                <w:lang w:eastAsia="en-GB"/>
              </w:rPr>
              <w:t>potentially increasing tick densities in the longer-term.</w:t>
            </w:r>
            <w:r>
              <w:rPr>
                <w:rFonts w:eastAsia="Times New Roman" w:cstheme="minorHAnsi"/>
                <w:color w:val="000000"/>
                <w:sz w:val="18"/>
                <w:szCs w:val="18"/>
                <w:lang w:eastAsia="en-GB"/>
              </w:rPr>
              <w:t xml:space="preserve"> Moreover, it has been suggested that increased frequency of fires represents a persistent conservation threat to forest ecosystems in the Western Ghats </w:t>
            </w:r>
            <w:r>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F1000_CSL_CITATION&lt;~#@#~&gt;[{"title":"Conservation threat of increasing fire frequencies in the western ghats, india","id":"8886446","page":"1553-1561","type":"article-journal","volume":"18","issue":"6","author":[{"family":"Kodandapani","given":"NARENDRAN"},{"family":"Cochrane","given":"MARK A."},{"family":"Sukumar","given":"R"}],"issued":{"date-parts":[["2004","12"]]},"container-title":"Conservation Biology","container-title-short":"Conserv. Biol.","journalAbbreviation":"Conserv. Biol.","DOI":"10.1111/j.1523-1739.2004.00433.x","citation-label":"8886446","CleanAbstract":"No abstract available"}]</w:instrText>
            </w:r>
            <w:r>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(24)</w:t>
            </w:r>
            <w:r>
              <w:rPr>
                <w:rFonts w:eastAsia="Times New Roman" w:cstheme="minorHAnsi"/>
                <w:color w:val="000000"/>
                <w:sz w:val="18"/>
                <w:szCs w:val="18"/>
                <w:lang w:eastAsia="en-GB"/>
              </w:rPr>
              <w:fldChar w:fldCharType="end"/>
            </w:r>
            <w:r>
              <w:rPr>
                <w:rFonts w:eastAsia="Times New Roman" w:cstheme="minorHAnsi"/>
                <w:color w:val="000000"/>
                <w:sz w:val="18"/>
                <w:szCs w:val="18"/>
                <w:lang w:eastAsia="en-GB"/>
              </w:rPr>
              <w:t xml:space="preserve"> </w:t>
            </w:r>
          </w:p>
          <w:p w14:paraId="292741AE" w14:textId="77777777" w:rsidR="00D03F73" w:rsidRPr="00502244" w:rsidRDefault="00D03F73" w:rsidP="00316350">
            <w:pPr>
              <w:rPr>
                <w:rFonts w:eastAsia="Times New Roman" w:cstheme="minorHAnsi"/>
                <w:color w:val="000000"/>
                <w:sz w:val="18"/>
                <w:szCs w:val="18"/>
                <w:lang w:eastAsia="en-GB"/>
              </w:rPr>
            </w:pPr>
          </w:p>
        </w:tc>
      </w:tr>
      <w:tr w:rsidR="00D03F73" w:rsidRPr="00502244" w14:paraId="065DA925" w14:textId="77777777" w:rsidTr="00534F58">
        <w:trPr>
          <w:trHeight w:val="2200"/>
        </w:trPr>
        <w:tc>
          <w:tcPr>
            <w:tcW w:w="0" w:type="auto"/>
            <w:hideMark/>
          </w:tcPr>
          <w:p w14:paraId="072D5D8C" w14:textId="77777777"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Reduction of ticks in habitat </w:t>
            </w:r>
          </w:p>
          <w:p w14:paraId="726A7FA6" w14:textId="77777777" w:rsidR="00D03F73" w:rsidRDefault="00D03F73" w:rsidP="00316350">
            <w:pPr>
              <w:rPr>
                <w:rFonts w:eastAsia="Times New Roman" w:cstheme="minorHAnsi"/>
                <w:color w:val="000000"/>
                <w:sz w:val="18"/>
                <w:szCs w:val="18"/>
                <w:lang w:eastAsia="en-GB"/>
              </w:rPr>
            </w:pPr>
          </w:p>
          <w:p w14:paraId="7AB0018E"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w:t>
            </w:r>
            <w:r>
              <w:rPr>
                <w:rFonts w:eastAsia="Times New Roman" w:cstheme="minorHAnsi"/>
                <w:color w:val="000000"/>
                <w:sz w:val="18"/>
                <w:szCs w:val="18"/>
                <w:lang w:eastAsia="en-GB"/>
              </w:rPr>
              <w:t>vectors: vector density, distributions, habitats and behaviour</w:t>
            </w:r>
            <w:r w:rsidRPr="00502244">
              <w:rPr>
                <w:rFonts w:eastAsia="Times New Roman" w:cstheme="minorHAnsi"/>
                <w:color w:val="000000"/>
                <w:sz w:val="18"/>
                <w:szCs w:val="18"/>
                <w:lang w:eastAsia="en-GB"/>
              </w:rPr>
              <w:t>)</w:t>
            </w:r>
          </w:p>
          <w:p w14:paraId="4D38A756"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117866BC"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Burning of monkey carcass</w:t>
            </w:r>
          </w:p>
          <w:p w14:paraId="530A01A1"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41ED5455"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Assumes that the main risk for humans being bitten by infected ticks arises at a hotspot where ticks may leave a dying or dead monkey with high viraemia for KFDV and that burning of the monkey carcass will kill and thus prevent ticks </w:t>
            </w:r>
            <w:r w:rsidRPr="00502244">
              <w:rPr>
                <w:rFonts w:eastAsia="Times New Roman" w:cstheme="minorHAnsi"/>
                <w:color w:val="000000"/>
                <w:sz w:val="18"/>
                <w:szCs w:val="18"/>
                <w:lang w:eastAsia="en-GB"/>
              </w:rPr>
              <w:lastRenderedPageBreak/>
              <w:t>from leaving the host.  Also reduces the likelihood for transmission of other potential pathogens via contamination from bodily fluids.</w:t>
            </w:r>
          </w:p>
        </w:tc>
        <w:tc>
          <w:tcPr>
            <w:tcW w:w="2977" w:type="dxa"/>
            <w:hideMark/>
          </w:tcPr>
          <w:p w14:paraId="48C9085C"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lastRenderedPageBreak/>
              <w:t xml:space="preserve">Monkeys are known to have high titres of virus and so are likely to have infected ticks and systemic infection (see above). </w:t>
            </w:r>
          </w:p>
          <w:p w14:paraId="63529633" w14:textId="77777777" w:rsidR="00D03F73" w:rsidRPr="00502244" w:rsidRDefault="00D03F73" w:rsidP="00316350">
            <w:pPr>
              <w:rPr>
                <w:rFonts w:eastAsia="Times New Roman" w:cstheme="minorHAnsi"/>
                <w:color w:val="000000"/>
                <w:sz w:val="18"/>
                <w:szCs w:val="18"/>
                <w:lang w:eastAsia="en-GB"/>
              </w:rPr>
            </w:pPr>
          </w:p>
        </w:tc>
        <w:tc>
          <w:tcPr>
            <w:tcW w:w="4252" w:type="dxa"/>
          </w:tcPr>
          <w:p w14:paraId="72590821" w14:textId="77777777" w:rsidR="00D03F73" w:rsidRPr="00502244" w:rsidRDefault="00D03F73" w:rsidP="00316350">
            <w:pPr>
              <w:rPr>
                <w:rFonts w:eastAsia="Times New Roman" w:cstheme="minorHAnsi"/>
                <w:color w:val="000000"/>
                <w:sz w:val="18"/>
                <w:szCs w:val="18"/>
                <w:lang w:eastAsia="en-GB"/>
              </w:rPr>
            </w:pPr>
          </w:p>
        </w:tc>
        <w:tc>
          <w:tcPr>
            <w:tcW w:w="3686" w:type="dxa"/>
            <w:hideMark/>
          </w:tcPr>
          <w:p w14:paraId="5C99BF84"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Yes, controlled burning is an effective way of removing a potentially infected carcass. However, there is a need for robust, prompt and effective post-mortem studies on freshly dead monkeys in order to confirm infection status and to collect ticks in order to address empirical knowledge gaps (see above), so co-ordination between health and forest departments, surveillance teams and locals is necessary to establish best practice.</w:t>
            </w:r>
          </w:p>
          <w:p w14:paraId="11550997" w14:textId="77777777" w:rsidR="00D03F73" w:rsidRPr="00502244" w:rsidRDefault="00D03F73" w:rsidP="00316350">
            <w:pPr>
              <w:rPr>
                <w:rFonts w:eastAsia="Times New Roman" w:cstheme="minorHAnsi"/>
                <w:color w:val="000000"/>
                <w:sz w:val="18"/>
                <w:szCs w:val="18"/>
                <w:lang w:eastAsia="en-GB"/>
              </w:rPr>
            </w:pPr>
          </w:p>
        </w:tc>
      </w:tr>
      <w:tr w:rsidR="00D03F73" w:rsidRPr="00502244" w14:paraId="3BD4A691" w14:textId="77777777" w:rsidTr="00534F58">
        <w:trPr>
          <w:trHeight w:val="1676"/>
        </w:trPr>
        <w:tc>
          <w:tcPr>
            <w:tcW w:w="0" w:type="auto"/>
            <w:hideMark/>
          </w:tcPr>
          <w:p w14:paraId="522EA843" w14:textId="77777777" w:rsidR="00D03F73"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lastRenderedPageBreak/>
              <w:t>Vaccination</w:t>
            </w:r>
          </w:p>
          <w:p w14:paraId="62F9F88A" w14:textId="77777777" w:rsidR="00D03F73" w:rsidRDefault="00D03F73" w:rsidP="00316350">
            <w:pPr>
              <w:rPr>
                <w:rFonts w:eastAsia="Times New Roman" w:cstheme="minorHAnsi"/>
                <w:color w:val="000000"/>
                <w:sz w:val="18"/>
                <w:szCs w:val="18"/>
                <w:lang w:eastAsia="en-GB"/>
              </w:rPr>
            </w:pPr>
          </w:p>
          <w:p w14:paraId="2AC0BD0C" w14:textId="77777777" w:rsidR="00D03F73" w:rsidRPr="00502244"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(Human hosts: susceptibility and infection)</w:t>
            </w:r>
          </w:p>
          <w:p w14:paraId="3F2132F3"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77AC79F4" w14:textId="67D08B8F" w:rsidR="00D03F73" w:rsidRPr="00502244"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Vaccination is conducted within a 5km radius of an area which has reported either a positive human or monkey case of KFD or a positive KFDV-infected tick in the past 5 years. It is discontinued if that area has not reported any KFDV positivity for the past 5 years</w:t>
            </w:r>
          </w:p>
          <w:p w14:paraId="2ECF7223"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675A8327"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Vaccination of people in areas where KFD is known to be a risk will prevent human cases of the disease.</w:t>
            </w:r>
          </w:p>
          <w:p w14:paraId="1666523A" w14:textId="77777777" w:rsidR="00D03F73" w:rsidRPr="00502244" w:rsidRDefault="00D03F73" w:rsidP="00316350">
            <w:pPr>
              <w:rPr>
                <w:rFonts w:eastAsia="Times New Roman" w:cstheme="minorHAnsi"/>
                <w:color w:val="000000"/>
                <w:sz w:val="18"/>
                <w:szCs w:val="18"/>
                <w:lang w:eastAsia="en-GB"/>
              </w:rPr>
            </w:pPr>
          </w:p>
        </w:tc>
        <w:tc>
          <w:tcPr>
            <w:tcW w:w="2977" w:type="dxa"/>
            <w:hideMark/>
          </w:tcPr>
          <w:p w14:paraId="6E6D337D" w14:textId="4686CD62" w:rsidR="00D03F73" w:rsidRPr="00502244" w:rsidRDefault="00D03F73" w:rsidP="003A00AB">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Yes. The vaccine is known to give protection against KFD if the correct dose procedure is followed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F1000_CSL_CITATION&lt;~#@#~&gt;[{"title":"Field evaluation of formalin inactivated Kyasanur forest disease virus tissue culture vaccine in three districts of Karnataka state.","id":"4591060","page":"152-158","type":"article-journal","volume":"99","author":[{"family":"Dandawate","given":"C N"},{"family":"Desai","given":"G B"},{"family":"Achar","given":"T R"},{"family":"Banerjee","given":"K"}],"issued":{"date-parts":[["1994","4"]]},"container-title":"The Indian Journal of Medical Research","container-title-short":"Indian J. Med. Res.","journalAbbreviation":"Indian J. Med. Res.","PMID":"7927566","citation-label":"4591060","Abstract":"A formalin inactivated Kyasanur forest disease (KFD) virus tissue culture vaccine produced by the health department of the State Government of Karnataka at Shimoga was administered in Shimoga, Uttar Kannada and Chikmangalur districts during 1990-92 KFD epidemic seasons. The selection of places for vaccination was based on the prevalence of KFD activity in previous years; villages adjacent to KFD affected areas and the villages from which mortality in monkeys was reported. A total of 284 villages was covered under vaccination; 26850 individuals received one dose whereas, 61302 received two doses of vaccine. No untoward reaction was observed in any of the vaccinees. In the 72 KFD affected villages there were 14 patients among 9072 and 10 among 21083 vaccinees receiving one and two doses respectively, whereas 325 patients were reported among 37373 unvaccinated individuals during the same period. In 1990-91 the number of males patients was more than females whereas, in 1991-92 the ratio was reserved. On analysis indicated that the vaccine has a highly significant protective effect.","CleanAbstract":"A formalin inactivated Kyasanur forest disease (KFD) virus tissue culture vaccine produced by the health department of the State Government of Karnataka at Shimoga was administered in Shimoga, Uttar Kannada and Chikmangalur districts during 1990-92 KFD epidemic seasons. The selection of places for vaccination was based on the prevalence of KFD activity in previous years; villages adjacent to KFD affected areas and the villages from which mortality in monkeys was reported. A total of 284 villages was covered under vaccination; 26850 individuals received one dose whereas, 61302 received two doses of vaccine. No untoward reaction was observed in any of the vaccinees. In the 72 KFD affected villages there were 14 patients among 9072 and 10 among 21083 vaccinees receiving one and two doses respectively, whereas 325 patients were reported among 37373 unvaccinated individuals during the same period. In 1990-91 the number of males patients was more than females whereas, in 1991-92 the ratio was reserved. On analysis indicated that the vaccine has a highly significant protective effect."},{"title":"Coverage and effectiveness of Kyasanur forest disease (KFD) vaccine in Karnataka, South India, 2005-10.","id":"4590081","page":"e2025","type":"article-journal","volume":"7","issue":"1","author":[{"family":"Kasabi","given":"Gudadappa S"},{"family":"Murhekar","given":"Manoj V"},{"family":"Sandhya","given":"Vijay K"},{"family":"Raghunandan","given":"Ramappa"},{"family":"Kiran","given":"Shivani K"},{"family":"Channabasappa","given":"Gowdra H"},{"family":"Mehendale","given":"Sanjay M"}],"issued":{"date-parts":[["2013","1","24"]]},"container-title":"PLoS Neglected Tropical Diseases","container-title-short":"PLoS Negl. Trop. Dis.","journalAbbreviation":"PLoS Negl. Trop. Dis.","DOI":"10.1371/journal.pntd.0002025","PMID":"23359421","PMCID":"PMC3554520","citation-label":"4590081","Abstract":"&lt;strong&gt;BACKGROUND:&lt;/strong&gt; Kyasanur forest disease (KFD), a tick-borne viral disease with hemorrhagic manifestations, is localised in five districts of Karnataka state, India. Annual rounds of vaccination using formalin inactivated tissue-culture vaccine have been conducted in the region since 1990. Two doses of vaccine are administered to individuals aged 7-65 years at an interval of one month followed by periodic boosters after 6-9 months. In spite of high effectiveness of the vaccine reported in earlier studies, KFD cases among vaccinated individuals have been recently reported. We analysed KFD vaccination and case surveillance data from 2005 to 2010.&lt;br&gt;&lt;br&gt;&lt;strong&gt;METHODOLOGY/PRINCIPAL FINDINGS:&lt;/strong&gt; We calculated KFD incidence among vaccinated and unvaccinated populations and computed the relative risk and vaccine effectiveness. During 2005-2010, a total of 343,256 individuals were eligible for KFD vaccination (details of vaccination for 2008 were not available). Of these, 52% did not receive any vaccine while 36% had received two doses and a booster. Of the 168 laboratory-confirmed KFD cases reported during this 5-year period, 134 (80%) were unvaccinated, nine each had received one and two doses respectively while 16 had received a booster during the pre-transmission season. The relative risks of disease following one, two and booster doses of vaccine were 1.06 (95% CI = 0.54-2.1), 0.38 (95% CI = 0.19-0.74) and 0.17 (95% CI = 0.10-0.29) respectively. The effectiveness of the vaccine was 62.4% (95% CI = 26.1-80.8) among those who received two doses and 82.9% (95% CI = 71.3-89.8) for those who received two doses followed by a booster dose as compared to the unvaccinated individuals.&lt;br&gt;&lt;br&gt;&lt;strong&gt;CONCLUSIONS:&lt;/strong&gt; Coverage of KFD vaccine in the study area was low. Observed effectiveness of the KFD vaccine was lower as compared to the earlier reports, especially after a single dose administration. Systematic efforts are needed to increase the vaccine coverage and identify the reasons for lower effectiveness of the vaccine in the region.","CleanAbstract":"BACKGROUND: Kyasanur forest disease (KFD), a tick-borne viral disease with hemorrhagic manifestations, is localised in five districts of Karnataka state, India. Annual rounds of vaccination using formalin inactivated tissue-culture vaccine have been conducted in the region since 1990. Two doses of vaccine are administered to individuals aged 7-65 years at an interval of one month followed by periodic boosters after 6-9 months. In spite of high effectiveness of the vaccine reported in earlier studies, KFD cases among vaccinated individuals have been recently reported. We analysed KFD vaccination and case surveillance data from 2005 to 2010.METHODOLOGY/PRINCIPAL FINDINGS: We calculated KFD incidence among vaccinated and unvaccinated populations and computed the relative risk and vaccine effectiveness. During 2005-2010, a total of 343,256 individuals were eligible for KFD vaccination (details of vaccination for 2008 were not available). Of these, 52% did not receive any vaccine while 36% had received two doses and a booster. Of the 168 laboratory-confirmed KFD cases reported during this 5-year period, 134 (80%) were unvaccinated, nine each had received one and two doses respectively while 16 had received a booster during the pre-transmission season. The relative risks of disease following one, two and booster doses of vaccine were 1.06 (95% CI = 0.54-2.1), 0.38 (95% CI = 0.19-0.74) and 0.17 (95% CI = 0.10-0.29) respectively. The effectiveness of the vaccine was 62.4% (95% CI = 26.1-80.8) among those who received two doses and 82.9% (95% CI = 71.3-89.8) for those who received two doses followed by a booster dose as compared to the unvaccinated individuals.CONCLUSIONS: Coverage of KFD vaccine in the study area was low. Observed effectiveness of the KFD vaccine was lower as compared to the earlier reports, especially after a single dose administration. Systematic efforts are needed to increase the vaccine coverage and identify the reasons for lower effectiveness of the vaccine in the region."}]</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(25,26)</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However, in recent outbreaks there is some evidence that vaccine efficacy was reduced compared to previous outbreaks and there have been problems with poor uptake of the vaccine in some areas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F1000_CSL_CITATION&lt;~#@#~&gt;[{"title":"Kyasanur Forest disease outbreak and vaccination strategy,Shimoga District, India, 2013-2014.","id":"4590040","page":"146-149","type":"article-journal","volume":"21","issue":"1","author":[{"family":"Kiran","given":"S K"},{"family":"Pasi","given":"Achhelal"},{"family":"Kumar","given":"Satish"},{"family":"Kasabi","given":"Gudadappa S"},{"family":"Gujjarappa","given":"Prabhakara"},{"family":"Shrivastava","given":"Aakash"},{"family":"Mehendale","given":"Sanjay"},{"family":"Chauhan","given":"L S"},{"family":"Laserson","given":"Kayla F"},{"family":"Murhekar","given":"Manoj"}],"issued":{"date-parts":[["2015","1"]]},"container-title":"Emerging Infectious Diseases","container-title-short":"Emerging Infect. Dis.","journalAbbreviation":"Emerging Infect. Dis.","DOI":"10.3201/eid2101.141227","PMID":"25531141","PMCID":"PMC4285264","citation-label":"4590040","Abstract":"We investigated a Kyasanur Forest disease outbreak in Karnataka, India during December 2013-April 2014. Surveillance and retrospective study indicated low vaccine coverage, low vaccine effectiveness, and spread of disease to areas beyond those selected for vaccination and to age groups not targeted for vaccination. To control disease, vaccination strategies need to be reviewed.","CleanAbstract":"We investigated a Kyasanur Forest disease outbreak in Karnataka, India during December 2013-April 2014. Surveillance and retrospective study indicated low vaccine coverage, low vaccine effectiveness, and spread of disease to areas beyond those selected for vaccination and to age groups not targeted for vaccination. To control disease, vaccination strategies need to be reviewed."},{"title":"Coverage and effectiveness of Kyasanur forest disease (KFD) vaccine in Karnataka, South India, 2005-10.","id":"4590081","page":"e2025","type":"article-journal","volume":"7","issue":"1","author":[{"family":"Kasabi","given":"Gudadappa S"},{"family":"Murhekar","given":"Manoj V"},{"family":"Sandhya","given":"Vijay K"},{"family":"Raghunandan","given":"Ramappa"},{"family":"Kiran","given":"Shivani K"},{"family":"Channabasappa","given":"Gowdra H"},{"family":"Mehendale","given":"Sanjay M"}],"issued":{"date-parts":[["2013","1","24"]]},"container-title":"PLoS Neglected Tropical Diseases","container-title-short":"PLoS Negl. Trop. Dis.","journalAbbreviation":"PLoS Negl. Trop. Dis.","DOI":"10.1371/journal.pntd.0002025","PMID":"23359421","PMCID":"PMC3554520","citation-label":"4590081","Abstract":"&lt;strong&gt;BACKGROUND:&lt;/strong&gt; Kyasanur forest disease (KFD), a tick-borne viral disease with hemorrhagic manifestations, is localised in five districts of Karnataka state, India. Annual rounds of vaccination using formalin inactivated tissue-culture vaccine have been conducted in the region since 1990. Two doses of vaccine are administered to individuals aged 7-65 years at an interval of one month followed by periodic boosters after 6-9 months. In spite of high effectiveness of the vaccine reported in earlier studies, KFD cases among vaccinated individuals have been recently reported. We analysed KFD vaccination and case surveillance data from 2005 to 2010.&lt;br&gt;&lt;br&gt;&lt;strong&gt;METHODOLOGY/PRINCIPAL FINDINGS:&lt;/strong&gt; We calculated KFD incidence among vaccinated and unvaccinated populations and computed the relative risk and vaccine effectiveness. During 2005-2010, a total of 343,256 individuals were eligible for KFD vaccination (details of vaccination for 2008 were not available). Of these, 52% did not receive any vaccine while 36% had received two doses and a booster. Of the 168 laboratory-confirmed KFD cases reported during this 5-year period, 134 (80%) were unvaccinated, nine each had received one and two doses respectively while 16 had received a booster during the pre-transmission season. The relative risks of disease following one, two and booster doses of vaccine were 1.06 (95% CI = 0.54-2.1), 0.38 (95% CI = 0.19-0.74) and 0.17 (95% CI = 0.10-0.29) respectively. The effectiveness of the vaccine was 62.4% (95% CI = 26.1-80.8) among those who received two doses and 82.9% (95% CI = 71.3-89.8) for those who received two doses followed by a booster dose as compared to the unvaccinated individuals.&lt;br&gt;&lt;br&gt;&lt;strong&gt;CONCLUSIONS:&lt;/strong&gt; Coverage of KFD vaccine in the study area was low. Observed effectiveness of the KFD vaccine was lower as compared to the earlier reports, especially after a single dose administration. Systematic efforts are needed to increase the vaccine coverage and identify the reasons for lower effectiveness of the vaccine in the region.","CleanAbstract":"BACKGROUND: Kyasanur forest disease (KFD), a tick-borne viral disease with hemorrhagic manifestations, is localised in five districts of Karnataka state, India. Annual rounds of vaccination using formalin inactivated tissue-culture vaccine have been conducted in the region since 1990. Two doses of vaccine are administered to individuals aged 7-65 years at an interval of one month followed by periodic boosters after 6-9 months. In spite of high effectiveness of the vaccine reported in earlier studies, KFD cases among vaccinated individuals have been recently reported. We analysed KFD vaccination and case surveillance data from 2005 to 2010.METHODOLOGY/PRINCIPAL FINDINGS: We calculated KFD incidence among vaccinated and unvaccinated populations and computed the relative risk and vaccine effectiveness. During 2005-2010, a total of 343,256 individuals were eligible for KFD vaccination (details of vaccination for 2008 were not available). Of these, 52% did not receive any vaccine while 36% had received two doses and a booster. Of the 168 laboratory-confirmed KFD cases reported during this 5-year period, 134 (80%) were unvaccinated, nine each had received one and two doses respectively while 16 had received a booster during the pre-transmission season. The relative risks of disease following one, two and booster doses of vaccine were 1.06 (95% CI = 0.54-2.1), 0.38 (95% CI = 0.19-0.74) and 0.17 (95% CI = 0.10-0.29) respectively. The effectiveness of the vaccine was 62.4% (95% CI = 26.1-80.8) among those who received two doses and 82.9% (95% CI = 71.3-89.8) for those who received two doses followed by a booster dose as compared to the unvaccinated individuals.CONCLUSIONS: Coverage of KFD vaccine in the study area was low. Observed effectiveness of the KFD vaccine was lower as compared to the earlier reports, especially after a single dose administration. Systematic efforts are needed to increase the vaccine coverage and identify the reasons for lower effectiveness of the vaccine in the region."}]</w:instrText>
            </w:r>
            <w:r w:rsidRPr="00502244">
              <w:rPr>
                <w:rFonts w:eastAsia="Times New Roman" w:cstheme="minorHAnsi"/>
                <w:color w:val="000000"/>
                <w:sz w:val="18"/>
                <w:szCs w:val="18"/>
                <w:lang w:eastAsia="en-GB"/>
              </w:rPr>
              <w:fldChar w:fldCharType="separate"/>
            </w:r>
            <w:r>
              <w:rPr>
                <w:rFonts w:eastAsia="Times New Roman" w:cstheme="minorHAnsi"/>
                <w:color w:val="000000"/>
                <w:sz w:val="18"/>
                <w:szCs w:val="18"/>
                <w:lang w:eastAsia="en-GB"/>
              </w:rPr>
              <w:t>(26,27)</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xml:space="preserve">. </w:t>
            </w:r>
          </w:p>
        </w:tc>
        <w:tc>
          <w:tcPr>
            <w:tcW w:w="4252" w:type="dxa"/>
          </w:tcPr>
          <w:p w14:paraId="6E5D39FE" w14:textId="77777777" w:rsidR="00D03F73" w:rsidRDefault="00D03F73" w:rsidP="00316350">
            <w:pPr>
              <w:rPr>
                <w:sz w:val="18"/>
                <w:szCs w:val="18"/>
              </w:rPr>
            </w:pPr>
            <w:r w:rsidRPr="0001744F">
              <w:rPr>
                <w:sz w:val="18"/>
                <w:szCs w:val="18"/>
              </w:rPr>
              <w:t>“…And vaccine, first dose immunity is only 33% of immunity, second dose you get around 60%, booster dose you get around 80, after 5 doses, 5 years, you get about 90% immunity.”</w:t>
            </w:r>
          </w:p>
          <w:p w14:paraId="0986C195" w14:textId="77777777" w:rsidR="00D03F73" w:rsidRDefault="00D03F73" w:rsidP="00316350">
            <w:pPr>
              <w:rPr>
                <w:sz w:val="18"/>
                <w:szCs w:val="18"/>
              </w:rPr>
            </w:pPr>
          </w:p>
          <w:p w14:paraId="11BD31CC" w14:textId="77777777" w:rsidR="00D03F73" w:rsidRDefault="00D03F73" w:rsidP="00316350">
            <w:pPr>
              <w:rPr>
                <w:sz w:val="18"/>
                <w:szCs w:val="18"/>
              </w:rPr>
            </w:pPr>
            <w:r w:rsidRPr="0001744F">
              <w:rPr>
                <w:sz w:val="18"/>
                <w:szCs w:val="18"/>
              </w:rPr>
              <w:t>“As far as disease is concerned, KFD is concerned, no definite proper research has happened as far as these things are concerned. We are struggling with the age-old vaccine, which was prepared in the 90s I think. We are going with the same. We don’t know about the strain change…the virus... Even the research has not done. Even the cases which (who were) vaccinated fully, also were [re]infected. So, for that we need to do some research on whether the prevalence has changed it or not.”</w:t>
            </w:r>
          </w:p>
          <w:p w14:paraId="222C0939" w14:textId="77777777" w:rsidR="00D03F73" w:rsidRDefault="00D03F73" w:rsidP="00316350">
            <w:pPr>
              <w:rPr>
                <w:sz w:val="18"/>
                <w:szCs w:val="18"/>
              </w:rPr>
            </w:pPr>
          </w:p>
          <w:p w14:paraId="0E6A8655" w14:textId="77777777" w:rsidR="00D03F73" w:rsidRDefault="00D03F73" w:rsidP="00316350">
            <w:pPr>
              <w:rPr>
                <w:sz w:val="18"/>
                <w:szCs w:val="18"/>
              </w:rPr>
            </w:pPr>
            <w:r>
              <w:rPr>
                <w:sz w:val="18"/>
                <w:szCs w:val="18"/>
              </w:rPr>
              <w:t>“</w:t>
            </w:r>
            <w:r w:rsidRPr="0001744F">
              <w:rPr>
                <w:sz w:val="18"/>
                <w:szCs w:val="18"/>
              </w:rPr>
              <w:t xml:space="preserve">Only problem is with, in my view, the vaccine… vaccine is the main hitches. Because the acceptance of that vaccine is not so… welcoming sign is not seen.” One more point is the doses also. We need to give multiple doses to get what we need. To get some protection he/she needs to take full course. After that every year he/she needs to get booster dose for five years. Those are all hitches. I think one single injection that can protect the person for five years is </w:t>
            </w:r>
            <w:r w:rsidRPr="0001744F">
              <w:rPr>
                <w:sz w:val="18"/>
                <w:szCs w:val="18"/>
              </w:rPr>
              <w:lastRenderedPageBreak/>
              <w:t>needed. If we invent such vaccines then we can contain these measures, in my view.</w:t>
            </w:r>
            <w:r>
              <w:rPr>
                <w:sz w:val="18"/>
                <w:szCs w:val="18"/>
              </w:rPr>
              <w:t>”</w:t>
            </w:r>
          </w:p>
          <w:p w14:paraId="27B02E51" w14:textId="77777777" w:rsidR="00D03F73" w:rsidRPr="00502244"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“..W</w:t>
            </w:r>
            <w:r w:rsidRPr="0054283D">
              <w:rPr>
                <w:rFonts w:eastAsia="Times New Roman" w:cstheme="minorHAnsi"/>
                <w:color w:val="000000"/>
                <w:sz w:val="18"/>
                <w:szCs w:val="18"/>
                <w:lang w:eastAsia="en-GB"/>
              </w:rPr>
              <w:t>here the vaccination is good, there should be less number of cases… but still we are seeing cases so… There that time we had a doubt whether the vaccination is working properly but I think it is not about the vaccine only – the timing of the vaccine is also important – like they have to take the vaccine at the specified time otherwise the potency of the vaccine would be decreased.</w:t>
            </w:r>
            <w:r>
              <w:rPr>
                <w:rFonts w:eastAsia="Times New Roman" w:cstheme="minorHAnsi"/>
                <w:color w:val="000000"/>
                <w:sz w:val="18"/>
                <w:szCs w:val="18"/>
                <w:lang w:eastAsia="en-GB"/>
              </w:rPr>
              <w:t>”</w:t>
            </w:r>
          </w:p>
        </w:tc>
        <w:tc>
          <w:tcPr>
            <w:tcW w:w="3686" w:type="dxa"/>
            <w:hideMark/>
          </w:tcPr>
          <w:p w14:paraId="2CED9F2F"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lastRenderedPageBreak/>
              <w:t>Yes but targeting of areas could be improved beyond responding to outbreaks. Modelling ecological and social factors linked to human disease cases</w:t>
            </w:r>
            <w:r>
              <w:rPr>
                <w:rFonts w:eastAsia="Times New Roman" w:cstheme="minorHAnsi"/>
                <w:color w:val="000000"/>
                <w:sz w:val="18"/>
                <w:szCs w:val="18"/>
                <w:lang w:eastAsia="en-GB"/>
              </w:rPr>
              <w:t xml:space="preserve"> and barriers to vaccine uptake</w:t>
            </w:r>
            <w:r w:rsidRPr="00502244">
              <w:rPr>
                <w:rFonts w:eastAsia="Times New Roman" w:cstheme="minorHAnsi"/>
                <w:color w:val="000000"/>
                <w:sz w:val="18"/>
                <w:szCs w:val="18"/>
                <w:lang w:eastAsia="en-GB"/>
              </w:rPr>
              <w:t xml:space="preserve"> can provide more tailored risk maps and help target vaccination strategies. </w:t>
            </w:r>
          </w:p>
          <w:p w14:paraId="3300AC09" w14:textId="77777777" w:rsidR="00D03F73" w:rsidRPr="00502244" w:rsidRDefault="00D03F73" w:rsidP="00316350">
            <w:pPr>
              <w:rPr>
                <w:rFonts w:eastAsia="Times New Roman" w:cstheme="minorHAnsi"/>
                <w:color w:val="000000"/>
                <w:sz w:val="18"/>
                <w:szCs w:val="18"/>
                <w:lang w:eastAsia="en-GB"/>
              </w:rPr>
            </w:pPr>
          </w:p>
        </w:tc>
      </w:tr>
      <w:tr w:rsidR="00D03F73" w:rsidRPr="00502244" w14:paraId="5EDAC244" w14:textId="77777777" w:rsidTr="00534F58">
        <w:trPr>
          <w:trHeight w:val="2543"/>
        </w:trPr>
        <w:tc>
          <w:tcPr>
            <w:tcW w:w="0" w:type="auto"/>
            <w:hideMark/>
          </w:tcPr>
          <w:p w14:paraId="6806E596" w14:textId="77777777"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Education </w:t>
            </w:r>
          </w:p>
          <w:p w14:paraId="6BA28E52" w14:textId="77777777" w:rsidR="00D03F73" w:rsidRDefault="00D03F73" w:rsidP="00316350">
            <w:pPr>
              <w:rPr>
                <w:rFonts w:eastAsia="Times New Roman" w:cstheme="minorHAnsi"/>
                <w:color w:val="000000"/>
                <w:sz w:val="18"/>
                <w:szCs w:val="18"/>
                <w:lang w:eastAsia="en-GB"/>
              </w:rPr>
            </w:pPr>
          </w:p>
          <w:p w14:paraId="563AD008"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w:t>
            </w:r>
            <w:r>
              <w:rPr>
                <w:rFonts w:eastAsia="Times New Roman" w:cstheme="minorHAnsi"/>
                <w:color w:val="000000"/>
                <w:sz w:val="18"/>
                <w:szCs w:val="18"/>
                <w:lang w:eastAsia="en-GB"/>
              </w:rPr>
              <w:t>Human hosts: human activities in ecosystems and spill-over host exposure to vectors)</w:t>
            </w:r>
          </w:p>
          <w:p w14:paraId="294BA0A5"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555E9655"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Educate villagers to avoid the forests areas where monkeys have died. Don’t visit the area where recent monkey death has been reported, especially an area where case of KFD has occurred in the past.</w:t>
            </w:r>
          </w:p>
          <w:p w14:paraId="28BA2428"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0809CDE1"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This assumes that forests are the most risky habitats for ticks, particularly if they have been the location of monkey deaths. Assumes that the main risk for humans being bitten by infected ticks arises at a hotspot where ticks may leave a dying or dead monkey with high KFDV viraemia.</w:t>
            </w:r>
          </w:p>
        </w:tc>
        <w:tc>
          <w:tcPr>
            <w:tcW w:w="2977" w:type="dxa"/>
            <w:hideMark/>
          </w:tcPr>
          <w:p w14:paraId="7B2BDED1" w14:textId="063E3D45"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There is modelling evidence that forests may have high tick densities relative to other habitats</w:t>
            </w:r>
            <w:r w:rsidR="005B449B">
              <w:rPr>
                <w:rFonts w:eastAsia="Times New Roman" w:cstheme="minorHAnsi"/>
                <w:color w:val="000000"/>
                <w:sz w:val="18"/>
                <w:szCs w:val="18"/>
                <w:lang w:eastAsia="en-GB"/>
              </w:rPr>
              <w:t xml:space="preserve"> </w:t>
            </w:r>
            <w:r w:rsidR="005B449B">
              <w:rPr>
                <w:rFonts w:eastAsia="Times New Roman" w:cstheme="minorHAnsi"/>
                <w:color w:val="000000"/>
                <w:sz w:val="18"/>
                <w:szCs w:val="18"/>
                <w:lang w:eastAsia="en-GB"/>
              </w:rPr>
              <w:fldChar w:fldCharType="begin"/>
            </w:r>
            <w:r w:rsidR="005B449B">
              <w:rPr>
                <w:rFonts w:eastAsia="Times New Roman" w:cstheme="minorHAnsi"/>
                <w:color w:val="000000"/>
                <w:sz w:val="18"/>
                <w:szCs w:val="18"/>
                <w:lang w:eastAsia="en-GB"/>
              </w:rPr>
              <w:instrText>ADDIN F1000_CSL_CITATION&lt;~#@#~&gt;[{"title":"Predicting disease risk areas through co-production of spatial models: The example of Kyasanur Forest Disease in India's forest landscapes.","id":"8797326","ArticleId":"737700291","page":"e0008179","type":"article-journal","volume":"14","issue":"4","author":[{"family":"Purse","given":"Bethan V"},{"family":"Darshan","given":"Narayanaswamy"},{"family":"Kasabi","given":"Gudadappa S"},{"family":"Gerard","given":"France"},{"family":"Samrat","given":"Abhishek"},{"family":"George","given":"Charles"},{"family":"Vanak","given":"Abi T"},{"family":"Oommen","given":"Meera"},{"family":"Rahman","given":"Mujeeb"},{"family":"Burthe","given":"Sarah J"},{"family":"Young","given":"Juliette C"},{"family":"Srinivas","given":"Prashanth N"},{"family":"Schäfer","given":"Stefanie M"},{"family":"Henrys","given":"Peter A"},{"family":"Sandhya","given":"Vijay K"},{"family":"Chanda","given":"M Mudassar"},{"family":"Murhekar","given":"Manoj V"},{"family":"Hoti","given":"Subhash L"},{"family":"Kiran","given":"Shivani K"}],"issued":{"date-parts":[["2020","4","7"]]},"container-title":"PLoS Neglected Tropical Diseases","container-title-short":"PLoS Negl. Trop. Dis.","journalAbbreviation":"PLoS Negl. Trop. Dis.","DOI":"10.1371/journal.pntd.0008179","PMID":"32255797","PMCID":"PMC7164675","citation-label":"8797326","Abstract":"Zoonotic diseases affect resource-poor tropical communities disproportionately, and are linked to human use and modification of ecosystems. Disentangling the socio-ecological mechanisms by which ecosystem change precipitates impacts of pathogens is critical for predicting disease risk and designing effective intervention strategies. Despite the global \"One Health\" initiative, predictive models for tropical zoonotic diseases often focus on narrow ranges of risk factors and are rarely scaled to intervention programs and ecosystem use. This study uses a participatory, co-production approach to address this disconnect between science, policy and implementation, by developing more informative disease models for a fatal tick-borne viral haemorrhagic disease, Kyasanur Forest Disease (KFD), that is spreading across degraded forest ecosystems in India. We integrated knowledge across disciplines to identify key risk factors and needs with actors and beneficiaries across the relevant policy sectors, to understand disease patterns and develop decision support tools. Human case locations (2014-2018) and spatial machine learning quantified the relative role of risk factors, including forest cover and loss, host densities and public health access, in driving landscape-scale disease patterns in a long-affected district (Shivamogga, Karnataka State). Models combining forest metrics, livestock densities and elevation accurately predicted spatial patterns in human KFD cases (2014-2018). Consistent with suggestions that KFD is an \"ecotonal\" disease, landscapes at higher risk for human KFD contained diverse forest-plantation mosaics with high coverage of moist evergreen forest and plantation, high indigenous cattle density, and low coverage of dry deciduous forest. Models predicted new hotspots of outbreaks in 2019, indicating their value for spatial targeting of intervention. Co-production was vital for: gathering outbreak data that reflected locations of exposure in the landscape; better understanding contextual socio-ecological risk factors; and tailoring the spatial grain and outputs to the scale of forest use, and public health interventions. We argue this inter-disciplinary approach to risk prediction is applicable across zoonotic diseases in tropical settings.","CleanAbstract":"Zoonotic diseases affect resource-poor tropical communities disproportionately, and are linked to human use and modification of ecosystems. Disentangling the socio-ecological mechanisms by which ecosystem change precipitates impacts of pathogens is critical for predicting disease risk and designing effective intervention strategies. Despite the global \"One Health\" initiative, predictive models for tropical zoonotic diseases often focus on narrow ranges of risk factors and are rarely scaled to intervention programs and ecosystem use. This study uses a participatory, co-production approach to address this disconnect between science, policy and implementation, by developing more informative disease models for a fatal tick-borne viral haemorrhagic disease, Kyasanur Forest Disease (KFD), that is spreading across degraded forest ecosystems in India. We integrated knowledge across disciplines to identify key risk factors and needs with actors and beneficiaries across the relevant policy sectors, to understand disease patterns and develop decision support tools. Human case locations (2014-2018) and spatial machine learning quantified the relative role of risk factors, including forest cover and loss, host densities and public health access, in driving landscape-scale disease patterns in a long-affected district (Shivamogga, Karnataka State). Models combining forest metrics, livestock densities and elevation accurately predicted spatial patterns in human KFD cases (2014-2018). Consistent with suggestions that KFD is an \"ecotonal\" disease, landscapes at higher risk for human KFD contained diverse forest-plantation mosaics with high coverage of moist evergreen forest and plantation, high indigenous cattle density, and low coverage of dry deciduous forest. Models predicted new hotspots of outbreaks in 2019, indicating their value for spatial targeting of intervention. Co-production was vital for: gathering outbreak data that reflected locations of exposure in the landscape; better understanding contextual socio-ecological risk factors; and tailoring the spatial grain and outputs to the scale of forest use, and public health interventions. We argue this inter-disciplinary approach to risk prediction is applicable across zoonotic diseases in tropical settings."}]</w:instrText>
            </w:r>
            <w:r w:rsidR="005B449B">
              <w:rPr>
                <w:rFonts w:eastAsia="Times New Roman" w:cstheme="minorHAnsi"/>
                <w:color w:val="000000"/>
                <w:sz w:val="18"/>
                <w:szCs w:val="18"/>
                <w:lang w:eastAsia="en-GB"/>
              </w:rPr>
              <w:fldChar w:fldCharType="separate"/>
            </w:r>
            <w:r w:rsidR="005B449B">
              <w:rPr>
                <w:rFonts w:eastAsia="Times New Roman" w:cstheme="minorHAnsi"/>
                <w:color w:val="000000"/>
                <w:sz w:val="18"/>
                <w:szCs w:val="18"/>
                <w:lang w:eastAsia="en-GB"/>
              </w:rPr>
              <w:t>(28)</w:t>
            </w:r>
            <w:r w:rsidR="005B449B">
              <w:rPr>
                <w:rFonts w:eastAsia="Times New Roman" w:cstheme="minorHAnsi"/>
                <w:color w:val="000000"/>
                <w:sz w:val="18"/>
                <w:szCs w:val="18"/>
                <w:lang w:eastAsia="en-GB"/>
              </w:rPr>
              <w:fldChar w:fldCharType="end"/>
            </w:r>
            <w:r w:rsidR="005B449B" w:rsidRPr="00502244">
              <w:rPr>
                <w:rFonts w:eastAsia="Times New Roman" w:cstheme="minorHAnsi"/>
                <w:color w:val="000000"/>
                <w:sz w:val="18"/>
                <w:szCs w:val="18"/>
                <w:lang w:eastAsia="en-GB"/>
              </w:rPr>
              <w:t xml:space="preserve"> </w:t>
            </w:r>
            <w:r w:rsidR="005B449B">
              <w:rPr>
                <w:rFonts w:eastAsia="Times New Roman" w:cstheme="minorHAnsi"/>
                <w:color w:val="000000"/>
                <w:sz w:val="18"/>
                <w:szCs w:val="18"/>
                <w:lang w:eastAsia="en-GB"/>
              </w:rPr>
              <w:t>a</w:t>
            </w:r>
            <w:r w:rsidRPr="00502244">
              <w:rPr>
                <w:rFonts w:eastAsia="Times New Roman" w:cstheme="minorHAnsi"/>
                <w:color w:val="000000"/>
                <w:sz w:val="18"/>
                <w:szCs w:val="18"/>
                <w:lang w:eastAsia="en-GB"/>
              </w:rPr>
              <w:t xml:space="preserve">nd evidence that human disease emergence was associated with deforestation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F1000_CSL_CITATION&lt;~#@#~&gt;[{"title":"Kyasanur Forest disease: ecologic considerations.","id":"4590909","page":"67-80","type":"article-journal","volume":"18","issue":"1","author":[{"family":"Boshell","given":"J"}],"issued":{"date-parts":[["1969","1"]]},"container-title":"The American Journal of Tropical Medicine and Hygiene","container-title-short":"Am. J. Trop. Med. Hyg.","journalAbbreviation":"Am. J. Trop. Med. Hyg.","PMID":"5812658","citation-label":"4590909","CleanAbstract":"No abstract available"}]</w:instrText>
            </w:r>
            <w:r w:rsidRPr="00502244">
              <w:rPr>
                <w:rFonts w:eastAsia="Times New Roman" w:cstheme="minorHAnsi"/>
                <w:color w:val="000000"/>
                <w:sz w:val="18"/>
                <w:szCs w:val="18"/>
                <w:lang w:eastAsia="en-GB"/>
              </w:rPr>
              <w:fldChar w:fldCharType="separate"/>
            </w:r>
            <w:r w:rsidR="005B449B">
              <w:rPr>
                <w:rFonts w:eastAsia="Times New Roman" w:cstheme="minorHAnsi"/>
                <w:color w:val="000000"/>
                <w:sz w:val="18"/>
                <w:szCs w:val="18"/>
                <w:lang w:eastAsia="en-GB"/>
              </w:rPr>
              <w:t>(29)</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but robust empirical systematic studies of tick habitat associations across a broad suite of habitat classes are lacking for the Western Ghats.</w:t>
            </w:r>
          </w:p>
          <w:p w14:paraId="5D0FECF6" w14:textId="77777777" w:rsidR="00D03F73" w:rsidRPr="00502244" w:rsidRDefault="00D03F73" w:rsidP="00316350">
            <w:pPr>
              <w:rPr>
                <w:rFonts w:eastAsia="Times New Roman" w:cstheme="minorHAnsi"/>
                <w:color w:val="000000"/>
                <w:sz w:val="18"/>
                <w:szCs w:val="18"/>
                <w:lang w:eastAsia="en-GB"/>
              </w:rPr>
            </w:pPr>
          </w:p>
        </w:tc>
        <w:tc>
          <w:tcPr>
            <w:tcW w:w="4252" w:type="dxa"/>
          </w:tcPr>
          <w:p w14:paraId="47028F14" w14:textId="77777777" w:rsidR="00D03F73" w:rsidRPr="000048C8" w:rsidRDefault="00D03F73" w:rsidP="00316350">
            <w:pPr>
              <w:rPr>
                <w:sz w:val="18"/>
                <w:szCs w:val="18"/>
              </w:rPr>
            </w:pPr>
            <w:r w:rsidRPr="0001744F">
              <w:rPr>
                <w:sz w:val="18"/>
                <w:szCs w:val="18"/>
              </w:rPr>
              <w:t>“Sir, advising people to not go to forest is the most difficult part. Because their life is dependent on going to the forest, so we are unable to prevent or change that behaviour.</w:t>
            </w:r>
          </w:p>
          <w:p w14:paraId="4837D9D1" w14:textId="77777777" w:rsidR="00D03F73" w:rsidRDefault="00D03F73" w:rsidP="00316350">
            <w:pPr>
              <w:rPr>
                <w:rFonts w:eastAsia="Times New Roman" w:cstheme="minorHAnsi"/>
                <w:color w:val="000000"/>
                <w:sz w:val="18"/>
                <w:szCs w:val="18"/>
                <w:lang w:eastAsia="en-GB"/>
              </w:rPr>
            </w:pPr>
          </w:p>
          <w:p w14:paraId="21AC01D1" w14:textId="77777777" w:rsidR="00D03F73" w:rsidRPr="00502244" w:rsidRDefault="00D03F73" w:rsidP="00316350">
            <w:pPr>
              <w:rPr>
                <w:rFonts w:eastAsia="Times New Roman" w:cstheme="minorHAnsi"/>
                <w:color w:val="000000"/>
                <w:sz w:val="18"/>
                <w:szCs w:val="18"/>
                <w:lang w:eastAsia="en-GB"/>
              </w:rPr>
            </w:pPr>
            <w:r w:rsidRPr="0001744F">
              <w:rPr>
                <w:sz w:val="18"/>
                <w:szCs w:val="18"/>
              </w:rPr>
              <w:t xml:space="preserve">“Awareness about KFD, they were aware there is monkey disease, but very less people were aware that this disease comes from tick bite. That kind of awareness, even when we surveyed in 2013 and 14, it was around only 48% or 52% awareness that it is transferred </w:t>
            </w:r>
            <w:r>
              <w:rPr>
                <w:sz w:val="18"/>
                <w:szCs w:val="18"/>
              </w:rPr>
              <w:t>by</w:t>
            </w:r>
            <w:r w:rsidRPr="0001744F">
              <w:rPr>
                <w:sz w:val="18"/>
                <w:szCs w:val="18"/>
              </w:rPr>
              <w:t xml:space="preserve"> tick-bite. </w:t>
            </w:r>
            <w:r>
              <w:rPr>
                <w:sz w:val="18"/>
                <w:szCs w:val="18"/>
              </w:rPr>
              <w:t>O</w:t>
            </w:r>
            <w:r w:rsidRPr="0001744F">
              <w:rPr>
                <w:sz w:val="18"/>
                <w:szCs w:val="18"/>
              </w:rPr>
              <w:t>therwise others were telling like it [KFDV] transmits by mosquito bite, it comes from water, air and others.”</w:t>
            </w:r>
          </w:p>
        </w:tc>
        <w:tc>
          <w:tcPr>
            <w:tcW w:w="3686" w:type="dxa"/>
            <w:hideMark/>
          </w:tcPr>
          <w:p w14:paraId="5ECE6F10" w14:textId="23D920B1"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The current recommendation implies that forests are only risky if monkey deaths are known to have occurred. There is a need for further clarification to educate people that forests may be risky habitats with or without monkey deaths due to the high suitability of forests for supporting dense tick populations. </w:t>
            </w:r>
          </w:p>
          <w:p w14:paraId="5BC7ED42" w14:textId="1FE5D758" w:rsidR="00EF13D6" w:rsidRDefault="00EF13D6" w:rsidP="00316350">
            <w:pPr>
              <w:rPr>
                <w:rFonts w:eastAsia="Times New Roman" w:cstheme="minorHAnsi"/>
                <w:color w:val="000000"/>
                <w:sz w:val="18"/>
                <w:szCs w:val="18"/>
                <w:lang w:eastAsia="en-GB"/>
              </w:rPr>
            </w:pPr>
          </w:p>
          <w:p w14:paraId="4F8300B1" w14:textId="65E770B0" w:rsidR="00EF13D6" w:rsidRPr="00502244" w:rsidRDefault="00EF13D6" w:rsidP="00316350">
            <w:pPr>
              <w:rPr>
                <w:rFonts w:eastAsia="Times New Roman" w:cstheme="minorHAnsi"/>
                <w:color w:val="000000"/>
                <w:sz w:val="18"/>
                <w:szCs w:val="18"/>
                <w:lang w:eastAsia="en-GB"/>
              </w:rPr>
            </w:pPr>
            <w:r>
              <w:rPr>
                <w:rFonts w:eastAsia="Times New Roman" w:cstheme="minorHAnsi"/>
                <w:color w:val="000000"/>
                <w:sz w:val="18"/>
                <w:szCs w:val="18"/>
                <w:lang w:eastAsia="en-GB"/>
              </w:rPr>
              <w:t>Recommendations to avoid forests need to be balanced with the fact that people depend on the forests for their livelihoods</w:t>
            </w:r>
            <w:r w:rsidR="00BD577A">
              <w:rPr>
                <w:rFonts w:eastAsia="Times New Roman" w:cstheme="minorHAnsi"/>
                <w:color w:val="000000"/>
                <w:sz w:val="18"/>
                <w:szCs w:val="18"/>
                <w:lang w:eastAsia="en-GB"/>
              </w:rPr>
              <w:t xml:space="preserve"> and animal health through the provision of animal fodder, fertiliser and other forest products. Thus, there is a requirement to find effective personal protective measures for humans and to understand the role of livestock in the KFDV cycle.</w:t>
            </w:r>
          </w:p>
          <w:p w14:paraId="3087A53C" w14:textId="77777777" w:rsidR="00D03F73" w:rsidRPr="00502244" w:rsidRDefault="00D03F73" w:rsidP="00316350">
            <w:pPr>
              <w:rPr>
                <w:rFonts w:eastAsia="Times New Roman" w:cstheme="minorHAnsi"/>
                <w:color w:val="000000"/>
                <w:sz w:val="18"/>
                <w:szCs w:val="18"/>
                <w:lang w:eastAsia="en-GB"/>
              </w:rPr>
            </w:pPr>
          </w:p>
        </w:tc>
      </w:tr>
      <w:tr w:rsidR="00D03F73" w:rsidRPr="00502244" w14:paraId="2F0A1EC9" w14:textId="77777777" w:rsidTr="00534F58">
        <w:trPr>
          <w:trHeight w:val="2066"/>
        </w:trPr>
        <w:tc>
          <w:tcPr>
            <w:tcW w:w="0" w:type="auto"/>
            <w:hideMark/>
          </w:tcPr>
          <w:p w14:paraId="095B91E2" w14:textId="77777777" w:rsidR="00D03F73"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lastRenderedPageBreak/>
              <w:t>Reduce exposure through avoidance of human activities</w:t>
            </w:r>
          </w:p>
          <w:p w14:paraId="18F84327" w14:textId="77777777" w:rsidR="00D03F73" w:rsidRDefault="00D03F73" w:rsidP="00316350">
            <w:pPr>
              <w:rPr>
                <w:rFonts w:eastAsia="Times New Roman" w:cstheme="minorHAnsi"/>
                <w:color w:val="000000"/>
                <w:sz w:val="18"/>
                <w:szCs w:val="18"/>
                <w:lang w:eastAsia="en-GB"/>
              </w:rPr>
            </w:pPr>
          </w:p>
          <w:p w14:paraId="0734DD8D"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w:t>
            </w:r>
            <w:r>
              <w:rPr>
                <w:rFonts w:eastAsia="Times New Roman" w:cstheme="minorHAnsi"/>
                <w:color w:val="000000"/>
                <w:sz w:val="18"/>
                <w:szCs w:val="18"/>
                <w:lang w:eastAsia="en-GB"/>
              </w:rPr>
              <w:t>Human hosts: human activities in ecosystems and spill-over host exposure to vectors)</w:t>
            </w:r>
          </w:p>
          <w:p w14:paraId="12242E69"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111530DD"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Don’t bring the leaves of trees from KFD infected area to the village for cattle bedding material.</w:t>
            </w:r>
          </w:p>
          <w:p w14:paraId="75004308"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26188551"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This assumes that forests are the most risky habitats for ticks, and that gathering of leaves is a risky activity. Risks arises through risk of tick bites from forest vegetation during the leaf gathering process, and also because the leaves themselves can harbour tick populations, leading to increased risk of transferring infected ticks around the home.</w:t>
            </w:r>
          </w:p>
        </w:tc>
        <w:tc>
          <w:tcPr>
            <w:tcW w:w="2977" w:type="dxa"/>
            <w:hideMark/>
          </w:tcPr>
          <w:p w14:paraId="15BF2E33"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See above. No empirical evidence testing whether ticks can survive in leaf litter for a long enough period to be brought back to the home and reach susceptible hosts.</w:t>
            </w:r>
          </w:p>
          <w:p w14:paraId="625C0FBA" w14:textId="77777777" w:rsidR="00D03F73" w:rsidRPr="00502244" w:rsidRDefault="00D03F73" w:rsidP="00316350">
            <w:pPr>
              <w:rPr>
                <w:rFonts w:eastAsia="Times New Roman" w:cstheme="minorHAnsi"/>
                <w:color w:val="000000"/>
                <w:sz w:val="18"/>
                <w:szCs w:val="18"/>
                <w:lang w:eastAsia="en-GB"/>
              </w:rPr>
            </w:pPr>
          </w:p>
        </w:tc>
        <w:tc>
          <w:tcPr>
            <w:tcW w:w="4252" w:type="dxa"/>
          </w:tcPr>
          <w:p w14:paraId="6684CC24" w14:textId="77777777" w:rsidR="00D03F73" w:rsidRDefault="00D03F73" w:rsidP="00316350">
            <w:pPr>
              <w:rPr>
                <w:sz w:val="18"/>
                <w:szCs w:val="18"/>
              </w:rPr>
            </w:pPr>
            <w:r w:rsidRPr="0001744F">
              <w:rPr>
                <w:sz w:val="18"/>
                <w:szCs w:val="18"/>
              </w:rPr>
              <w:t>“Whatever you tell like don’t bring dry leaves, fodder, plants and produce from forest… I think few people as few follow the precautions we suggest during outbreaks.”</w:t>
            </w:r>
          </w:p>
          <w:p w14:paraId="0F987E4A" w14:textId="77777777" w:rsidR="00D03F73" w:rsidRDefault="00D03F73" w:rsidP="00316350">
            <w:pPr>
              <w:rPr>
                <w:sz w:val="18"/>
                <w:szCs w:val="18"/>
              </w:rPr>
            </w:pPr>
          </w:p>
          <w:p w14:paraId="68318977" w14:textId="77777777" w:rsidR="00D03F73" w:rsidRPr="000048C8" w:rsidRDefault="00D03F73" w:rsidP="00316350">
            <w:pPr>
              <w:rPr>
                <w:sz w:val="18"/>
                <w:szCs w:val="18"/>
              </w:rPr>
            </w:pPr>
            <w:r w:rsidRPr="0001744F">
              <w:rPr>
                <w:sz w:val="18"/>
                <w:szCs w:val="18"/>
              </w:rPr>
              <w:t>“Sir, advising people to not go to forest is the most difficult part. Because their life is dependent on going to the forest, so we are unable to prevent or change that behaviour.</w:t>
            </w:r>
          </w:p>
          <w:p w14:paraId="4F7376FE" w14:textId="77777777" w:rsidR="00D03F73" w:rsidRDefault="00D03F73" w:rsidP="00316350">
            <w:pPr>
              <w:rPr>
                <w:sz w:val="18"/>
                <w:szCs w:val="18"/>
              </w:rPr>
            </w:pPr>
          </w:p>
          <w:p w14:paraId="1BA8C32B" w14:textId="77777777" w:rsidR="00D03F73" w:rsidRPr="007128E2" w:rsidRDefault="00D03F73" w:rsidP="00316350">
            <w:pPr>
              <w:rPr>
                <w:sz w:val="18"/>
                <w:szCs w:val="18"/>
              </w:rPr>
            </w:pPr>
          </w:p>
        </w:tc>
        <w:tc>
          <w:tcPr>
            <w:tcW w:w="3686" w:type="dxa"/>
            <w:hideMark/>
          </w:tcPr>
          <w:p w14:paraId="34541ABE" w14:textId="3C5B3C8D"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Yes, because there is some empirical evidence that leaf litter used as bedding in cattle barns can harbour ticks  (</w:t>
            </w:r>
            <w:r>
              <w:rPr>
                <w:rFonts w:eastAsia="Times New Roman" w:cstheme="minorHAnsi"/>
                <w:color w:val="000000"/>
                <w:sz w:val="18"/>
                <w:szCs w:val="18"/>
                <w:lang w:eastAsia="en-GB"/>
              </w:rPr>
              <w:t xml:space="preserve">MonkeyFeverRisk project, </w:t>
            </w:r>
            <w:r w:rsidRPr="00502244">
              <w:rPr>
                <w:rFonts w:eastAsia="Times New Roman" w:cstheme="minorHAnsi"/>
                <w:i/>
                <w:color w:val="000000"/>
                <w:sz w:val="18"/>
                <w:szCs w:val="18"/>
                <w:lang w:eastAsia="en-GB"/>
              </w:rPr>
              <w:t>Unpublished data</w:t>
            </w:r>
            <w:r w:rsidRPr="00502244">
              <w:rPr>
                <w:rFonts w:eastAsia="Times New Roman" w:cstheme="minorHAnsi"/>
                <w:color w:val="000000"/>
                <w:sz w:val="18"/>
                <w:szCs w:val="18"/>
                <w:lang w:eastAsia="en-GB"/>
              </w:rPr>
              <w:t xml:space="preserve">). There is a need for robust systematic empirical evidence assessing whether forests have the highest prevalence of ticks infected with KFDV (and see above). </w:t>
            </w:r>
          </w:p>
          <w:p w14:paraId="132EBAC7" w14:textId="02C017B3" w:rsidR="00BD577A" w:rsidRDefault="00BD577A" w:rsidP="00316350">
            <w:pPr>
              <w:rPr>
                <w:rFonts w:eastAsia="Times New Roman" w:cstheme="minorHAnsi"/>
                <w:color w:val="000000"/>
                <w:sz w:val="18"/>
                <w:szCs w:val="18"/>
                <w:lang w:eastAsia="en-GB"/>
              </w:rPr>
            </w:pPr>
          </w:p>
          <w:p w14:paraId="76E83DA9" w14:textId="4E9C1ED8" w:rsidR="00BD577A" w:rsidRPr="00502244" w:rsidRDefault="00BD577A" w:rsidP="00BD577A">
            <w:pPr>
              <w:rPr>
                <w:rFonts w:eastAsia="Times New Roman" w:cstheme="minorHAnsi"/>
                <w:color w:val="000000"/>
                <w:sz w:val="18"/>
                <w:szCs w:val="18"/>
                <w:lang w:eastAsia="en-GB"/>
              </w:rPr>
            </w:pPr>
            <w:r>
              <w:rPr>
                <w:rFonts w:eastAsia="Times New Roman" w:cstheme="minorHAnsi"/>
                <w:color w:val="000000"/>
                <w:sz w:val="18"/>
                <w:szCs w:val="18"/>
                <w:lang w:eastAsia="en-GB"/>
              </w:rPr>
              <w:t>Such recommendations need to be balanced with the fact that people may depend on the use of such leaves for services such as animal bedding, fertiliser and fodder, and that alternative sources may not be available. Thus, there is a requirement to find effective personal protective measures for humans and to understand the role of livestock in the KFDV cycle.</w:t>
            </w:r>
          </w:p>
          <w:p w14:paraId="1E59D25F" w14:textId="77777777" w:rsidR="00BD577A" w:rsidRPr="00502244" w:rsidRDefault="00BD577A" w:rsidP="00316350">
            <w:pPr>
              <w:rPr>
                <w:rFonts w:eastAsia="Times New Roman" w:cstheme="minorHAnsi"/>
                <w:color w:val="000000"/>
                <w:sz w:val="18"/>
                <w:szCs w:val="18"/>
                <w:lang w:eastAsia="en-GB"/>
              </w:rPr>
            </w:pPr>
          </w:p>
          <w:p w14:paraId="1992C7DD" w14:textId="77777777" w:rsidR="00D03F73" w:rsidRPr="00502244" w:rsidRDefault="00D03F73" w:rsidP="00316350">
            <w:pPr>
              <w:rPr>
                <w:rFonts w:eastAsia="Times New Roman" w:cstheme="minorHAnsi"/>
                <w:color w:val="000000"/>
                <w:sz w:val="18"/>
                <w:szCs w:val="18"/>
                <w:lang w:eastAsia="en-GB"/>
              </w:rPr>
            </w:pPr>
          </w:p>
        </w:tc>
      </w:tr>
      <w:tr w:rsidR="00D03F73" w:rsidRPr="00502244" w14:paraId="06180C1F" w14:textId="77777777" w:rsidTr="00534F58">
        <w:trPr>
          <w:trHeight w:val="1758"/>
        </w:trPr>
        <w:tc>
          <w:tcPr>
            <w:tcW w:w="0" w:type="auto"/>
            <w:hideMark/>
          </w:tcPr>
          <w:p w14:paraId="324BD305" w14:textId="77777777"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Tick </w:t>
            </w:r>
            <w:r>
              <w:rPr>
                <w:rFonts w:eastAsia="Times New Roman" w:cstheme="minorHAnsi"/>
                <w:color w:val="000000"/>
                <w:sz w:val="18"/>
                <w:szCs w:val="18"/>
                <w:lang w:eastAsia="en-GB"/>
              </w:rPr>
              <w:t xml:space="preserve">bite </w:t>
            </w:r>
            <w:r w:rsidRPr="00502244">
              <w:rPr>
                <w:rFonts w:eastAsia="Times New Roman" w:cstheme="minorHAnsi"/>
                <w:color w:val="000000"/>
                <w:sz w:val="18"/>
                <w:szCs w:val="18"/>
                <w:lang w:eastAsia="en-GB"/>
              </w:rPr>
              <w:t>prevention</w:t>
            </w:r>
          </w:p>
          <w:p w14:paraId="21EB4408" w14:textId="77777777" w:rsidR="00D03F73" w:rsidRDefault="00D03F73" w:rsidP="00316350">
            <w:pPr>
              <w:rPr>
                <w:rFonts w:eastAsia="Times New Roman" w:cstheme="minorHAnsi"/>
                <w:color w:val="000000"/>
                <w:sz w:val="18"/>
                <w:szCs w:val="18"/>
                <w:lang w:eastAsia="en-GB"/>
              </w:rPr>
            </w:pPr>
          </w:p>
          <w:p w14:paraId="599D98E2"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w:t>
            </w:r>
            <w:r>
              <w:rPr>
                <w:rFonts w:eastAsia="Times New Roman" w:cstheme="minorHAnsi"/>
                <w:color w:val="000000"/>
                <w:sz w:val="18"/>
                <w:szCs w:val="18"/>
                <w:lang w:eastAsia="en-GB"/>
              </w:rPr>
              <w:t>Human hosts: human activities in ecosystems and spill-over host exposure to vectors)</w:t>
            </w:r>
          </w:p>
          <w:p w14:paraId="0DFEF5DD"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092AD802"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Don’t handle the infected monkey carcass by bare hand without personal protective equipment.</w:t>
            </w:r>
          </w:p>
          <w:p w14:paraId="4BAD8B75"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5BCBF353"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Assumes that monkey carcasses are a potential source of infected ticks that may transmit KFDV to human hosts during the handling of monkey carcasses.  Also assumes that there may be potential infection via contamination from bodily fluids.</w:t>
            </w:r>
          </w:p>
        </w:tc>
        <w:tc>
          <w:tcPr>
            <w:tcW w:w="2977" w:type="dxa"/>
            <w:hideMark/>
          </w:tcPr>
          <w:p w14:paraId="3A429F9A"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Monkeys are known to have high titres of KFDV virus and so are likely to have infected ticks and systemic infection (see above). Risk of handling infected bodily fluids is unknown.  </w:t>
            </w:r>
          </w:p>
          <w:p w14:paraId="28F1B8BA" w14:textId="77777777" w:rsidR="00D03F73" w:rsidRPr="00502244" w:rsidRDefault="00D03F73" w:rsidP="00316350">
            <w:pPr>
              <w:rPr>
                <w:rFonts w:eastAsia="Times New Roman" w:cstheme="minorHAnsi"/>
                <w:color w:val="000000"/>
                <w:sz w:val="18"/>
                <w:szCs w:val="18"/>
                <w:lang w:eastAsia="en-GB"/>
              </w:rPr>
            </w:pPr>
          </w:p>
        </w:tc>
        <w:tc>
          <w:tcPr>
            <w:tcW w:w="4252" w:type="dxa"/>
          </w:tcPr>
          <w:p w14:paraId="5C4892FB" w14:textId="77777777" w:rsidR="00D03F73"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w:t>
            </w:r>
            <w:r w:rsidRPr="00CF24A7">
              <w:rPr>
                <w:rFonts w:eastAsia="Times New Roman" w:cstheme="minorHAnsi"/>
                <w:color w:val="000000"/>
                <w:sz w:val="18"/>
                <w:szCs w:val="18"/>
                <w:lang w:eastAsia="en-GB"/>
              </w:rPr>
              <w:t xml:space="preserve">Even while burning </w:t>
            </w:r>
            <w:r>
              <w:rPr>
                <w:rFonts w:eastAsia="Times New Roman" w:cstheme="minorHAnsi"/>
                <w:color w:val="000000"/>
                <w:sz w:val="18"/>
                <w:szCs w:val="18"/>
                <w:lang w:eastAsia="en-GB"/>
              </w:rPr>
              <w:t>monkey carcass</w:t>
            </w:r>
            <w:r w:rsidRPr="00CF24A7">
              <w:rPr>
                <w:rFonts w:eastAsia="Times New Roman" w:cstheme="minorHAnsi"/>
                <w:color w:val="000000"/>
                <w:sz w:val="18"/>
                <w:szCs w:val="18"/>
                <w:lang w:eastAsia="en-GB"/>
              </w:rPr>
              <w:t xml:space="preserve">, they handle with bare hands without </w:t>
            </w:r>
            <w:r>
              <w:rPr>
                <w:rFonts w:eastAsia="Times New Roman" w:cstheme="minorHAnsi"/>
                <w:color w:val="000000"/>
                <w:sz w:val="18"/>
                <w:szCs w:val="18"/>
                <w:lang w:eastAsia="en-GB"/>
              </w:rPr>
              <w:t>prope</w:t>
            </w:r>
            <w:r w:rsidRPr="00CF24A7">
              <w:rPr>
                <w:rFonts w:eastAsia="Times New Roman" w:cstheme="minorHAnsi"/>
                <w:color w:val="000000"/>
                <w:sz w:val="18"/>
                <w:szCs w:val="18"/>
                <w:lang w:eastAsia="en-GB"/>
              </w:rPr>
              <w:t xml:space="preserve">r PPE and precautions. They </w:t>
            </w:r>
            <w:r>
              <w:rPr>
                <w:rFonts w:eastAsia="Times New Roman" w:cstheme="minorHAnsi"/>
                <w:color w:val="000000"/>
                <w:sz w:val="18"/>
                <w:szCs w:val="18"/>
                <w:lang w:eastAsia="en-GB"/>
              </w:rPr>
              <w:t>also won’t be having precautions…”</w:t>
            </w:r>
          </w:p>
          <w:p w14:paraId="673B9819" w14:textId="77777777" w:rsidR="00D03F73" w:rsidRDefault="00D03F73" w:rsidP="00316350">
            <w:pPr>
              <w:rPr>
                <w:rFonts w:eastAsia="Times New Roman" w:cstheme="minorHAnsi"/>
                <w:color w:val="000000"/>
                <w:sz w:val="18"/>
                <w:szCs w:val="18"/>
                <w:lang w:eastAsia="en-GB"/>
              </w:rPr>
            </w:pPr>
          </w:p>
          <w:p w14:paraId="7446ED04" w14:textId="77777777" w:rsidR="00D03F73" w:rsidRPr="00502244"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“…T</w:t>
            </w:r>
            <w:r w:rsidRPr="00D01D9D">
              <w:rPr>
                <w:rFonts w:eastAsia="Times New Roman" w:cstheme="minorHAnsi"/>
                <w:color w:val="000000"/>
                <w:sz w:val="18"/>
                <w:szCs w:val="18"/>
                <w:lang w:eastAsia="en-GB"/>
              </w:rPr>
              <w:t>here used to be one group D, health inspector and medical officer and together they were supposed to do it. This was from the KFD unit</w:t>
            </w:r>
            <w:r>
              <w:rPr>
                <w:rFonts w:eastAsia="Times New Roman" w:cstheme="minorHAnsi"/>
                <w:color w:val="000000"/>
                <w:sz w:val="18"/>
                <w:szCs w:val="18"/>
                <w:lang w:eastAsia="en-GB"/>
              </w:rPr>
              <w:t>…Be</w:t>
            </w:r>
            <w:r w:rsidRPr="00D01D9D">
              <w:rPr>
                <w:rFonts w:eastAsia="Times New Roman" w:cstheme="minorHAnsi"/>
                <w:color w:val="000000"/>
                <w:sz w:val="18"/>
                <w:szCs w:val="18"/>
                <w:lang w:eastAsia="en-GB"/>
              </w:rPr>
              <w:t>fore that we used to close with a local plastic sheet until they come, and after they come, they used to per</w:t>
            </w:r>
            <w:r>
              <w:rPr>
                <w:rFonts w:eastAsia="Times New Roman" w:cstheme="minorHAnsi"/>
                <w:color w:val="000000"/>
                <w:sz w:val="18"/>
                <w:szCs w:val="18"/>
                <w:lang w:eastAsia="en-GB"/>
              </w:rPr>
              <w:t>form autopsy in the open and</w:t>
            </w:r>
            <w:r w:rsidRPr="00D01D9D">
              <w:rPr>
                <w:rFonts w:eastAsia="Times New Roman" w:cstheme="minorHAnsi"/>
                <w:color w:val="000000"/>
                <w:sz w:val="18"/>
                <w:szCs w:val="18"/>
                <w:lang w:eastAsia="en-GB"/>
              </w:rPr>
              <w:t xml:space="preserve"> take it and burn it.</w:t>
            </w:r>
            <w:r>
              <w:t xml:space="preserve"> </w:t>
            </w:r>
            <w:r>
              <w:rPr>
                <w:rFonts w:eastAsia="Times New Roman" w:cstheme="minorHAnsi"/>
                <w:color w:val="000000"/>
                <w:sz w:val="18"/>
                <w:szCs w:val="18"/>
                <w:lang w:eastAsia="en-GB"/>
              </w:rPr>
              <w:t>With bare hands!”</w:t>
            </w:r>
          </w:p>
        </w:tc>
        <w:tc>
          <w:tcPr>
            <w:tcW w:w="3686" w:type="dxa"/>
            <w:hideMark/>
          </w:tcPr>
          <w:p w14:paraId="5FFFAEE8" w14:textId="3C81F9AD"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Yes, although the likelihood of intra-stadial transmission seems unlikely (see above), monkeys can have high titres of virus and there is a risk of transmission via inhalation of aerosols or direct transmission via infected blood. Human cases of KFD</w:t>
            </w:r>
            <w:bookmarkStart w:id="0" w:name="_GoBack"/>
            <w:bookmarkEnd w:id="0"/>
            <w:r w:rsidRPr="00502244">
              <w:rPr>
                <w:rFonts w:eastAsia="Times New Roman" w:cstheme="minorHAnsi"/>
                <w:color w:val="000000"/>
                <w:sz w:val="18"/>
                <w:szCs w:val="18"/>
                <w:lang w:eastAsia="en-GB"/>
              </w:rPr>
              <w:t xml:space="preserve"> in laboratory workers infected via inhalation of aerosols has been reported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F1000_CSL_CITATION&lt;~#@#~&gt;[{"title":"Studies of viruses of the tick-borne encephalitis complex. II. Disease and immune responses in man following accidental infection with Kyasanur Forest disease virus.","id":"4591168","page":"240-248","type":"article-journal","volume":"88","author":[{"family":"Morse","given":"L J"},{"family":"Russ","given":"S B"},{"family":"Needy","given":"C F"},{"family":"Buescher","given":"E L"}],"issued":{"date-parts":[["1962","2"]]},"container-title":"Journal of Immunology","container-title-short":"J. Immunol.","journalAbbreviation":"J. Immunol.","PMID":"14476341","citation-label":"4591168","CleanAbstract":"No abstract available"}]</w:instrText>
            </w:r>
            <w:r w:rsidRPr="00502244">
              <w:rPr>
                <w:rFonts w:eastAsia="Times New Roman" w:cstheme="minorHAnsi"/>
                <w:color w:val="000000"/>
                <w:sz w:val="18"/>
                <w:szCs w:val="18"/>
                <w:lang w:eastAsia="en-GB"/>
              </w:rPr>
              <w:fldChar w:fldCharType="separate"/>
            </w:r>
            <w:r w:rsidR="005B449B">
              <w:rPr>
                <w:rFonts w:eastAsia="Times New Roman" w:cstheme="minorHAnsi"/>
                <w:color w:val="000000"/>
                <w:sz w:val="18"/>
                <w:szCs w:val="18"/>
                <w:lang w:eastAsia="en-GB"/>
              </w:rPr>
              <w:t>(30)</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 Moreover, monkeys potentially harbour other zoonotic infections, and adopting effective personal protection is justified and appropriate.</w:t>
            </w:r>
          </w:p>
          <w:p w14:paraId="6EE5EF3E" w14:textId="77777777" w:rsidR="00D03F73" w:rsidRPr="00502244" w:rsidRDefault="00D03F73" w:rsidP="00316350">
            <w:pPr>
              <w:rPr>
                <w:rFonts w:eastAsia="Times New Roman" w:cstheme="minorHAnsi"/>
                <w:color w:val="000000"/>
                <w:sz w:val="18"/>
                <w:szCs w:val="18"/>
                <w:lang w:eastAsia="en-GB"/>
              </w:rPr>
            </w:pPr>
          </w:p>
        </w:tc>
      </w:tr>
      <w:tr w:rsidR="00D03F73" w:rsidRPr="00502244" w14:paraId="40E6F449" w14:textId="77777777" w:rsidTr="00534F58">
        <w:trPr>
          <w:trHeight w:val="2654"/>
        </w:trPr>
        <w:tc>
          <w:tcPr>
            <w:tcW w:w="0" w:type="auto"/>
            <w:hideMark/>
          </w:tcPr>
          <w:p w14:paraId="6395B8A2" w14:textId="77777777" w:rsidR="00D03F73"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lastRenderedPageBreak/>
              <w:t>Reduce exposure through avoidance of human activities</w:t>
            </w:r>
          </w:p>
          <w:p w14:paraId="01D9019C" w14:textId="77777777" w:rsidR="00D03F73"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through e</w:t>
            </w:r>
            <w:r w:rsidRPr="00502244">
              <w:rPr>
                <w:rFonts w:eastAsia="Times New Roman" w:cstheme="minorHAnsi"/>
                <w:color w:val="000000"/>
                <w:sz w:val="18"/>
                <w:szCs w:val="18"/>
                <w:lang w:eastAsia="en-GB"/>
              </w:rPr>
              <w:t>ducation</w:t>
            </w:r>
            <w:r>
              <w:rPr>
                <w:rFonts w:eastAsia="Times New Roman" w:cstheme="minorHAnsi"/>
                <w:color w:val="000000"/>
                <w:sz w:val="18"/>
                <w:szCs w:val="18"/>
                <w:lang w:eastAsia="en-GB"/>
              </w:rPr>
              <w:t xml:space="preserve"> </w:t>
            </w:r>
          </w:p>
          <w:p w14:paraId="7D1F8094" w14:textId="77777777" w:rsidR="00D03F73" w:rsidRDefault="00D03F73" w:rsidP="00316350">
            <w:pPr>
              <w:rPr>
                <w:rFonts w:eastAsia="Times New Roman" w:cstheme="minorHAnsi"/>
                <w:color w:val="000000"/>
                <w:sz w:val="18"/>
                <w:szCs w:val="18"/>
                <w:lang w:eastAsia="en-GB"/>
              </w:rPr>
            </w:pPr>
          </w:p>
          <w:p w14:paraId="3C94B5D7"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w:t>
            </w:r>
            <w:r>
              <w:rPr>
                <w:rFonts w:eastAsia="Times New Roman" w:cstheme="minorHAnsi"/>
                <w:color w:val="000000"/>
                <w:sz w:val="18"/>
                <w:szCs w:val="18"/>
                <w:lang w:eastAsia="en-GB"/>
              </w:rPr>
              <w:t>Human hosts: human activities in ecosystems and spill-over host exposure to vectors)</w:t>
            </w:r>
          </w:p>
          <w:p w14:paraId="3010BE44"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0D600349"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Highlighting risky activities: for example to not sit on the ground or in bushy areas of the forest</w:t>
            </w:r>
          </w:p>
          <w:p w14:paraId="376AAD0F"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127DF25E"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Assumes that particular habitats (forests) and particular activities carry a higher risk of getting tick bites</w:t>
            </w:r>
          </w:p>
          <w:p w14:paraId="04C7B26E" w14:textId="77777777" w:rsidR="00D03F73" w:rsidRPr="00502244" w:rsidRDefault="00D03F73" w:rsidP="00316350">
            <w:pPr>
              <w:rPr>
                <w:rFonts w:eastAsia="Times New Roman" w:cstheme="minorHAnsi"/>
                <w:color w:val="000000"/>
                <w:sz w:val="18"/>
                <w:szCs w:val="18"/>
                <w:lang w:eastAsia="en-GB"/>
              </w:rPr>
            </w:pPr>
          </w:p>
        </w:tc>
        <w:tc>
          <w:tcPr>
            <w:tcW w:w="2977" w:type="dxa"/>
            <w:hideMark/>
          </w:tcPr>
          <w:p w14:paraId="7C14D4DD"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Yes. Risk of getting bitten by ticks will increase with time spent in habitats with high tick densities and activities which expose humans to ticks. However, there is currently a lack of robust empirical assessment of how social factors such as livelihoods and behaviour influence infection and tick-bite rates.</w:t>
            </w:r>
          </w:p>
        </w:tc>
        <w:tc>
          <w:tcPr>
            <w:tcW w:w="4252" w:type="dxa"/>
          </w:tcPr>
          <w:p w14:paraId="46371740" w14:textId="77777777" w:rsidR="00D03F73" w:rsidRDefault="00D03F73" w:rsidP="00316350">
            <w:pPr>
              <w:rPr>
                <w:sz w:val="18"/>
                <w:szCs w:val="18"/>
              </w:rPr>
            </w:pPr>
            <w:r w:rsidRPr="0001744F">
              <w:rPr>
                <w:sz w:val="18"/>
                <w:szCs w:val="18"/>
              </w:rPr>
              <w:t>“Difficulties, they don’t follow strictly whatever we say and we know that, it is difficult to follow because if we advise them not to go to forest, it is not possible as their livelihood depends on it…”</w:t>
            </w:r>
          </w:p>
          <w:p w14:paraId="4A83BA8E" w14:textId="77777777" w:rsidR="00D03F73" w:rsidRDefault="00D03F73" w:rsidP="00316350">
            <w:pPr>
              <w:rPr>
                <w:sz w:val="18"/>
                <w:szCs w:val="18"/>
              </w:rPr>
            </w:pPr>
          </w:p>
          <w:p w14:paraId="3A98BE4A" w14:textId="77777777" w:rsidR="00D03F73" w:rsidRDefault="00D03F73" w:rsidP="00316350">
            <w:pPr>
              <w:rPr>
                <w:sz w:val="18"/>
                <w:szCs w:val="18"/>
              </w:rPr>
            </w:pPr>
            <w:r w:rsidRPr="0001744F">
              <w:rPr>
                <w:iCs/>
                <w:color w:val="000000"/>
                <w:sz w:val="18"/>
                <w:szCs w:val="18"/>
              </w:rPr>
              <w:t xml:space="preserve">“…One is the gap between acceptance of our services offered by health department and acceptance level of the beneficiaries, there is big gap, they are not ready to accept us, we are not able to make it out why it is so.”  </w:t>
            </w:r>
          </w:p>
          <w:p w14:paraId="10C8FB85" w14:textId="77777777" w:rsidR="00D03F73" w:rsidRDefault="00D03F73" w:rsidP="00316350">
            <w:pPr>
              <w:rPr>
                <w:rFonts w:eastAsia="Times New Roman" w:cstheme="minorHAnsi"/>
                <w:color w:val="000000"/>
                <w:sz w:val="18"/>
                <w:szCs w:val="18"/>
                <w:lang w:eastAsia="en-GB"/>
              </w:rPr>
            </w:pPr>
          </w:p>
          <w:p w14:paraId="0965E09B" w14:textId="77777777" w:rsidR="00D03F73" w:rsidRDefault="00D03F73" w:rsidP="00316350">
            <w:pPr>
              <w:rPr>
                <w:rFonts w:eastAsia="Times New Roman" w:cstheme="minorHAnsi"/>
                <w:color w:val="000000"/>
                <w:sz w:val="18"/>
                <w:szCs w:val="18"/>
                <w:lang w:eastAsia="en-GB"/>
              </w:rPr>
            </w:pPr>
          </w:p>
          <w:p w14:paraId="24665222" w14:textId="77777777" w:rsidR="00D03F73" w:rsidRPr="00502244" w:rsidRDefault="00D03F73" w:rsidP="00316350">
            <w:pPr>
              <w:rPr>
                <w:rFonts w:eastAsia="Times New Roman" w:cstheme="minorHAnsi"/>
                <w:color w:val="000000"/>
                <w:sz w:val="18"/>
                <w:szCs w:val="18"/>
                <w:lang w:eastAsia="en-GB"/>
              </w:rPr>
            </w:pPr>
          </w:p>
        </w:tc>
        <w:tc>
          <w:tcPr>
            <w:tcW w:w="3686" w:type="dxa"/>
            <w:hideMark/>
          </w:tcPr>
          <w:p w14:paraId="0469A232"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Yes, although a more integrated approach is needed. People need educating to make them aware of risky habitats and behaviours, and why it is important to use protective clothing, repellents and undertake prompt removal of any attached ticks.</w:t>
            </w:r>
          </w:p>
          <w:p w14:paraId="63800259" w14:textId="77777777" w:rsidR="00D03F73" w:rsidRPr="00502244" w:rsidRDefault="00D03F73" w:rsidP="00316350">
            <w:pPr>
              <w:rPr>
                <w:rFonts w:eastAsia="Times New Roman" w:cstheme="minorHAnsi"/>
                <w:color w:val="000000"/>
                <w:sz w:val="18"/>
                <w:szCs w:val="18"/>
                <w:lang w:eastAsia="en-GB"/>
              </w:rPr>
            </w:pPr>
          </w:p>
        </w:tc>
      </w:tr>
      <w:tr w:rsidR="00D03F73" w:rsidRPr="00502244" w14:paraId="1EE861BD" w14:textId="77777777" w:rsidTr="00534F58">
        <w:trPr>
          <w:trHeight w:val="1304"/>
        </w:trPr>
        <w:tc>
          <w:tcPr>
            <w:tcW w:w="0" w:type="auto"/>
            <w:hideMark/>
          </w:tcPr>
          <w:p w14:paraId="77367A32" w14:textId="77777777"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Surveillance </w:t>
            </w:r>
          </w:p>
          <w:p w14:paraId="7FFABCA8" w14:textId="77777777" w:rsidR="00D03F73" w:rsidRDefault="00D03F73" w:rsidP="00316350">
            <w:pPr>
              <w:rPr>
                <w:rFonts w:eastAsia="Times New Roman" w:cstheme="minorHAnsi"/>
                <w:color w:val="000000"/>
                <w:sz w:val="18"/>
                <w:szCs w:val="18"/>
                <w:lang w:eastAsia="en-GB"/>
              </w:rPr>
            </w:pPr>
          </w:p>
          <w:p w14:paraId="512479D5" w14:textId="77777777" w:rsidR="00D03F73" w:rsidRPr="00502244"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(Human hosts: susceptibility and infection)</w:t>
            </w:r>
          </w:p>
          <w:p w14:paraId="7F62C381" w14:textId="77777777" w:rsidR="00D03F73" w:rsidRDefault="00D03F73" w:rsidP="00316350">
            <w:pPr>
              <w:rPr>
                <w:rFonts w:eastAsia="Times New Roman" w:cstheme="minorHAnsi"/>
                <w:color w:val="000000"/>
                <w:sz w:val="18"/>
                <w:szCs w:val="18"/>
                <w:lang w:eastAsia="en-GB"/>
              </w:rPr>
            </w:pPr>
          </w:p>
          <w:p w14:paraId="0AF337FC" w14:textId="77777777" w:rsidR="00D03F73" w:rsidRDefault="00D03F73" w:rsidP="00316350">
            <w:pPr>
              <w:rPr>
                <w:rFonts w:eastAsia="Times New Roman" w:cstheme="minorHAnsi"/>
                <w:color w:val="000000"/>
                <w:sz w:val="18"/>
                <w:szCs w:val="18"/>
                <w:lang w:eastAsia="en-GB"/>
              </w:rPr>
            </w:pPr>
          </w:p>
          <w:p w14:paraId="2FB76570"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29BB3794" w14:textId="3538C9C6"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Human disease surveillance of fever cases (</w:t>
            </w:r>
            <w:r>
              <w:rPr>
                <w:rFonts w:eastAsia="Times New Roman" w:cstheme="minorHAnsi"/>
                <w:color w:val="000000"/>
                <w:sz w:val="18"/>
                <w:szCs w:val="18"/>
                <w:lang w:eastAsia="en-GB"/>
              </w:rPr>
              <w:t xml:space="preserve"> November to June</w:t>
            </w:r>
            <w:r w:rsidRPr="00502244">
              <w:rPr>
                <w:rFonts w:eastAsia="Times New Roman" w:cstheme="minorHAnsi"/>
                <w:color w:val="000000"/>
                <w:sz w:val="18"/>
                <w:szCs w:val="18"/>
                <w:lang w:eastAsia="en-GB"/>
              </w:rPr>
              <w:t>) with sera screened for KFD</w:t>
            </w:r>
            <w:r w:rsidR="005B449B">
              <w:rPr>
                <w:rFonts w:eastAsia="Times New Roman" w:cstheme="minorHAnsi"/>
                <w:color w:val="000000"/>
                <w:sz w:val="18"/>
                <w:szCs w:val="18"/>
                <w:lang w:eastAsia="en-GB"/>
              </w:rPr>
              <w:t>V</w:t>
            </w:r>
          </w:p>
          <w:p w14:paraId="0E5003F5"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2EB483A7"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Assumes that human cases are likely to be clustered in the environment and hence that screening may allow targeted prevention strategies such as vaccination</w:t>
            </w:r>
          </w:p>
        </w:tc>
        <w:tc>
          <w:tcPr>
            <w:tcW w:w="2977" w:type="dxa"/>
            <w:hideMark/>
          </w:tcPr>
          <w:p w14:paraId="5E2B799A" w14:textId="7052190D"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Yes, human cases tend to be clustered and identification of cases has been used to target vaccination</w:t>
            </w:r>
            <w:r w:rsidR="005B449B">
              <w:rPr>
                <w:rFonts w:eastAsia="Times New Roman" w:cstheme="minorHAnsi"/>
                <w:color w:val="000000"/>
                <w:sz w:val="18"/>
                <w:szCs w:val="18"/>
                <w:lang w:eastAsia="en-GB"/>
              </w:rPr>
              <w:t xml:space="preserve"> </w:t>
            </w:r>
            <w:r w:rsidR="005B449B">
              <w:rPr>
                <w:rFonts w:eastAsia="Times New Roman" w:cstheme="minorHAnsi"/>
                <w:color w:val="000000"/>
                <w:sz w:val="18"/>
                <w:szCs w:val="18"/>
                <w:lang w:eastAsia="en-GB"/>
              </w:rPr>
              <w:fldChar w:fldCharType="begin"/>
            </w:r>
            <w:r w:rsidR="005B449B">
              <w:rPr>
                <w:rFonts w:eastAsia="Times New Roman" w:cstheme="minorHAnsi"/>
                <w:color w:val="000000"/>
                <w:sz w:val="18"/>
                <w:szCs w:val="18"/>
                <w:lang w:eastAsia="en-GB"/>
              </w:rPr>
              <w:instrText>ADDIN F1000_CSL_CITATION&lt;~#@#~&gt;[{"title":"Kyasanur Forest disease outbreak and vaccination strategy,Shimoga District, India, 2013-2014.","id":"4590040","ArticleId":"732267049","page":"146-149","type":"article-journal","volume":"21","issue":"1","author":[{"family":"Kiran","given":"S K"},{"family":"Pasi","given":"Achhelal"},{"family":"Kumar","given":"Satish"},{"family":"Kasabi","given":"Gudadappa S"},{"family":"Gujjarappa","given":"Prabhakara"},{"family":"Shrivastava","given":"Aakash"},{"family":"Mehendale","given":"Sanjay"},{"family":"Chauhan","given":"L S"},{"family":"Laserson","given":"Kayla F"},{"family":"Murhekar","given":"Manoj"}],"issued":{"date-parts":[["2015","1"]]},"container-title":"Emerging Infectious Diseases","container-title-short":"Emerging Infect. Dis.","journalAbbreviation":"Emerging Infect. Dis.","DOI":"10.3201/eid2101.141227","PMID":"25531141","PMCID":"PMC4285264","citation-label":"4590040","Abstract":"We investigated a Kyasanur Forest disease outbreak in Karnataka, India during December 2013-April 2014. Surveillance and retrospective study indicated low vaccine coverage, low vaccine effectiveness, and spread of disease to areas beyond those selected for vaccination and to age groups not targeted for vaccination. To control disease, vaccination strategies need to be reviewed.","CleanAbstract":"We investigated a Kyasanur Forest disease outbreak in Karnataka, India during December 2013-April 2014. Surveillance and retrospective study indicated low vaccine coverage, low vaccine effectiveness, and spread of disease to areas beyond those selected for vaccination and to age groups not targeted for vaccination. To control disease, vaccination strategies need to be reviewed."}]</w:instrText>
            </w:r>
            <w:r w:rsidR="005B449B">
              <w:rPr>
                <w:rFonts w:eastAsia="Times New Roman" w:cstheme="minorHAnsi"/>
                <w:color w:val="000000"/>
                <w:sz w:val="18"/>
                <w:szCs w:val="18"/>
                <w:lang w:eastAsia="en-GB"/>
              </w:rPr>
              <w:fldChar w:fldCharType="separate"/>
            </w:r>
            <w:r w:rsidR="005B449B">
              <w:rPr>
                <w:rFonts w:eastAsia="Times New Roman" w:cstheme="minorHAnsi"/>
                <w:color w:val="000000"/>
                <w:sz w:val="18"/>
                <w:szCs w:val="18"/>
                <w:lang w:eastAsia="en-GB"/>
              </w:rPr>
              <w:t>(27)</w:t>
            </w:r>
            <w:r w:rsidR="005B449B">
              <w:rPr>
                <w:rFonts w:eastAsia="Times New Roman" w:cstheme="minorHAnsi"/>
                <w:color w:val="000000"/>
                <w:sz w:val="18"/>
                <w:szCs w:val="18"/>
                <w:lang w:eastAsia="en-GB"/>
              </w:rPr>
              <w:fldChar w:fldCharType="end"/>
            </w:r>
            <w:r w:rsidR="005B449B">
              <w:rPr>
                <w:rFonts w:eastAsia="Times New Roman" w:cstheme="minorHAnsi"/>
                <w:color w:val="000000"/>
                <w:sz w:val="18"/>
                <w:szCs w:val="18"/>
                <w:lang w:eastAsia="en-GB"/>
              </w:rPr>
              <w:t>.</w:t>
            </w:r>
          </w:p>
          <w:p w14:paraId="44E50447" w14:textId="77777777" w:rsidR="00D03F73" w:rsidRPr="00502244" w:rsidRDefault="00D03F73" w:rsidP="00316350">
            <w:pPr>
              <w:rPr>
                <w:rFonts w:eastAsia="Times New Roman" w:cstheme="minorHAnsi"/>
                <w:color w:val="000000"/>
                <w:sz w:val="18"/>
                <w:szCs w:val="18"/>
                <w:lang w:eastAsia="en-GB"/>
              </w:rPr>
            </w:pPr>
          </w:p>
        </w:tc>
        <w:tc>
          <w:tcPr>
            <w:tcW w:w="4252" w:type="dxa"/>
          </w:tcPr>
          <w:p w14:paraId="20E1F0E3" w14:textId="77777777" w:rsidR="00D03F73" w:rsidRPr="00502244" w:rsidRDefault="00D03F73" w:rsidP="00316350">
            <w:pPr>
              <w:rPr>
                <w:rFonts w:eastAsia="Times New Roman" w:cstheme="minorHAnsi"/>
                <w:color w:val="000000"/>
                <w:sz w:val="18"/>
                <w:szCs w:val="18"/>
                <w:lang w:eastAsia="en-GB"/>
              </w:rPr>
            </w:pPr>
            <w:r w:rsidRPr="0001744F">
              <w:rPr>
                <w:sz w:val="18"/>
                <w:szCs w:val="18"/>
              </w:rPr>
              <w:t xml:space="preserve">“…The handicap thing is, this season, so, it is rainy or it is very cold or there is no road, there is no vehicle to go and one house you visit and come back, it takes one day. So, the whole team, manpower is wasted to save one person, the one house, the other person affected and die and you can’t identify them…”  </w:t>
            </w:r>
          </w:p>
        </w:tc>
        <w:tc>
          <w:tcPr>
            <w:tcW w:w="3686" w:type="dxa"/>
            <w:hideMark/>
          </w:tcPr>
          <w:p w14:paraId="16E2E6D2"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Yes, this is justified.</w:t>
            </w:r>
          </w:p>
          <w:p w14:paraId="19BDBC2A" w14:textId="77777777" w:rsidR="00D03F73" w:rsidRPr="00502244" w:rsidRDefault="00D03F73" w:rsidP="00316350">
            <w:pPr>
              <w:rPr>
                <w:rFonts w:eastAsia="Times New Roman" w:cstheme="minorHAnsi"/>
                <w:color w:val="000000"/>
                <w:sz w:val="18"/>
                <w:szCs w:val="18"/>
                <w:lang w:eastAsia="en-GB"/>
              </w:rPr>
            </w:pPr>
          </w:p>
        </w:tc>
      </w:tr>
      <w:tr w:rsidR="00D03F73" w:rsidRPr="00502244" w14:paraId="3C061201" w14:textId="77777777" w:rsidTr="00534F58">
        <w:trPr>
          <w:trHeight w:val="757"/>
        </w:trPr>
        <w:tc>
          <w:tcPr>
            <w:tcW w:w="0" w:type="auto"/>
            <w:hideMark/>
          </w:tcPr>
          <w:p w14:paraId="53FA5844" w14:textId="77777777"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Surveillance </w:t>
            </w:r>
          </w:p>
          <w:p w14:paraId="461902EB" w14:textId="77777777" w:rsidR="00D03F73" w:rsidRDefault="00D03F73" w:rsidP="00316350">
            <w:pPr>
              <w:rPr>
                <w:rFonts w:eastAsia="Times New Roman" w:cstheme="minorHAnsi"/>
                <w:color w:val="000000"/>
                <w:sz w:val="18"/>
                <w:szCs w:val="18"/>
                <w:lang w:eastAsia="en-GB"/>
              </w:rPr>
            </w:pPr>
          </w:p>
          <w:p w14:paraId="4891BF85" w14:textId="77777777" w:rsidR="00D03F73"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(potential to inform multiple barriers)</w:t>
            </w:r>
          </w:p>
          <w:p w14:paraId="1A6D3C77" w14:textId="77777777" w:rsidR="00D03F73" w:rsidRDefault="00D03F73" w:rsidP="00316350">
            <w:pPr>
              <w:rPr>
                <w:rFonts w:eastAsia="Times New Roman" w:cstheme="minorHAnsi"/>
                <w:color w:val="000000"/>
                <w:sz w:val="18"/>
                <w:szCs w:val="18"/>
                <w:lang w:eastAsia="en-GB"/>
              </w:rPr>
            </w:pPr>
          </w:p>
          <w:p w14:paraId="6BB57154"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2AC98406" w14:textId="77777777" w:rsidR="00D03F73" w:rsidRPr="002C666B" w:rsidRDefault="00D03F73" w:rsidP="00316350">
            <w:pPr>
              <w:rPr>
                <w:rFonts w:eastAsia="Times New Roman" w:cstheme="minorHAnsi"/>
                <w:color w:val="000000"/>
                <w:sz w:val="18"/>
                <w:szCs w:val="18"/>
                <w:lang w:eastAsia="en-GB"/>
              </w:rPr>
            </w:pPr>
            <w:r w:rsidRPr="002C666B">
              <w:rPr>
                <w:rFonts w:ascii="Calibri" w:eastAsia="Times New Roman" w:hAnsi="Calibri" w:cs="Calibri"/>
                <w:color w:val="000000"/>
                <w:sz w:val="18"/>
                <w:szCs w:val="18"/>
                <w:lang w:eastAsia="en-GB"/>
              </w:rPr>
              <w:t xml:space="preserve">Tick surveillance- surveillance is undertaken within 5km of areas where human cases were recorded in the previous year (for up to five years) or within 5km of areas with current monkey deaths. </w:t>
            </w:r>
            <w:r w:rsidRPr="002C666B">
              <w:rPr>
                <w:rFonts w:ascii="Calibri" w:eastAsia="Times New Roman" w:hAnsi="Calibri" w:cs="Calibri"/>
                <w:color w:val="000000"/>
                <w:sz w:val="18"/>
                <w:szCs w:val="18"/>
                <w:lang w:eastAsia="en-GB"/>
              </w:rPr>
              <w:lastRenderedPageBreak/>
              <w:t>Surveillance is not undertaken if current human cases are recorded.</w:t>
            </w:r>
          </w:p>
        </w:tc>
        <w:tc>
          <w:tcPr>
            <w:tcW w:w="1843" w:type="dxa"/>
            <w:hideMark/>
          </w:tcPr>
          <w:p w14:paraId="0FDAB239"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lastRenderedPageBreak/>
              <w:t>Ticks are the known vectors for KFDV and hence surveillance of infection levels is useful for predicting the severity and locations of outbreaks.</w:t>
            </w:r>
          </w:p>
          <w:p w14:paraId="53F3F897" w14:textId="77777777" w:rsidR="00D03F73" w:rsidRPr="00502244" w:rsidRDefault="00D03F73" w:rsidP="00316350">
            <w:pPr>
              <w:rPr>
                <w:rFonts w:eastAsia="Times New Roman" w:cstheme="minorHAnsi"/>
                <w:color w:val="000000"/>
                <w:sz w:val="18"/>
                <w:szCs w:val="18"/>
                <w:lang w:eastAsia="en-GB"/>
              </w:rPr>
            </w:pPr>
          </w:p>
        </w:tc>
        <w:tc>
          <w:tcPr>
            <w:tcW w:w="2977" w:type="dxa"/>
            <w:hideMark/>
          </w:tcPr>
          <w:p w14:paraId="5194A86C" w14:textId="3D6C3F49"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Yes, many species of ticks, primarily </w:t>
            </w:r>
            <w:r w:rsidRPr="00502244">
              <w:rPr>
                <w:rFonts w:eastAsia="Times New Roman" w:cstheme="minorHAnsi"/>
                <w:i/>
                <w:color w:val="000000"/>
                <w:sz w:val="18"/>
                <w:szCs w:val="18"/>
                <w:lang w:eastAsia="en-GB"/>
              </w:rPr>
              <w:t>Haemaphysalis</w:t>
            </w:r>
            <w:r w:rsidRPr="00502244">
              <w:rPr>
                <w:rFonts w:eastAsia="Times New Roman" w:cstheme="minorHAnsi"/>
                <w:color w:val="000000"/>
                <w:sz w:val="18"/>
                <w:szCs w:val="18"/>
                <w:lang w:eastAsia="en-GB"/>
              </w:rPr>
              <w:t xml:space="preserve"> species, are known to be vectors for KFDV and surveillance is used to predict spill-over in other systems </w:t>
            </w:r>
            <w:r w:rsidRPr="00502244">
              <w:rPr>
                <w:rFonts w:eastAsia="Times New Roman" w:cstheme="minorHAnsi"/>
                <w:color w:val="000000"/>
                <w:sz w:val="18"/>
                <w:szCs w:val="18"/>
                <w:lang w:eastAsia="en-GB"/>
              </w:rPr>
              <w:fldChar w:fldCharType="begin"/>
            </w:r>
            <w:r w:rsidR="00AB185F">
              <w:rPr>
                <w:rFonts w:eastAsia="Times New Roman" w:cstheme="minorHAnsi"/>
                <w:color w:val="000000"/>
                <w:sz w:val="18"/>
                <w:szCs w:val="18"/>
                <w:lang w:eastAsia="en-GB"/>
              </w:rPr>
              <w:instrText>ADDIN F1000_CSL_CITATION&lt;~#@#~&gt;[{"title":"Passive tick surveillance provides an accurate early signal of emerging lyme disease risk and human cases in southern canada.","id":"8596562","page":"1016-1026","type":"article-journal","volume":"55","issue":"4","author":[{"family":"Ripoche","given":"Marion"},{"family":"Gasmi","given":"Salima"},{"family":"Adam-Poupart","given":"Ariane"},{"family":"Koffi","given":"Jules K"},{"family":"Lindsay","given":"L Robbin"},{"family":"Ludwig","given":"Antoinette"},{"family":"Milord","given":"François"},{"family":"Ogden","given":"Nicholas H"},{"family":"Thivierge","given":"Karine"},{"family":"Leighton","given":"Patrick A"}],"issued":{"date-parts":[["2018","6","28"]]},"container-title":"Journal of Medical Entomology","container-title-short":"J. Med. Entomol.","journalAbbreviation":"J. Med. Entomol.","DOI":"10.1093/jme/tjy030","PMID":"29522180","citation-label":"8596562","Abstract":"Lyme disease is an emerging public health threat in Canada. In this context, rapid detection of new risk areas is essential for timely application of prevention and control measures. In Canada, information on Lyme disease risk is collected through three surveillance activities: active tick surveillance, passive tick surveillance, and reported human cases. However, each method has shortcomings that limit its ability to rapidly and reliably identify new risk areas. We investigated the relationships between risk signals provided by human cases, passive and active tick surveillance to assess the performance of tick surveillance for early detection of emerging risk areas. We used regression models to investigate the relationships between the reported human cases, Ixodes scapularis (Say; Acari: Ixodidae) ticks collected on humans through passive surveillance and the density of nymphs collected by active surveillance from 2009 to 2014 in the province of Quebec. We then developed new risk indicators and validated their ability to discriminate risk levels used by provincial public health authorities. While there was a significant positive relationship between the risk signals provided all three surveillance methods, the strongest association was between passive tick surveillance and reported human cases. Passive tick submissions were a reasonable indicator of the abundance of ticks in the environment (sensitivity and specificity [Se and Sp] &lt;  0.70), but were a much better indicator of municipalities with more than three human cases reported over 5 yr (Se = 0.88; Sp = 0.90). These results suggest that passive tick surveillance provides a timely and reliable signal of emerging risk areas for Lyme disease in Canada.","CleanAbstract":"Lyme disease is an emerging public health threat in Canada. In this context, rapid detection of new risk areas is essential for timely application of prevention and control measures. In Canada, information on Lyme disease risk is collected through three surveillance activities: active tick surveillance, passive tick surveillance, and reported human cases. However, each method has shortcomings that limit its ability to rapidly and reliably identify new risk areas. We investigated the relationships between risk signals provided by human cases, passive and active tick surveillance to assess the performance of tick surveillance for early detection of emerging risk areas. We used regression models to investigate the relationships between the reported human cases, Ixodes scapularis (Say; Acari: Ixodidae) ticks collected on humans through passive surveillance and the density of nymphs collected by active surveillance from 2009 to 2014 in the province of Quebec. We then developed new risk indicators and validated their ability to discriminate risk levels used by provincial public health authorities. While there was a significant positive relationship between the risk signals provided all three surveillance methods, the strongest association was between passive tick surveillance and reported human cases. Passive tick submissions were a reasonable indicator of the abundance of ticks in the environment (sensitivity and specificity [Se and Sp] &lt;  0.70), but were a much better indicator of municipalities with more than three human cases reported over 5 yr (Se = 0.88; Sp = 0.90). These results suggest that passive tick surveillance provides a timely and reliable signal of emerging risk areas for Lyme disease in Canada."},{"title":"Tick surveillance in Great Britain.","id":"8596566","page":"403-412","type":"article-journal","volume":"11","issue":"4","author":[{"family":"Jameson","given":"Lisa J"},{"family":"Medlock","given":"Jolyon M"}],"issued":{"date-parts":[["2011","4"]]},"container-title":"Vector Borne and Zoonotic Diseases","container-title-short":"Vector Borne Zoonotic Dis.","journalAbbreviation":"Vector Borne Zoonotic Dis.","DOI":"10.1089/vbz.2010.0079","PMID":"20849277","citation-label":"8596566","Abstract":"The ability for public/veterinary health agencies to assess the risks posed by tick-borne pathogens is reliant on an understanding of the main tick vector species. Crucially, the status, distribution, and changing trends in tick distribution and abundance are implicit requirements of any risk assessment; however, this is contingent on the quality of tick distribution data. Since 2005 the Health Protection Agency has promoted an enhanced tick surveillance program. Through engagement with a variety of public and veterinary health agencies and practitioners (e.g., clinicians and veterinarians), wildlife groups (deer society, zoos, animal refuge centers, and academics), and amateur entomologists, &gt;4000 ticks from 900 separate records across Great Britain have been submitted, representing 14 tick species (Ixodes ricinus, Ixodes hexagonus, Ixodes acuminatus, Ixodes arboricola, Ixodes canisuga, Ixodes frontalis, Ixodes lividus, Ixodes trianguliceps, Ixodes ventalloi, Carios vespertilionis, Dermacentor reticulatus, Haemaphysalis punctata, Hyalomma marginatum, and Amblyomma species). The majority of ticks submitted were I. ricinus (81%), followed by I. hexagonus (10%) and I. frontalis (2.5%). Predominant host groups include companion animals (411 records), humans (198 records), wild birds (111 records), and large wild mammals (88 records), with records also from small/medium wild mammals, livestock, the environment and domestic/aviary birds. The scheme has elucidated the detection of two nonnative tick species, the expansion of previously geographically restricted D. reticulatus and produced ground data on the spread of I. ricinus in southwest England. It has also provided a forum for submission of ticks from the concerned public and particularly those infected with Lyme borreliosis, thus raising awareness among public health agencies of the increased peri-urban tick problem in Britain. Our results demonstrate that it is possible to run a cost-effective nationwide surveillance program to successfully monitor endemic tick species, identify subtle changes in their distribution, and detect the arrival and presence of exotic species.","CleanAbstract":"The ability for public/veterinary health agencies to assess the risks posed by tick-borne pathogens is reliant on an understanding of the main tick vector species. Crucially, the status, distribution, and changing trends in tick distribution and abundance are implicit requirements of any risk assessment; however, this is contingent on the quality of tick distribution data. Since 2005 the Health Protection Agency has promoted an enhanced tick surveillance program. Through engagement with a variety of public and veterinary health agencies and practitioners (e.g., clinicians and veterinarians), wildlife groups (deer society, zoos, animal refuge centers, and academics), and amateur entomologists, &gt;4000 ticks from 900 separate records across Great Britain have been submitted, representing 14 tick species (Ixodes ricinus, Ixodes hexagonus, Ixodes acuminatus, Ixodes arboricola, Ixodes canisuga, Ixodes frontalis, Ixodes lividus, Ixodes trianguliceps, Ixodes ventalloi, Carios vespertilionis, Dermacentor reticulatus, Haemaphysalis punctata, Hyalomma marginatum, and Amblyomma species). The majority of ticks submitted were I. ricinus (81%), followed by I. hexagonus (10%) and I. frontalis (2.5%). Predominant host groups include companion animals (411 records), humans (198 records), wild birds (111 records), and large wild mammals (88 records), with records also from small/medium wild mammals, livestock, the environment and domestic/aviary birds. The scheme has elucidated the detection of two nonnative tick species, the expansion of previously geographically restricted D. reticulatus and produced ground data on the spread of I. ricinus in southwest England. It has also provided a forum for submission of ticks from the concerned public and particularly those infected with Lyme borreliosis, thus raising awareness among public health agencies of the increased peri-urban tick problem in Britain. Our results demonstrate that it is possible to run a cost-effective nationwide surveillance program to successfully monitor endemic tick species, identify subtle changes in their distribution, and detect the arrival and presence of exotic species."}]</w:instrText>
            </w:r>
            <w:r w:rsidRPr="00502244">
              <w:rPr>
                <w:rFonts w:eastAsia="Times New Roman" w:cstheme="minorHAnsi"/>
                <w:color w:val="000000"/>
                <w:sz w:val="18"/>
                <w:szCs w:val="18"/>
                <w:lang w:eastAsia="en-GB"/>
              </w:rPr>
              <w:fldChar w:fldCharType="separate"/>
            </w:r>
            <w:r w:rsidR="005B449B">
              <w:rPr>
                <w:rFonts w:eastAsia="Times New Roman" w:cstheme="minorHAnsi"/>
                <w:color w:val="000000"/>
                <w:sz w:val="18"/>
                <w:szCs w:val="18"/>
                <w:lang w:eastAsia="en-GB"/>
              </w:rPr>
              <w:t>(31,32)</w:t>
            </w:r>
            <w:r w:rsidRPr="00502244">
              <w:rPr>
                <w:rFonts w:eastAsia="Times New Roman" w:cstheme="minorHAnsi"/>
                <w:color w:val="000000"/>
                <w:sz w:val="18"/>
                <w:szCs w:val="18"/>
                <w:lang w:eastAsia="en-GB"/>
              </w:rPr>
              <w:fldChar w:fldCharType="end"/>
            </w:r>
            <w:r w:rsidRPr="00502244">
              <w:rPr>
                <w:rFonts w:eastAsia="Times New Roman" w:cstheme="minorHAnsi"/>
                <w:color w:val="000000"/>
                <w:sz w:val="18"/>
                <w:szCs w:val="18"/>
                <w:lang w:eastAsia="en-GB"/>
              </w:rPr>
              <w:t>.</w:t>
            </w:r>
          </w:p>
          <w:p w14:paraId="4F0E22D5" w14:textId="77777777" w:rsidR="00D03F73" w:rsidRPr="00502244" w:rsidRDefault="00D03F73" w:rsidP="00316350">
            <w:pPr>
              <w:rPr>
                <w:rFonts w:eastAsia="Times New Roman" w:cstheme="minorHAnsi"/>
                <w:color w:val="000000"/>
                <w:sz w:val="18"/>
                <w:szCs w:val="18"/>
                <w:lang w:eastAsia="en-GB"/>
              </w:rPr>
            </w:pPr>
          </w:p>
        </w:tc>
        <w:tc>
          <w:tcPr>
            <w:tcW w:w="4252" w:type="dxa"/>
          </w:tcPr>
          <w:p w14:paraId="6C5B18EC" w14:textId="77777777" w:rsidR="00D03F73" w:rsidRDefault="00D03F73" w:rsidP="00316350">
            <w:pPr>
              <w:jc w:val="both"/>
              <w:rPr>
                <w:sz w:val="18"/>
                <w:szCs w:val="18"/>
              </w:rPr>
            </w:pPr>
            <w:r>
              <w:rPr>
                <w:sz w:val="18"/>
                <w:szCs w:val="18"/>
              </w:rPr>
              <w:t>“</w:t>
            </w:r>
            <w:r w:rsidRPr="000C50A6">
              <w:rPr>
                <w:sz w:val="18"/>
                <w:szCs w:val="18"/>
              </w:rPr>
              <w:t>Mainly the lack of trained and experienced entomologists is the challenge.</w:t>
            </w:r>
            <w:r>
              <w:t xml:space="preserve"> </w:t>
            </w:r>
            <w:r w:rsidRPr="000C50A6">
              <w:rPr>
                <w:sz w:val="18"/>
                <w:szCs w:val="18"/>
              </w:rPr>
              <w:t>There is only one person (for the distri</w:t>
            </w:r>
            <w:r>
              <w:rPr>
                <w:sz w:val="18"/>
                <w:szCs w:val="18"/>
              </w:rPr>
              <w:t>c</w:t>
            </w:r>
            <w:r w:rsidRPr="000C50A6">
              <w:rPr>
                <w:sz w:val="18"/>
                <w:szCs w:val="18"/>
              </w:rPr>
              <w:t>t possibly), for some people training has been given and there is a need to supervise them.  So, they tell us to train to ASHA (health) workers and male health worker, but that is risky now. How can they with minimum training and precautions do tick surveillance? That was not their original training or their role.</w:t>
            </w:r>
          </w:p>
          <w:p w14:paraId="7DD803E0" w14:textId="77777777" w:rsidR="00D03F73" w:rsidRDefault="00D03F73" w:rsidP="00316350">
            <w:pPr>
              <w:jc w:val="both"/>
              <w:rPr>
                <w:sz w:val="18"/>
                <w:szCs w:val="18"/>
              </w:rPr>
            </w:pPr>
          </w:p>
          <w:p w14:paraId="6319A92D" w14:textId="77777777" w:rsidR="00D03F73" w:rsidRPr="00D45BD8" w:rsidRDefault="00D03F73" w:rsidP="00316350">
            <w:pPr>
              <w:jc w:val="both"/>
              <w:rPr>
                <w:sz w:val="18"/>
                <w:szCs w:val="18"/>
              </w:rPr>
            </w:pPr>
            <w:r>
              <w:rPr>
                <w:sz w:val="18"/>
                <w:szCs w:val="18"/>
              </w:rPr>
              <w:t>“</w:t>
            </w:r>
            <w:r w:rsidRPr="00D45BD8">
              <w:rPr>
                <w:sz w:val="18"/>
                <w:szCs w:val="18"/>
              </w:rPr>
              <w:t>Even if the surveillance is there, the quality should be important. So, if tick surveillance is there then they (health workers) have to be trained properly. They don’t know which species – so that also they have to be trained for different aspects of tick collection like what are the different methods that can be done and what are the better methods for collection of ticks. It depends on the landscape that is there because different landscapes require different methods for collection I feel.</w:t>
            </w:r>
            <w:r>
              <w:rPr>
                <w:sz w:val="18"/>
                <w:szCs w:val="18"/>
              </w:rPr>
              <w:t>”</w:t>
            </w:r>
          </w:p>
        </w:tc>
        <w:tc>
          <w:tcPr>
            <w:tcW w:w="3686" w:type="dxa"/>
            <w:hideMark/>
          </w:tcPr>
          <w:p w14:paraId="6A7C067A"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lastRenderedPageBreak/>
              <w:t xml:space="preserve">Yes, tick surveillance is important and justified. Identifying areas with infected ticks would facilitate responses such as vaccination drives. </w:t>
            </w:r>
            <w:r>
              <w:rPr>
                <w:rFonts w:eastAsia="Times New Roman" w:cstheme="minorHAnsi"/>
                <w:color w:val="000000"/>
                <w:sz w:val="18"/>
                <w:szCs w:val="18"/>
                <w:lang w:eastAsia="en-GB"/>
              </w:rPr>
              <w:t>However, current surveillance does not identify ticks to species level, reducing the effectiveness of surveillance at identifying vector hosts and habitat associations responsible for spill-over risk</w:t>
            </w:r>
          </w:p>
          <w:p w14:paraId="33115C13" w14:textId="77777777" w:rsidR="00D03F73" w:rsidRPr="00502244" w:rsidRDefault="00D03F73" w:rsidP="00316350">
            <w:pPr>
              <w:rPr>
                <w:rFonts w:eastAsia="Times New Roman" w:cstheme="minorHAnsi"/>
                <w:color w:val="000000"/>
                <w:sz w:val="18"/>
                <w:szCs w:val="18"/>
                <w:lang w:eastAsia="en-GB"/>
              </w:rPr>
            </w:pPr>
          </w:p>
        </w:tc>
      </w:tr>
      <w:tr w:rsidR="00D03F73" w:rsidRPr="00502244" w14:paraId="737ACC55" w14:textId="77777777" w:rsidTr="00534F58">
        <w:trPr>
          <w:trHeight w:val="1324"/>
        </w:trPr>
        <w:tc>
          <w:tcPr>
            <w:tcW w:w="0" w:type="auto"/>
            <w:hideMark/>
          </w:tcPr>
          <w:p w14:paraId="4FED86AE" w14:textId="77777777" w:rsidR="00D03F73"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 xml:space="preserve">Surveillance </w:t>
            </w:r>
          </w:p>
          <w:p w14:paraId="6654A4A4" w14:textId="77777777" w:rsidR="00D03F73" w:rsidRDefault="00D03F73" w:rsidP="00316350">
            <w:pPr>
              <w:rPr>
                <w:rFonts w:eastAsia="Times New Roman" w:cstheme="minorHAnsi"/>
                <w:color w:val="000000"/>
                <w:sz w:val="18"/>
                <w:szCs w:val="18"/>
                <w:lang w:eastAsia="en-GB"/>
              </w:rPr>
            </w:pPr>
          </w:p>
          <w:p w14:paraId="583D02D7" w14:textId="77777777" w:rsidR="00D03F73"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(potential to inform multiple barriers)</w:t>
            </w:r>
          </w:p>
          <w:p w14:paraId="37A2D516" w14:textId="77777777" w:rsidR="00D03F73" w:rsidRDefault="00D03F73" w:rsidP="00316350">
            <w:pPr>
              <w:rPr>
                <w:rFonts w:eastAsia="Times New Roman" w:cstheme="minorHAnsi"/>
                <w:color w:val="000000"/>
                <w:sz w:val="18"/>
                <w:szCs w:val="18"/>
                <w:lang w:eastAsia="en-GB"/>
              </w:rPr>
            </w:pPr>
          </w:p>
          <w:p w14:paraId="7CD584CE" w14:textId="77777777" w:rsidR="00D03F73" w:rsidRDefault="00D03F73" w:rsidP="00316350">
            <w:pPr>
              <w:rPr>
                <w:rFonts w:eastAsia="Times New Roman" w:cstheme="minorHAnsi"/>
                <w:color w:val="000000"/>
                <w:sz w:val="18"/>
                <w:szCs w:val="18"/>
                <w:lang w:eastAsia="en-GB"/>
              </w:rPr>
            </w:pPr>
          </w:p>
          <w:p w14:paraId="2654CE8B" w14:textId="77777777" w:rsidR="00D03F73" w:rsidRPr="00502244" w:rsidRDefault="00D03F73" w:rsidP="00316350">
            <w:pPr>
              <w:rPr>
                <w:rFonts w:eastAsia="Times New Roman" w:cstheme="minorHAnsi"/>
                <w:color w:val="000000"/>
                <w:sz w:val="18"/>
                <w:szCs w:val="18"/>
                <w:lang w:eastAsia="en-GB"/>
              </w:rPr>
            </w:pPr>
          </w:p>
        </w:tc>
        <w:tc>
          <w:tcPr>
            <w:tcW w:w="1772" w:type="dxa"/>
            <w:hideMark/>
          </w:tcPr>
          <w:p w14:paraId="1E848024"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Monkey disease surveillance</w:t>
            </w:r>
          </w:p>
          <w:p w14:paraId="5C34B028" w14:textId="77777777" w:rsidR="00D03F73" w:rsidRPr="00502244" w:rsidRDefault="00D03F73" w:rsidP="00316350">
            <w:pPr>
              <w:rPr>
                <w:rFonts w:eastAsia="Times New Roman" w:cstheme="minorHAnsi"/>
                <w:color w:val="000000"/>
                <w:sz w:val="18"/>
                <w:szCs w:val="18"/>
                <w:lang w:eastAsia="en-GB"/>
              </w:rPr>
            </w:pPr>
          </w:p>
        </w:tc>
        <w:tc>
          <w:tcPr>
            <w:tcW w:w="1843" w:type="dxa"/>
            <w:hideMark/>
          </w:tcPr>
          <w:p w14:paraId="6C56C885"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Currently, monkeys are thought to be important in the transmission cycle of KFDV to humans and therefore surveillance of monkey deaths is important.</w:t>
            </w:r>
          </w:p>
        </w:tc>
        <w:tc>
          <w:tcPr>
            <w:tcW w:w="2977" w:type="dxa"/>
            <w:hideMark/>
          </w:tcPr>
          <w:p w14:paraId="585775EC"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t>It is currently unclear, due to a lack of robust empirical data, whether monkeys are involved in the transmission of KFD to humans or whether they act as sentinels for high prevalence of infection in ticks that may have been infected from other hosts.</w:t>
            </w:r>
          </w:p>
          <w:p w14:paraId="2E53D63F" w14:textId="77777777" w:rsidR="00D03F73" w:rsidRPr="00502244" w:rsidRDefault="00D03F73" w:rsidP="00316350">
            <w:pPr>
              <w:rPr>
                <w:rFonts w:eastAsia="Times New Roman" w:cstheme="minorHAnsi"/>
                <w:color w:val="000000"/>
                <w:sz w:val="18"/>
                <w:szCs w:val="18"/>
                <w:lang w:eastAsia="en-GB"/>
              </w:rPr>
            </w:pPr>
          </w:p>
        </w:tc>
        <w:tc>
          <w:tcPr>
            <w:tcW w:w="4252" w:type="dxa"/>
            <w:vMerge w:val="restart"/>
          </w:tcPr>
          <w:p w14:paraId="614EFDDC" w14:textId="77777777" w:rsidR="00D03F73" w:rsidRPr="00D45BD8" w:rsidRDefault="00D03F73" w:rsidP="00316350">
            <w:pPr>
              <w:rPr>
                <w:rFonts w:eastAsia="Times New Roman" w:cstheme="minorHAnsi"/>
                <w:color w:val="000000"/>
                <w:sz w:val="18"/>
                <w:szCs w:val="18"/>
                <w:lang w:eastAsia="en-GB"/>
              </w:rPr>
            </w:pPr>
            <w:r w:rsidRPr="00D45BD8">
              <w:rPr>
                <w:rFonts w:eastAsia="Times New Roman" w:cstheme="minorHAnsi"/>
                <w:color w:val="000000"/>
                <w:sz w:val="18"/>
                <w:szCs w:val="18"/>
                <w:lang w:eastAsia="en-GB"/>
              </w:rPr>
              <w:t>“…Lack of prompt reporting with monkey death occurring outside the forest reserves going unnoticed.”</w:t>
            </w:r>
          </w:p>
          <w:p w14:paraId="2E6DCBFF" w14:textId="77777777" w:rsidR="00D03F73" w:rsidRPr="00D45BD8" w:rsidRDefault="00D03F73" w:rsidP="00316350">
            <w:pPr>
              <w:rPr>
                <w:rFonts w:eastAsia="Times New Roman" w:cstheme="minorHAnsi"/>
                <w:color w:val="000000"/>
                <w:sz w:val="18"/>
                <w:szCs w:val="18"/>
                <w:lang w:eastAsia="en-GB"/>
              </w:rPr>
            </w:pPr>
          </w:p>
          <w:p w14:paraId="4537BEC4" w14:textId="77777777" w:rsidR="00D03F73"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“F</w:t>
            </w:r>
            <w:r w:rsidRPr="00D45BD8">
              <w:rPr>
                <w:rFonts w:eastAsia="Times New Roman" w:cstheme="minorHAnsi"/>
                <w:color w:val="000000"/>
                <w:sz w:val="18"/>
                <w:szCs w:val="18"/>
                <w:lang w:eastAsia="en-GB"/>
              </w:rPr>
              <w:t>irst is monkey deaths are not immediately reported so there is a chance of KFD spreading there. So, focus is not known first. Even in Aralagudu what happened is we never had monkey deaths reported. Actually, they had monkey deaths but none of them were reported. So, we didn’t know there was a focus of KFD over there. Until unless the cases started appearing. That is very important I feel that the monkey deaths need to be reported immediately.</w:t>
            </w:r>
          </w:p>
          <w:p w14:paraId="069E49D6" w14:textId="77777777" w:rsidR="00D03F73" w:rsidRDefault="00D03F73" w:rsidP="00316350">
            <w:pPr>
              <w:rPr>
                <w:rFonts w:eastAsia="Times New Roman" w:cstheme="minorHAnsi"/>
                <w:color w:val="000000"/>
                <w:sz w:val="18"/>
                <w:szCs w:val="18"/>
                <w:lang w:eastAsia="en-GB"/>
              </w:rPr>
            </w:pPr>
          </w:p>
          <w:p w14:paraId="0183480D" w14:textId="77777777" w:rsidR="00D03F73"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w:t>
            </w:r>
            <w:r w:rsidRPr="00247B79">
              <w:rPr>
                <w:rFonts w:eastAsia="Times New Roman" w:cstheme="minorHAnsi"/>
                <w:color w:val="000000"/>
                <w:sz w:val="18"/>
                <w:szCs w:val="18"/>
                <w:lang w:eastAsia="en-GB"/>
              </w:rPr>
              <w:t>As per norm, we are not going to conduct the post mortem in that PHC area if suddenly positive case re</w:t>
            </w:r>
            <w:r>
              <w:rPr>
                <w:rFonts w:eastAsia="Times New Roman" w:cstheme="minorHAnsi"/>
                <w:color w:val="000000"/>
                <w:sz w:val="18"/>
                <w:szCs w:val="18"/>
                <w:lang w:eastAsia="en-GB"/>
              </w:rPr>
              <w:t>ports. Once positive report in human, ticks,</w:t>
            </w:r>
            <w:r w:rsidRPr="00247B79">
              <w:rPr>
                <w:rFonts w:eastAsia="Times New Roman" w:cstheme="minorHAnsi"/>
                <w:color w:val="000000"/>
                <w:sz w:val="18"/>
                <w:szCs w:val="18"/>
                <w:lang w:eastAsia="en-GB"/>
              </w:rPr>
              <w:t xml:space="preserve"> or monkey within 5km PHC area, there is no question of repeated post</w:t>
            </w:r>
            <w:r>
              <w:rPr>
                <w:rFonts w:eastAsia="Times New Roman" w:cstheme="minorHAnsi"/>
                <w:color w:val="000000"/>
                <w:sz w:val="18"/>
                <w:szCs w:val="18"/>
                <w:lang w:eastAsia="en-GB"/>
              </w:rPr>
              <w:t>-</w:t>
            </w:r>
            <w:r w:rsidRPr="00247B79">
              <w:rPr>
                <w:rFonts w:eastAsia="Times New Roman" w:cstheme="minorHAnsi"/>
                <w:color w:val="000000"/>
                <w:sz w:val="18"/>
                <w:szCs w:val="18"/>
                <w:lang w:eastAsia="en-GB"/>
              </w:rPr>
              <w:t xml:space="preserve">mortem because we have to dispose the carcasses as early as possible. Important is health and forest, who burn it and health department spread the </w:t>
            </w:r>
            <w:r>
              <w:rPr>
                <w:rFonts w:eastAsia="Times New Roman" w:cstheme="minorHAnsi"/>
                <w:color w:val="000000"/>
                <w:sz w:val="18"/>
                <w:szCs w:val="18"/>
                <w:lang w:eastAsia="en-GB"/>
              </w:rPr>
              <w:t>malathion.”</w:t>
            </w:r>
          </w:p>
          <w:p w14:paraId="246FBBC5" w14:textId="77777777" w:rsidR="00D03F73" w:rsidRPr="00502244" w:rsidRDefault="00D03F73" w:rsidP="00316350">
            <w:pPr>
              <w:rPr>
                <w:rFonts w:eastAsia="Times New Roman" w:cstheme="minorHAnsi"/>
                <w:color w:val="000000"/>
                <w:sz w:val="18"/>
                <w:szCs w:val="18"/>
                <w:lang w:eastAsia="en-GB"/>
              </w:rPr>
            </w:pPr>
            <w:r w:rsidRPr="00D45BD8">
              <w:rPr>
                <w:rFonts w:eastAsia="Times New Roman" w:cstheme="minorHAnsi"/>
                <w:color w:val="000000"/>
                <w:sz w:val="18"/>
                <w:szCs w:val="18"/>
                <w:lang w:eastAsia="en-GB"/>
              </w:rPr>
              <w:lastRenderedPageBreak/>
              <w:t>“Staff shortage affecting surveillance efforts.”</w:t>
            </w:r>
          </w:p>
          <w:p w14:paraId="6D832C03" w14:textId="77777777" w:rsidR="00D03F73"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w:t>
            </w:r>
            <w:r w:rsidRPr="00835B05">
              <w:rPr>
                <w:rFonts w:eastAsia="Times New Roman" w:cstheme="minorHAnsi"/>
                <w:color w:val="000000"/>
                <w:sz w:val="18"/>
                <w:szCs w:val="18"/>
                <w:lang w:eastAsia="en-GB"/>
              </w:rPr>
              <w:t xml:space="preserve">It is a challenge. If, there is a monkey death, they (the vets or forest department or others) tell some other reason and burn it and dispose it but every monkey death should go to post mortem examination for cause of death and tissue analysis should be done and should be followed </w:t>
            </w:r>
            <w:r>
              <w:rPr>
                <w:rFonts w:eastAsia="Times New Roman" w:cstheme="minorHAnsi"/>
                <w:color w:val="000000"/>
                <w:sz w:val="18"/>
                <w:szCs w:val="18"/>
                <w:lang w:eastAsia="en-GB"/>
              </w:rPr>
              <w:t>up for whether it is KFD or not…”</w:t>
            </w:r>
          </w:p>
          <w:p w14:paraId="5C3C6450" w14:textId="77777777" w:rsidR="00D03F73" w:rsidRDefault="00D03F73" w:rsidP="00316350">
            <w:pPr>
              <w:rPr>
                <w:rFonts w:eastAsia="Times New Roman" w:cstheme="minorHAnsi"/>
                <w:color w:val="000000"/>
                <w:sz w:val="18"/>
                <w:szCs w:val="18"/>
                <w:lang w:eastAsia="en-GB"/>
              </w:rPr>
            </w:pPr>
          </w:p>
          <w:p w14:paraId="13E144FB" w14:textId="77777777" w:rsidR="00D03F73" w:rsidRDefault="00D03F73" w:rsidP="00316350">
            <w:pPr>
              <w:rPr>
                <w:rFonts w:eastAsia="Times New Roman" w:cstheme="minorHAnsi"/>
                <w:color w:val="000000"/>
                <w:sz w:val="18"/>
                <w:szCs w:val="18"/>
                <w:lang w:eastAsia="en-GB"/>
              </w:rPr>
            </w:pPr>
            <w:r w:rsidRPr="003A6105">
              <w:rPr>
                <w:rFonts w:eastAsia="Times New Roman" w:cstheme="minorHAnsi"/>
                <w:color w:val="000000"/>
                <w:sz w:val="18"/>
                <w:szCs w:val="18"/>
                <w:lang w:eastAsia="en-GB"/>
              </w:rPr>
              <w:t>“…Our group consist of 10 members in this taluk. If monkey death reported within 12 hour of death, we used to reach the spot within 2 to 3 hour, conducting the post mortem and used to do sample collection. Our role was very important in disease diagnosis in term of monkey death.”</w:t>
            </w:r>
          </w:p>
          <w:p w14:paraId="44200496" w14:textId="77777777" w:rsidR="00D03F73" w:rsidRDefault="00D03F73" w:rsidP="00316350">
            <w:pPr>
              <w:rPr>
                <w:rFonts w:eastAsia="Times New Roman" w:cstheme="minorHAnsi"/>
                <w:color w:val="000000"/>
                <w:sz w:val="18"/>
                <w:szCs w:val="18"/>
                <w:lang w:eastAsia="en-GB"/>
              </w:rPr>
            </w:pPr>
          </w:p>
          <w:p w14:paraId="1B5CB933" w14:textId="77777777" w:rsidR="00D03F73" w:rsidRDefault="00D03F73" w:rsidP="00316350">
            <w:pPr>
              <w:rPr>
                <w:sz w:val="18"/>
                <w:szCs w:val="18"/>
              </w:rPr>
            </w:pPr>
            <w:r w:rsidRPr="0001744F">
              <w:rPr>
                <w:sz w:val="18"/>
                <w:szCs w:val="18"/>
              </w:rPr>
              <w:t>“…Even in taluka level also, coordination meeting is happening from last year [2018]. So, from last year there is little coordination but still in my opinion, it should go to down, not only taluka level, if it goes to PHC [primary health centre] level and if it works, there everyone like forest guard comes, veterinary helpers will come, local PDOs should come, then better activities will happen I think.”</w:t>
            </w:r>
          </w:p>
          <w:p w14:paraId="4F3990AD" w14:textId="77777777" w:rsidR="00D03F73" w:rsidRDefault="00D03F73" w:rsidP="00316350">
            <w:pPr>
              <w:rPr>
                <w:sz w:val="18"/>
                <w:szCs w:val="18"/>
              </w:rPr>
            </w:pPr>
          </w:p>
          <w:p w14:paraId="6E700AB2" w14:textId="77777777" w:rsidR="00D03F73" w:rsidRPr="00502244" w:rsidRDefault="00D03F73" w:rsidP="00316350">
            <w:pPr>
              <w:rPr>
                <w:rFonts w:eastAsia="Times New Roman" w:cstheme="minorHAnsi"/>
                <w:color w:val="000000"/>
                <w:sz w:val="18"/>
                <w:szCs w:val="18"/>
                <w:lang w:eastAsia="en-GB"/>
              </w:rPr>
            </w:pPr>
            <w:r>
              <w:rPr>
                <w:rFonts w:eastAsia="Times New Roman" w:cstheme="minorHAnsi"/>
                <w:color w:val="000000"/>
                <w:sz w:val="18"/>
                <w:szCs w:val="18"/>
                <w:lang w:eastAsia="en-GB"/>
              </w:rPr>
              <w:t>“</w:t>
            </w:r>
            <w:r w:rsidRPr="00835B05">
              <w:rPr>
                <w:rFonts w:eastAsia="Times New Roman" w:cstheme="minorHAnsi"/>
                <w:color w:val="000000"/>
                <w:sz w:val="18"/>
                <w:szCs w:val="18"/>
                <w:lang w:eastAsia="en-GB"/>
              </w:rPr>
              <w:t xml:space="preserve">In future, </w:t>
            </w:r>
            <w:r>
              <w:rPr>
                <w:rFonts w:eastAsia="Times New Roman" w:cstheme="minorHAnsi"/>
                <w:color w:val="000000"/>
                <w:sz w:val="18"/>
                <w:szCs w:val="18"/>
                <w:lang w:eastAsia="en-GB"/>
              </w:rPr>
              <w:t xml:space="preserve">if </w:t>
            </w:r>
            <w:r w:rsidRPr="00835B05">
              <w:rPr>
                <w:rFonts w:eastAsia="Times New Roman" w:cstheme="minorHAnsi"/>
                <w:color w:val="000000"/>
                <w:sz w:val="18"/>
                <w:szCs w:val="18"/>
                <w:lang w:eastAsia="en-GB"/>
              </w:rPr>
              <w:t>we cannot con</w:t>
            </w:r>
            <w:r>
              <w:rPr>
                <w:rFonts w:eastAsia="Times New Roman" w:cstheme="minorHAnsi"/>
                <w:color w:val="000000"/>
                <w:sz w:val="18"/>
                <w:szCs w:val="18"/>
                <w:lang w:eastAsia="en-GB"/>
              </w:rPr>
              <w:t>trol monkey, we cannot control ticks..</w:t>
            </w:r>
            <w:r w:rsidRPr="00835B05">
              <w:rPr>
                <w:rFonts w:eastAsia="Times New Roman" w:cstheme="minorHAnsi"/>
                <w:color w:val="000000"/>
                <w:sz w:val="18"/>
                <w:szCs w:val="18"/>
                <w:lang w:eastAsia="en-GB"/>
              </w:rPr>
              <w:t>.</w:t>
            </w:r>
            <w:r>
              <w:rPr>
                <w:rFonts w:eastAsia="Times New Roman" w:cstheme="minorHAnsi"/>
                <w:color w:val="000000"/>
                <w:sz w:val="18"/>
                <w:szCs w:val="18"/>
                <w:lang w:eastAsia="en-GB"/>
              </w:rPr>
              <w:t>”</w:t>
            </w:r>
          </w:p>
        </w:tc>
        <w:tc>
          <w:tcPr>
            <w:tcW w:w="3686" w:type="dxa"/>
            <w:hideMark/>
          </w:tcPr>
          <w:p w14:paraId="5B57444D" w14:textId="77777777" w:rsidR="00D03F73" w:rsidRPr="00502244" w:rsidRDefault="00D03F73" w:rsidP="00316350">
            <w:pPr>
              <w:rPr>
                <w:rFonts w:eastAsia="Times New Roman" w:cstheme="minorHAnsi"/>
                <w:color w:val="000000"/>
                <w:sz w:val="18"/>
                <w:szCs w:val="18"/>
                <w:lang w:eastAsia="en-GB"/>
              </w:rPr>
            </w:pPr>
            <w:r w:rsidRPr="00502244">
              <w:rPr>
                <w:rFonts w:eastAsia="Times New Roman" w:cstheme="minorHAnsi"/>
                <w:color w:val="000000"/>
                <w:sz w:val="18"/>
                <w:szCs w:val="18"/>
                <w:lang w:eastAsia="en-GB"/>
              </w:rPr>
              <w:lastRenderedPageBreak/>
              <w:t>Yes, regardless of the role of monkeys in transmission of KFDV to humans, they are susceptible to KFDV and may indicate risk of human infection in an area.</w:t>
            </w:r>
          </w:p>
          <w:p w14:paraId="3DE41EB5" w14:textId="77777777" w:rsidR="00D03F73" w:rsidRPr="00502244" w:rsidRDefault="00D03F73" w:rsidP="00316350">
            <w:pPr>
              <w:rPr>
                <w:rFonts w:eastAsia="Times New Roman" w:cstheme="minorHAnsi"/>
                <w:color w:val="000000"/>
                <w:sz w:val="18"/>
                <w:szCs w:val="18"/>
                <w:lang w:eastAsia="en-GB"/>
              </w:rPr>
            </w:pPr>
          </w:p>
        </w:tc>
      </w:tr>
      <w:tr w:rsidR="00D03F73" w:rsidRPr="00502244" w14:paraId="4FAE168B" w14:textId="77777777" w:rsidTr="00534F58">
        <w:trPr>
          <w:trHeight w:val="1324"/>
        </w:trPr>
        <w:tc>
          <w:tcPr>
            <w:tcW w:w="0" w:type="auto"/>
          </w:tcPr>
          <w:p w14:paraId="48FDDD21" w14:textId="77777777" w:rsidR="00D03F73" w:rsidRPr="00502244" w:rsidRDefault="00D03F73" w:rsidP="00316350">
            <w:pPr>
              <w:rPr>
                <w:rFonts w:eastAsia="Times New Roman" w:cstheme="minorHAnsi"/>
                <w:color w:val="000000"/>
                <w:sz w:val="18"/>
                <w:szCs w:val="18"/>
                <w:lang w:eastAsia="en-GB"/>
              </w:rPr>
            </w:pPr>
          </w:p>
        </w:tc>
        <w:tc>
          <w:tcPr>
            <w:tcW w:w="1772" w:type="dxa"/>
          </w:tcPr>
          <w:p w14:paraId="4E190564" w14:textId="77777777" w:rsidR="00D03F73" w:rsidRPr="00502244" w:rsidRDefault="00D03F73" w:rsidP="00316350">
            <w:pPr>
              <w:rPr>
                <w:rFonts w:eastAsia="Times New Roman" w:cstheme="minorHAnsi"/>
                <w:color w:val="000000"/>
                <w:sz w:val="18"/>
                <w:szCs w:val="18"/>
                <w:lang w:eastAsia="en-GB"/>
              </w:rPr>
            </w:pPr>
          </w:p>
        </w:tc>
        <w:tc>
          <w:tcPr>
            <w:tcW w:w="1843" w:type="dxa"/>
          </w:tcPr>
          <w:p w14:paraId="30F0B554" w14:textId="77777777" w:rsidR="00D03F73" w:rsidRPr="00502244" w:rsidRDefault="00D03F73" w:rsidP="00316350">
            <w:pPr>
              <w:rPr>
                <w:rFonts w:eastAsia="Times New Roman" w:cstheme="minorHAnsi"/>
                <w:color w:val="000000"/>
                <w:sz w:val="18"/>
                <w:szCs w:val="18"/>
                <w:lang w:eastAsia="en-GB"/>
              </w:rPr>
            </w:pPr>
          </w:p>
        </w:tc>
        <w:tc>
          <w:tcPr>
            <w:tcW w:w="2977" w:type="dxa"/>
          </w:tcPr>
          <w:p w14:paraId="1D6935DA" w14:textId="77777777" w:rsidR="00D03F73" w:rsidRPr="00502244" w:rsidRDefault="00D03F73" w:rsidP="00316350">
            <w:pPr>
              <w:rPr>
                <w:rFonts w:eastAsia="Times New Roman" w:cstheme="minorHAnsi"/>
                <w:color w:val="000000"/>
                <w:sz w:val="18"/>
                <w:szCs w:val="18"/>
                <w:lang w:eastAsia="en-GB"/>
              </w:rPr>
            </w:pPr>
          </w:p>
        </w:tc>
        <w:tc>
          <w:tcPr>
            <w:tcW w:w="4252" w:type="dxa"/>
            <w:vMerge/>
          </w:tcPr>
          <w:p w14:paraId="6843B9F8" w14:textId="77777777" w:rsidR="00D03F73" w:rsidRPr="00D45BD8" w:rsidRDefault="00D03F73" w:rsidP="00316350">
            <w:pPr>
              <w:rPr>
                <w:rFonts w:eastAsia="Times New Roman" w:cstheme="minorHAnsi"/>
                <w:color w:val="000000"/>
                <w:sz w:val="18"/>
                <w:szCs w:val="18"/>
                <w:lang w:eastAsia="en-GB"/>
              </w:rPr>
            </w:pPr>
          </w:p>
        </w:tc>
        <w:tc>
          <w:tcPr>
            <w:tcW w:w="3686" w:type="dxa"/>
          </w:tcPr>
          <w:p w14:paraId="09424DC4" w14:textId="77777777" w:rsidR="00D03F73" w:rsidRPr="00502244" w:rsidRDefault="00D03F73" w:rsidP="00316350">
            <w:pPr>
              <w:rPr>
                <w:rFonts w:eastAsia="Times New Roman" w:cstheme="minorHAnsi"/>
                <w:color w:val="000000"/>
                <w:sz w:val="18"/>
                <w:szCs w:val="18"/>
                <w:lang w:eastAsia="en-GB"/>
              </w:rPr>
            </w:pPr>
          </w:p>
        </w:tc>
      </w:tr>
    </w:tbl>
    <w:p w14:paraId="64A3B121" w14:textId="77777777" w:rsidR="00D03F73" w:rsidRDefault="00D03F73" w:rsidP="00D03F73"/>
    <w:p w14:paraId="76CF28A2" w14:textId="77777777" w:rsidR="00D03F73" w:rsidRDefault="00D03F73" w:rsidP="00D03F73"/>
    <w:p w14:paraId="01D9E279" w14:textId="77777777" w:rsidR="003A00AB" w:rsidRDefault="003A00AB">
      <w:pPr>
        <w:rPr>
          <w:rFonts w:ascii="Times New Roman" w:hAnsi="Times New Roman" w:cs="Times New Roman"/>
          <w:b/>
        </w:rPr>
      </w:pPr>
      <w:r>
        <w:rPr>
          <w:rFonts w:ascii="Times New Roman" w:hAnsi="Times New Roman" w:cs="Times New Roman"/>
          <w:b/>
        </w:rPr>
        <w:br w:type="page"/>
      </w:r>
    </w:p>
    <w:p w14:paraId="0D7C9F80" w14:textId="5802E361" w:rsidR="00A51F5C" w:rsidRPr="00A51F5C" w:rsidRDefault="00A51F5C" w:rsidP="00A51F5C">
      <w:pPr>
        <w:spacing w:after="0" w:line="480" w:lineRule="auto"/>
        <w:jc w:val="both"/>
        <w:rPr>
          <w:rFonts w:ascii="Times New Roman" w:hAnsi="Times New Roman" w:cs="Times New Roman"/>
        </w:rPr>
      </w:pPr>
      <w:r w:rsidRPr="00A51F5C">
        <w:rPr>
          <w:rFonts w:ascii="Times New Roman" w:hAnsi="Times New Roman" w:cs="Times New Roman"/>
          <w:b/>
        </w:rPr>
        <w:lastRenderedPageBreak/>
        <w:t>Table S2.</w:t>
      </w:r>
      <w:r w:rsidRPr="00A51F5C">
        <w:rPr>
          <w:rFonts w:ascii="Times New Roman" w:hAnsi="Times New Roman" w:cs="Times New Roman"/>
        </w:rPr>
        <w:t xml:space="preserve"> Main thematic analysis results summaries based on interviews with district and taluka managers regarding their experiences and perceptions about current KFD management in the Western Ghats area of India. </w:t>
      </w:r>
    </w:p>
    <w:tbl>
      <w:tblPr>
        <w:tblStyle w:val="TableGrid"/>
        <w:tblW w:w="0" w:type="auto"/>
        <w:tblLook w:val="04A0" w:firstRow="1" w:lastRow="0" w:firstColumn="1" w:lastColumn="0" w:noHBand="0" w:noVBand="1"/>
      </w:tblPr>
      <w:tblGrid>
        <w:gridCol w:w="3805"/>
        <w:gridCol w:w="9145"/>
      </w:tblGrid>
      <w:tr w:rsidR="00A51F5C" w:rsidRPr="00A51F5C" w14:paraId="343A4313" w14:textId="77777777" w:rsidTr="00534F58">
        <w:tc>
          <w:tcPr>
            <w:tcW w:w="4395" w:type="dxa"/>
          </w:tcPr>
          <w:p w14:paraId="00FFAA86" w14:textId="77777777" w:rsidR="00A51F5C" w:rsidRPr="00A51F5C" w:rsidRDefault="00A51F5C" w:rsidP="00316350">
            <w:pPr>
              <w:rPr>
                <w:rFonts w:ascii="Times New Roman" w:hAnsi="Times New Roman" w:cs="Times New Roman"/>
                <w:b/>
                <w:sz w:val="18"/>
                <w:szCs w:val="18"/>
              </w:rPr>
            </w:pPr>
            <w:r w:rsidRPr="00A51F5C">
              <w:rPr>
                <w:rFonts w:ascii="Times New Roman" w:hAnsi="Times New Roman" w:cs="Times New Roman"/>
                <w:b/>
                <w:sz w:val="18"/>
                <w:szCs w:val="18"/>
              </w:rPr>
              <w:t>Main Themes</w:t>
            </w:r>
          </w:p>
        </w:tc>
        <w:tc>
          <w:tcPr>
            <w:tcW w:w="11051" w:type="dxa"/>
          </w:tcPr>
          <w:p w14:paraId="6B3D92EB" w14:textId="77777777" w:rsidR="00A51F5C" w:rsidRPr="00A51F5C" w:rsidRDefault="00A51F5C" w:rsidP="00316350">
            <w:pPr>
              <w:rPr>
                <w:rFonts w:ascii="Times New Roman" w:hAnsi="Times New Roman" w:cs="Times New Roman"/>
                <w:b/>
                <w:sz w:val="18"/>
                <w:szCs w:val="18"/>
              </w:rPr>
            </w:pPr>
            <w:r w:rsidRPr="00A51F5C">
              <w:rPr>
                <w:rFonts w:ascii="Times New Roman" w:hAnsi="Times New Roman" w:cs="Times New Roman"/>
                <w:b/>
                <w:sz w:val="18"/>
                <w:szCs w:val="18"/>
              </w:rPr>
              <w:t xml:space="preserve">Sub-themes and frequency cited </w:t>
            </w:r>
          </w:p>
        </w:tc>
      </w:tr>
      <w:tr w:rsidR="00A51F5C" w:rsidRPr="00A51F5C" w14:paraId="554CBC94" w14:textId="77777777" w:rsidTr="00534F58">
        <w:trPr>
          <w:trHeight w:val="220"/>
        </w:trPr>
        <w:tc>
          <w:tcPr>
            <w:tcW w:w="4395" w:type="dxa"/>
            <w:vMerge w:val="restart"/>
          </w:tcPr>
          <w:p w14:paraId="3A2BFF1A" w14:textId="77777777" w:rsidR="00A51F5C" w:rsidRPr="00A51F5C" w:rsidRDefault="00A51F5C" w:rsidP="00A51F5C">
            <w:pPr>
              <w:pStyle w:val="ListParagraph"/>
              <w:numPr>
                <w:ilvl w:val="0"/>
                <w:numId w:val="7"/>
              </w:numPr>
              <w:spacing w:after="0" w:line="240" w:lineRule="auto"/>
              <w:ind w:left="311" w:hanging="142"/>
              <w:jc w:val="both"/>
              <w:rPr>
                <w:rFonts w:ascii="Times New Roman" w:hAnsi="Times New Roman" w:cs="Times New Roman"/>
                <w:sz w:val="18"/>
                <w:szCs w:val="18"/>
              </w:rPr>
            </w:pPr>
            <w:r w:rsidRPr="00A51F5C">
              <w:rPr>
                <w:rFonts w:ascii="Times New Roman" w:hAnsi="Times New Roman" w:cs="Times New Roman"/>
                <w:sz w:val="18"/>
                <w:szCs w:val="18"/>
              </w:rPr>
              <w:t>Human activities in ecosystems</w:t>
            </w:r>
          </w:p>
        </w:tc>
        <w:tc>
          <w:tcPr>
            <w:tcW w:w="11051" w:type="dxa"/>
            <w:vMerge w:val="restart"/>
          </w:tcPr>
          <w:p w14:paraId="44E6620F" w14:textId="77777777" w:rsidR="00A51F5C" w:rsidRPr="00A51F5C" w:rsidRDefault="00A51F5C" w:rsidP="00A51F5C">
            <w:pPr>
              <w:pStyle w:val="ListParagraph"/>
              <w:numPr>
                <w:ilvl w:val="0"/>
                <w:numId w:val="12"/>
              </w:numPr>
              <w:spacing w:after="0" w:line="240" w:lineRule="auto"/>
              <w:ind w:left="174" w:hanging="142"/>
              <w:jc w:val="both"/>
              <w:rPr>
                <w:rFonts w:ascii="Times New Roman" w:hAnsi="Times New Roman" w:cs="Times New Roman"/>
                <w:sz w:val="18"/>
                <w:szCs w:val="18"/>
              </w:rPr>
            </w:pPr>
            <w:r w:rsidRPr="00A51F5C">
              <w:rPr>
                <w:rFonts w:ascii="Times New Roman" w:hAnsi="Times New Roman" w:cs="Times New Roman"/>
                <w:sz w:val="18"/>
                <w:szCs w:val="18"/>
              </w:rPr>
              <w:t>Complex trade-off between restricting forest access to minimise risk of exposure and safeguarding local livelihoods  (9 out 11 interviewees)</w:t>
            </w:r>
          </w:p>
        </w:tc>
      </w:tr>
      <w:tr w:rsidR="00A51F5C" w:rsidRPr="00A51F5C" w14:paraId="43B36543" w14:textId="77777777" w:rsidTr="00534F58">
        <w:trPr>
          <w:trHeight w:val="220"/>
        </w:trPr>
        <w:tc>
          <w:tcPr>
            <w:tcW w:w="4395" w:type="dxa"/>
            <w:vMerge/>
          </w:tcPr>
          <w:p w14:paraId="7BEB5F84" w14:textId="77777777" w:rsidR="00A51F5C" w:rsidRPr="00A51F5C" w:rsidRDefault="00A51F5C" w:rsidP="00316350">
            <w:pPr>
              <w:jc w:val="both"/>
              <w:rPr>
                <w:rFonts w:ascii="Times New Roman" w:hAnsi="Times New Roman" w:cs="Times New Roman"/>
                <w:sz w:val="18"/>
                <w:szCs w:val="18"/>
              </w:rPr>
            </w:pPr>
          </w:p>
        </w:tc>
        <w:tc>
          <w:tcPr>
            <w:tcW w:w="11051" w:type="dxa"/>
            <w:vMerge/>
          </w:tcPr>
          <w:p w14:paraId="0FBC3E6C" w14:textId="77777777" w:rsidR="00A51F5C" w:rsidRPr="00A51F5C" w:rsidRDefault="00A51F5C" w:rsidP="00316350">
            <w:pPr>
              <w:jc w:val="both"/>
              <w:rPr>
                <w:rFonts w:ascii="Times New Roman" w:hAnsi="Times New Roman" w:cs="Times New Roman"/>
                <w:sz w:val="18"/>
                <w:szCs w:val="18"/>
              </w:rPr>
            </w:pPr>
          </w:p>
        </w:tc>
      </w:tr>
      <w:tr w:rsidR="00A51F5C" w:rsidRPr="00A51F5C" w14:paraId="10C80DD5" w14:textId="77777777" w:rsidTr="00534F58">
        <w:trPr>
          <w:trHeight w:val="220"/>
        </w:trPr>
        <w:tc>
          <w:tcPr>
            <w:tcW w:w="4395" w:type="dxa"/>
            <w:vMerge/>
          </w:tcPr>
          <w:p w14:paraId="5440A5BD" w14:textId="77777777" w:rsidR="00A51F5C" w:rsidRPr="00A51F5C" w:rsidRDefault="00A51F5C" w:rsidP="00316350">
            <w:pPr>
              <w:jc w:val="both"/>
              <w:rPr>
                <w:rFonts w:ascii="Times New Roman" w:hAnsi="Times New Roman" w:cs="Times New Roman"/>
                <w:sz w:val="18"/>
                <w:szCs w:val="18"/>
              </w:rPr>
            </w:pPr>
          </w:p>
        </w:tc>
        <w:tc>
          <w:tcPr>
            <w:tcW w:w="11051" w:type="dxa"/>
            <w:vMerge/>
          </w:tcPr>
          <w:p w14:paraId="4F231ACD" w14:textId="77777777" w:rsidR="00A51F5C" w:rsidRPr="00A51F5C" w:rsidRDefault="00A51F5C" w:rsidP="00316350">
            <w:pPr>
              <w:jc w:val="both"/>
              <w:rPr>
                <w:rFonts w:ascii="Times New Roman" w:hAnsi="Times New Roman" w:cs="Times New Roman"/>
                <w:sz w:val="18"/>
                <w:szCs w:val="18"/>
              </w:rPr>
            </w:pPr>
          </w:p>
        </w:tc>
      </w:tr>
      <w:tr w:rsidR="00A51F5C" w:rsidRPr="00A51F5C" w14:paraId="5E3F9AEA" w14:textId="77777777" w:rsidTr="00534F58">
        <w:trPr>
          <w:trHeight w:val="220"/>
        </w:trPr>
        <w:tc>
          <w:tcPr>
            <w:tcW w:w="4395" w:type="dxa"/>
            <w:vMerge w:val="restart"/>
          </w:tcPr>
          <w:p w14:paraId="65C7524F" w14:textId="77777777" w:rsidR="00A51F5C" w:rsidRPr="00A51F5C" w:rsidRDefault="00A51F5C" w:rsidP="00A51F5C">
            <w:pPr>
              <w:pStyle w:val="ListParagraph"/>
              <w:numPr>
                <w:ilvl w:val="0"/>
                <w:numId w:val="7"/>
              </w:numPr>
              <w:spacing w:after="0" w:line="240" w:lineRule="auto"/>
              <w:ind w:left="311" w:hanging="142"/>
              <w:jc w:val="both"/>
              <w:rPr>
                <w:rFonts w:ascii="Times New Roman" w:hAnsi="Times New Roman" w:cs="Times New Roman"/>
                <w:sz w:val="18"/>
                <w:szCs w:val="18"/>
              </w:rPr>
            </w:pPr>
            <w:r w:rsidRPr="00A51F5C">
              <w:rPr>
                <w:rFonts w:ascii="Times New Roman" w:hAnsi="Times New Roman" w:cs="Times New Roman"/>
                <w:sz w:val="18"/>
                <w:szCs w:val="18"/>
              </w:rPr>
              <w:t xml:space="preserve">Prevention of tick-bites on people through of personal protection measures </w:t>
            </w:r>
          </w:p>
        </w:tc>
        <w:tc>
          <w:tcPr>
            <w:tcW w:w="11051" w:type="dxa"/>
            <w:vMerge w:val="restart"/>
          </w:tcPr>
          <w:p w14:paraId="2AAD87CD" w14:textId="77777777" w:rsidR="00A51F5C" w:rsidRPr="00A51F5C" w:rsidRDefault="00A51F5C" w:rsidP="00A51F5C">
            <w:pPr>
              <w:pStyle w:val="ListParagraph"/>
              <w:numPr>
                <w:ilvl w:val="0"/>
                <w:numId w:val="13"/>
              </w:numPr>
              <w:spacing w:after="0" w:line="240" w:lineRule="auto"/>
              <w:ind w:left="174" w:hanging="142"/>
              <w:jc w:val="both"/>
              <w:rPr>
                <w:rFonts w:ascii="Times New Roman" w:hAnsi="Times New Roman" w:cs="Times New Roman"/>
                <w:sz w:val="18"/>
                <w:szCs w:val="18"/>
              </w:rPr>
            </w:pPr>
            <w:r w:rsidRPr="00A51F5C">
              <w:rPr>
                <w:rFonts w:ascii="Times New Roman" w:hAnsi="Times New Roman" w:cs="Times New Roman"/>
                <w:sz w:val="18"/>
                <w:szCs w:val="18"/>
              </w:rPr>
              <w:t>Limited usage of DMP oil and uptake of other recommended personal protection measures (11 out of 10 interviewees)</w:t>
            </w:r>
          </w:p>
        </w:tc>
      </w:tr>
      <w:tr w:rsidR="00A51F5C" w:rsidRPr="00A51F5C" w14:paraId="5FB7C7AC" w14:textId="77777777" w:rsidTr="00534F58">
        <w:trPr>
          <w:trHeight w:val="220"/>
        </w:trPr>
        <w:tc>
          <w:tcPr>
            <w:tcW w:w="4395" w:type="dxa"/>
            <w:vMerge/>
          </w:tcPr>
          <w:p w14:paraId="4926DBDF" w14:textId="77777777" w:rsidR="00A51F5C" w:rsidRPr="00A51F5C" w:rsidRDefault="00A51F5C" w:rsidP="00316350">
            <w:pPr>
              <w:jc w:val="both"/>
              <w:rPr>
                <w:rFonts w:ascii="Times New Roman" w:hAnsi="Times New Roman" w:cs="Times New Roman"/>
                <w:sz w:val="18"/>
                <w:szCs w:val="18"/>
              </w:rPr>
            </w:pPr>
          </w:p>
        </w:tc>
        <w:tc>
          <w:tcPr>
            <w:tcW w:w="11051" w:type="dxa"/>
            <w:vMerge/>
          </w:tcPr>
          <w:p w14:paraId="72CDE42F" w14:textId="77777777" w:rsidR="00A51F5C" w:rsidRPr="00A51F5C" w:rsidRDefault="00A51F5C" w:rsidP="00316350">
            <w:pPr>
              <w:rPr>
                <w:rFonts w:ascii="Times New Roman" w:hAnsi="Times New Roman" w:cs="Times New Roman"/>
                <w:sz w:val="18"/>
                <w:szCs w:val="18"/>
              </w:rPr>
            </w:pPr>
          </w:p>
        </w:tc>
      </w:tr>
      <w:tr w:rsidR="00A51F5C" w:rsidRPr="00A51F5C" w14:paraId="27D2601E" w14:textId="77777777" w:rsidTr="00534F58">
        <w:trPr>
          <w:trHeight w:val="220"/>
        </w:trPr>
        <w:tc>
          <w:tcPr>
            <w:tcW w:w="4395" w:type="dxa"/>
            <w:vMerge/>
          </w:tcPr>
          <w:p w14:paraId="28740134" w14:textId="77777777" w:rsidR="00A51F5C" w:rsidRPr="00A51F5C" w:rsidRDefault="00A51F5C" w:rsidP="00316350">
            <w:pPr>
              <w:jc w:val="both"/>
              <w:rPr>
                <w:rFonts w:ascii="Times New Roman" w:hAnsi="Times New Roman" w:cs="Times New Roman"/>
                <w:sz w:val="18"/>
                <w:szCs w:val="18"/>
              </w:rPr>
            </w:pPr>
          </w:p>
        </w:tc>
        <w:tc>
          <w:tcPr>
            <w:tcW w:w="11051" w:type="dxa"/>
            <w:vMerge/>
          </w:tcPr>
          <w:p w14:paraId="055EFB11" w14:textId="77777777" w:rsidR="00A51F5C" w:rsidRPr="00A51F5C" w:rsidRDefault="00A51F5C" w:rsidP="00316350">
            <w:pPr>
              <w:rPr>
                <w:rFonts w:ascii="Times New Roman" w:hAnsi="Times New Roman" w:cs="Times New Roman"/>
                <w:sz w:val="18"/>
                <w:szCs w:val="18"/>
              </w:rPr>
            </w:pPr>
          </w:p>
        </w:tc>
      </w:tr>
      <w:tr w:rsidR="00A51F5C" w:rsidRPr="00A51F5C" w14:paraId="1822A075" w14:textId="77777777" w:rsidTr="00534F58">
        <w:trPr>
          <w:trHeight w:val="253"/>
        </w:trPr>
        <w:tc>
          <w:tcPr>
            <w:tcW w:w="4395" w:type="dxa"/>
            <w:vMerge w:val="restart"/>
          </w:tcPr>
          <w:p w14:paraId="4CBE276E" w14:textId="77777777" w:rsidR="00A51F5C" w:rsidRPr="00A51F5C" w:rsidRDefault="00A51F5C" w:rsidP="00A51F5C">
            <w:pPr>
              <w:pStyle w:val="ListParagraph"/>
              <w:numPr>
                <w:ilvl w:val="0"/>
                <w:numId w:val="7"/>
              </w:numPr>
              <w:spacing w:after="0" w:line="240" w:lineRule="auto"/>
              <w:ind w:left="175" w:firstLine="0"/>
              <w:jc w:val="both"/>
              <w:rPr>
                <w:rFonts w:ascii="Times New Roman" w:hAnsi="Times New Roman" w:cs="Times New Roman"/>
                <w:sz w:val="18"/>
                <w:szCs w:val="18"/>
              </w:rPr>
            </w:pPr>
            <w:r w:rsidRPr="00A51F5C">
              <w:rPr>
                <w:rFonts w:ascii="Times New Roman" w:hAnsi="Times New Roman" w:cs="Times New Roman"/>
                <w:sz w:val="18"/>
                <w:szCs w:val="18"/>
              </w:rPr>
              <w:t xml:space="preserve">Social and cultural barriers to uptake of current and future potential vaccine technologies </w:t>
            </w:r>
          </w:p>
          <w:p w14:paraId="35FB7A35" w14:textId="77777777" w:rsidR="00A51F5C" w:rsidRPr="00A51F5C" w:rsidRDefault="00A51F5C" w:rsidP="00316350">
            <w:pPr>
              <w:pStyle w:val="ListParagraph"/>
              <w:ind w:left="175"/>
              <w:rPr>
                <w:rFonts w:ascii="Times New Roman" w:hAnsi="Times New Roman" w:cs="Times New Roman"/>
                <w:sz w:val="18"/>
                <w:szCs w:val="18"/>
              </w:rPr>
            </w:pPr>
          </w:p>
        </w:tc>
        <w:tc>
          <w:tcPr>
            <w:tcW w:w="11051" w:type="dxa"/>
            <w:vMerge w:val="restart"/>
          </w:tcPr>
          <w:p w14:paraId="0B8C1587" w14:textId="77777777" w:rsidR="00A51F5C" w:rsidRPr="00A51F5C" w:rsidRDefault="00A51F5C" w:rsidP="00A51F5C">
            <w:pPr>
              <w:pStyle w:val="ListParagraph"/>
              <w:numPr>
                <w:ilvl w:val="0"/>
                <w:numId w:val="8"/>
              </w:numPr>
              <w:spacing w:after="0" w:line="240" w:lineRule="auto"/>
              <w:ind w:left="177" w:hanging="3"/>
              <w:jc w:val="both"/>
              <w:rPr>
                <w:rFonts w:ascii="Times New Roman" w:hAnsi="Times New Roman" w:cs="Times New Roman"/>
                <w:sz w:val="18"/>
                <w:szCs w:val="18"/>
              </w:rPr>
            </w:pPr>
            <w:r w:rsidRPr="00A51F5C">
              <w:rPr>
                <w:rFonts w:ascii="Times New Roman" w:hAnsi="Times New Roman" w:cs="Times New Roman"/>
                <w:sz w:val="18"/>
                <w:szCs w:val="18"/>
              </w:rPr>
              <w:t xml:space="preserve"> Pain and discomfort concerns with existing vaccine (11 out of 11 interviewees)</w:t>
            </w:r>
          </w:p>
        </w:tc>
      </w:tr>
      <w:tr w:rsidR="00A51F5C" w:rsidRPr="00A51F5C" w14:paraId="3EF7BF06" w14:textId="77777777" w:rsidTr="00534F58">
        <w:trPr>
          <w:trHeight w:val="220"/>
        </w:trPr>
        <w:tc>
          <w:tcPr>
            <w:tcW w:w="4395" w:type="dxa"/>
            <w:vMerge/>
          </w:tcPr>
          <w:p w14:paraId="037255C4" w14:textId="77777777" w:rsidR="00A51F5C" w:rsidRPr="00A51F5C" w:rsidRDefault="00A51F5C" w:rsidP="00A51F5C">
            <w:pPr>
              <w:pStyle w:val="ListParagraph"/>
              <w:numPr>
                <w:ilvl w:val="0"/>
                <w:numId w:val="7"/>
              </w:numPr>
              <w:spacing w:after="0" w:line="240" w:lineRule="auto"/>
              <w:ind w:left="175" w:firstLine="0"/>
              <w:jc w:val="both"/>
              <w:rPr>
                <w:rFonts w:ascii="Times New Roman" w:hAnsi="Times New Roman" w:cs="Times New Roman"/>
                <w:sz w:val="18"/>
                <w:szCs w:val="18"/>
              </w:rPr>
            </w:pPr>
          </w:p>
        </w:tc>
        <w:tc>
          <w:tcPr>
            <w:tcW w:w="11051" w:type="dxa"/>
            <w:vMerge/>
          </w:tcPr>
          <w:p w14:paraId="5450E897" w14:textId="77777777" w:rsidR="00A51F5C" w:rsidRPr="00A51F5C" w:rsidRDefault="00A51F5C" w:rsidP="00316350">
            <w:pPr>
              <w:jc w:val="both"/>
              <w:rPr>
                <w:rFonts w:ascii="Times New Roman" w:hAnsi="Times New Roman" w:cs="Times New Roman"/>
                <w:sz w:val="18"/>
                <w:szCs w:val="18"/>
              </w:rPr>
            </w:pPr>
          </w:p>
        </w:tc>
      </w:tr>
      <w:tr w:rsidR="00A51F5C" w:rsidRPr="00A51F5C" w14:paraId="5039BF24" w14:textId="77777777" w:rsidTr="00534F58">
        <w:tc>
          <w:tcPr>
            <w:tcW w:w="4395" w:type="dxa"/>
            <w:vMerge/>
          </w:tcPr>
          <w:p w14:paraId="41681EAC" w14:textId="77777777" w:rsidR="00A51F5C" w:rsidRPr="00A51F5C" w:rsidRDefault="00A51F5C" w:rsidP="00A51F5C">
            <w:pPr>
              <w:pStyle w:val="ListParagraph"/>
              <w:numPr>
                <w:ilvl w:val="0"/>
                <w:numId w:val="7"/>
              </w:numPr>
              <w:spacing w:after="0" w:line="240" w:lineRule="auto"/>
              <w:ind w:left="175" w:firstLine="0"/>
              <w:jc w:val="both"/>
              <w:rPr>
                <w:rFonts w:ascii="Times New Roman" w:hAnsi="Times New Roman" w:cs="Times New Roman"/>
                <w:sz w:val="18"/>
                <w:szCs w:val="18"/>
              </w:rPr>
            </w:pPr>
          </w:p>
        </w:tc>
        <w:tc>
          <w:tcPr>
            <w:tcW w:w="11051" w:type="dxa"/>
          </w:tcPr>
          <w:p w14:paraId="526D8FFD" w14:textId="77777777" w:rsidR="00A51F5C" w:rsidRPr="00A51F5C" w:rsidRDefault="00A51F5C" w:rsidP="00A51F5C">
            <w:pPr>
              <w:pStyle w:val="ListParagraph"/>
              <w:numPr>
                <w:ilvl w:val="0"/>
                <w:numId w:val="8"/>
              </w:numPr>
              <w:spacing w:after="0" w:line="240" w:lineRule="auto"/>
              <w:ind w:left="177" w:hanging="3"/>
              <w:jc w:val="both"/>
              <w:rPr>
                <w:rFonts w:ascii="Times New Roman" w:hAnsi="Times New Roman" w:cs="Times New Roman"/>
                <w:sz w:val="18"/>
                <w:szCs w:val="18"/>
              </w:rPr>
            </w:pPr>
            <w:r w:rsidRPr="00A51F5C">
              <w:rPr>
                <w:rFonts w:ascii="Times New Roman" w:hAnsi="Times New Roman" w:cs="Times New Roman"/>
                <w:sz w:val="18"/>
                <w:szCs w:val="18"/>
              </w:rPr>
              <w:t>Underlying  religio-cultural sentiments and practices (7 out of 11 interviewees)</w:t>
            </w:r>
          </w:p>
        </w:tc>
      </w:tr>
      <w:tr w:rsidR="00A51F5C" w:rsidRPr="00A51F5C" w14:paraId="0FB6E410" w14:textId="77777777" w:rsidTr="00534F58">
        <w:trPr>
          <w:trHeight w:val="269"/>
        </w:trPr>
        <w:tc>
          <w:tcPr>
            <w:tcW w:w="4395" w:type="dxa"/>
            <w:vMerge/>
          </w:tcPr>
          <w:p w14:paraId="5266A6F0" w14:textId="77777777" w:rsidR="00A51F5C" w:rsidRPr="00A51F5C" w:rsidRDefault="00A51F5C" w:rsidP="00316350">
            <w:pPr>
              <w:rPr>
                <w:rFonts w:ascii="Times New Roman" w:hAnsi="Times New Roman" w:cs="Times New Roman"/>
                <w:sz w:val="18"/>
                <w:szCs w:val="18"/>
              </w:rPr>
            </w:pPr>
          </w:p>
        </w:tc>
        <w:tc>
          <w:tcPr>
            <w:tcW w:w="11051" w:type="dxa"/>
            <w:vMerge w:val="restart"/>
          </w:tcPr>
          <w:p w14:paraId="471F1D61" w14:textId="77777777" w:rsidR="00A51F5C" w:rsidRPr="00A51F5C" w:rsidRDefault="00A51F5C" w:rsidP="00A51F5C">
            <w:pPr>
              <w:pStyle w:val="ListParagraph"/>
              <w:numPr>
                <w:ilvl w:val="0"/>
                <w:numId w:val="8"/>
              </w:numPr>
              <w:spacing w:after="0" w:line="240" w:lineRule="auto"/>
              <w:ind w:left="174" w:firstLine="0"/>
              <w:jc w:val="both"/>
              <w:rPr>
                <w:rFonts w:ascii="Times New Roman" w:hAnsi="Times New Roman" w:cs="Times New Roman"/>
                <w:sz w:val="18"/>
                <w:szCs w:val="18"/>
              </w:rPr>
            </w:pPr>
            <w:r w:rsidRPr="00A51F5C">
              <w:rPr>
                <w:rFonts w:ascii="Times New Roman" w:hAnsi="Times New Roman" w:cs="Times New Roman"/>
                <w:sz w:val="18"/>
                <w:szCs w:val="18"/>
              </w:rPr>
              <w:t xml:space="preserve"> Anxiety caused by lack of knowledge about KFD and its transmission pathways (7 out of 11 interviewees)</w:t>
            </w:r>
          </w:p>
        </w:tc>
      </w:tr>
      <w:tr w:rsidR="00A51F5C" w:rsidRPr="00A51F5C" w14:paraId="30C5F272" w14:textId="77777777" w:rsidTr="00534F58">
        <w:trPr>
          <w:trHeight w:val="220"/>
        </w:trPr>
        <w:tc>
          <w:tcPr>
            <w:tcW w:w="4395" w:type="dxa"/>
            <w:vMerge/>
          </w:tcPr>
          <w:p w14:paraId="7657FAC6" w14:textId="77777777" w:rsidR="00A51F5C" w:rsidRPr="00A51F5C" w:rsidRDefault="00A51F5C" w:rsidP="00316350">
            <w:pPr>
              <w:rPr>
                <w:rFonts w:ascii="Times New Roman" w:hAnsi="Times New Roman" w:cs="Times New Roman"/>
                <w:sz w:val="18"/>
                <w:szCs w:val="18"/>
              </w:rPr>
            </w:pPr>
          </w:p>
        </w:tc>
        <w:tc>
          <w:tcPr>
            <w:tcW w:w="11051" w:type="dxa"/>
            <w:vMerge/>
          </w:tcPr>
          <w:p w14:paraId="283C6A47" w14:textId="77777777" w:rsidR="00A51F5C" w:rsidRPr="00A51F5C" w:rsidRDefault="00A51F5C" w:rsidP="00316350">
            <w:pPr>
              <w:jc w:val="both"/>
              <w:rPr>
                <w:rFonts w:ascii="Times New Roman" w:hAnsi="Times New Roman" w:cs="Times New Roman"/>
                <w:sz w:val="18"/>
                <w:szCs w:val="18"/>
              </w:rPr>
            </w:pPr>
          </w:p>
        </w:tc>
      </w:tr>
      <w:tr w:rsidR="00A51F5C" w:rsidRPr="00A51F5C" w14:paraId="7FD0A613" w14:textId="77777777" w:rsidTr="00534F58">
        <w:trPr>
          <w:trHeight w:val="220"/>
        </w:trPr>
        <w:tc>
          <w:tcPr>
            <w:tcW w:w="4395" w:type="dxa"/>
            <w:vMerge/>
          </w:tcPr>
          <w:p w14:paraId="34F2D249" w14:textId="77777777" w:rsidR="00A51F5C" w:rsidRPr="00A51F5C" w:rsidRDefault="00A51F5C" w:rsidP="00316350">
            <w:pPr>
              <w:rPr>
                <w:rFonts w:ascii="Times New Roman" w:hAnsi="Times New Roman" w:cs="Times New Roman"/>
                <w:sz w:val="18"/>
                <w:szCs w:val="18"/>
              </w:rPr>
            </w:pPr>
          </w:p>
        </w:tc>
        <w:tc>
          <w:tcPr>
            <w:tcW w:w="11051" w:type="dxa"/>
            <w:vMerge/>
          </w:tcPr>
          <w:p w14:paraId="627A1050" w14:textId="77777777" w:rsidR="00A51F5C" w:rsidRPr="00A51F5C" w:rsidRDefault="00A51F5C" w:rsidP="00316350">
            <w:pPr>
              <w:jc w:val="both"/>
              <w:rPr>
                <w:rFonts w:ascii="Times New Roman" w:hAnsi="Times New Roman" w:cs="Times New Roman"/>
                <w:sz w:val="18"/>
                <w:szCs w:val="18"/>
              </w:rPr>
            </w:pPr>
          </w:p>
        </w:tc>
      </w:tr>
      <w:tr w:rsidR="00A51F5C" w:rsidRPr="00A51F5C" w14:paraId="17C563C2" w14:textId="77777777" w:rsidTr="00534F58">
        <w:trPr>
          <w:trHeight w:val="220"/>
        </w:trPr>
        <w:tc>
          <w:tcPr>
            <w:tcW w:w="4395" w:type="dxa"/>
            <w:vMerge/>
          </w:tcPr>
          <w:p w14:paraId="02801F04" w14:textId="77777777" w:rsidR="00A51F5C" w:rsidRPr="00A51F5C" w:rsidRDefault="00A51F5C" w:rsidP="00316350">
            <w:pPr>
              <w:rPr>
                <w:rFonts w:ascii="Times New Roman" w:hAnsi="Times New Roman" w:cs="Times New Roman"/>
                <w:sz w:val="18"/>
                <w:szCs w:val="18"/>
              </w:rPr>
            </w:pPr>
          </w:p>
        </w:tc>
        <w:tc>
          <w:tcPr>
            <w:tcW w:w="11051" w:type="dxa"/>
            <w:vMerge w:val="restart"/>
          </w:tcPr>
          <w:p w14:paraId="08329687" w14:textId="77777777" w:rsidR="00A51F5C" w:rsidRPr="00A51F5C" w:rsidRDefault="00A51F5C" w:rsidP="00A51F5C">
            <w:pPr>
              <w:pStyle w:val="ListParagraph"/>
              <w:numPr>
                <w:ilvl w:val="0"/>
                <w:numId w:val="8"/>
              </w:numPr>
              <w:spacing w:after="0" w:line="240" w:lineRule="auto"/>
              <w:ind w:left="174" w:firstLine="0"/>
              <w:jc w:val="both"/>
              <w:rPr>
                <w:rFonts w:ascii="Times New Roman" w:hAnsi="Times New Roman" w:cs="Times New Roman"/>
                <w:sz w:val="18"/>
                <w:szCs w:val="18"/>
              </w:rPr>
            </w:pPr>
            <w:r w:rsidRPr="00A51F5C">
              <w:rPr>
                <w:rFonts w:ascii="Times New Roman" w:hAnsi="Times New Roman" w:cs="Times New Roman"/>
                <w:sz w:val="18"/>
                <w:szCs w:val="18"/>
              </w:rPr>
              <w:t xml:space="preserve">Trust and legitimacy concerns (8 out of 11 interviewees) </w:t>
            </w:r>
          </w:p>
        </w:tc>
      </w:tr>
      <w:tr w:rsidR="00A51F5C" w:rsidRPr="00A51F5C" w14:paraId="663725A7" w14:textId="77777777" w:rsidTr="00534F58">
        <w:trPr>
          <w:trHeight w:val="220"/>
        </w:trPr>
        <w:tc>
          <w:tcPr>
            <w:tcW w:w="4395" w:type="dxa"/>
            <w:vMerge/>
          </w:tcPr>
          <w:p w14:paraId="0A90C21E" w14:textId="77777777" w:rsidR="00A51F5C" w:rsidRPr="00A51F5C" w:rsidRDefault="00A51F5C" w:rsidP="00316350">
            <w:pPr>
              <w:rPr>
                <w:rFonts w:ascii="Times New Roman" w:hAnsi="Times New Roman" w:cs="Times New Roman"/>
                <w:sz w:val="18"/>
                <w:szCs w:val="18"/>
              </w:rPr>
            </w:pPr>
          </w:p>
        </w:tc>
        <w:tc>
          <w:tcPr>
            <w:tcW w:w="11051" w:type="dxa"/>
            <w:vMerge/>
          </w:tcPr>
          <w:p w14:paraId="6E73A969" w14:textId="77777777" w:rsidR="00A51F5C" w:rsidRPr="00A51F5C" w:rsidRDefault="00A51F5C" w:rsidP="00316350">
            <w:pPr>
              <w:jc w:val="both"/>
              <w:rPr>
                <w:rFonts w:ascii="Times New Roman" w:hAnsi="Times New Roman" w:cs="Times New Roman"/>
                <w:sz w:val="18"/>
                <w:szCs w:val="18"/>
              </w:rPr>
            </w:pPr>
          </w:p>
        </w:tc>
      </w:tr>
      <w:tr w:rsidR="00A51F5C" w:rsidRPr="00A51F5C" w14:paraId="32B70CFC" w14:textId="77777777" w:rsidTr="00534F58">
        <w:trPr>
          <w:trHeight w:val="220"/>
        </w:trPr>
        <w:tc>
          <w:tcPr>
            <w:tcW w:w="4395" w:type="dxa"/>
            <w:vMerge/>
          </w:tcPr>
          <w:p w14:paraId="6CAC6DAD" w14:textId="77777777" w:rsidR="00A51F5C" w:rsidRPr="00A51F5C" w:rsidRDefault="00A51F5C" w:rsidP="00A51F5C">
            <w:pPr>
              <w:pStyle w:val="ListParagraph"/>
              <w:numPr>
                <w:ilvl w:val="0"/>
                <w:numId w:val="7"/>
              </w:numPr>
              <w:spacing w:after="0" w:line="240" w:lineRule="auto"/>
              <w:ind w:left="169" w:firstLine="0"/>
              <w:rPr>
                <w:rFonts w:ascii="Times New Roman" w:hAnsi="Times New Roman" w:cs="Times New Roman"/>
                <w:sz w:val="18"/>
                <w:szCs w:val="18"/>
              </w:rPr>
            </w:pPr>
          </w:p>
        </w:tc>
        <w:tc>
          <w:tcPr>
            <w:tcW w:w="11051" w:type="dxa"/>
            <w:vMerge/>
          </w:tcPr>
          <w:p w14:paraId="2DF88946" w14:textId="77777777" w:rsidR="00A51F5C" w:rsidRPr="00A51F5C" w:rsidRDefault="00A51F5C" w:rsidP="00316350">
            <w:pPr>
              <w:pStyle w:val="ListParagraph"/>
              <w:ind w:left="174"/>
              <w:jc w:val="both"/>
              <w:rPr>
                <w:rFonts w:ascii="Times New Roman" w:hAnsi="Times New Roman" w:cs="Times New Roman"/>
                <w:sz w:val="18"/>
                <w:szCs w:val="18"/>
              </w:rPr>
            </w:pPr>
          </w:p>
        </w:tc>
      </w:tr>
      <w:tr w:rsidR="00A51F5C" w:rsidRPr="00A51F5C" w14:paraId="49E5C795" w14:textId="77777777" w:rsidTr="00534F58">
        <w:tc>
          <w:tcPr>
            <w:tcW w:w="4395" w:type="dxa"/>
            <w:vMerge w:val="restart"/>
          </w:tcPr>
          <w:p w14:paraId="3379EF1F" w14:textId="77777777" w:rsidR="00A51F5C" w:rsidRPr="00A51F5C" w:rsidRDefault="00A51F5C" w:rsidP="00A51F5C">
            <w:pPr>
              <w:pStyle w:val="ListParagraph"/>
              <w:numPr>
                <w:ilvl w:val="0"/>
                <w:numId w:val="7"/>
              </w:numPr>
              <w:spacing w:after="0" w:line="240" w:lineRule="auto"/>
              <w:ind w:left="180" w:firstLine="0"/>
              <w:rPr>
                <w:rFonts w:ascii="Times New Roman" w:hAnsi="Times New Roman" w:cs="Times New Roman"/>
                <w:sz w:val="18"/>
                <w:szCs w:val="18"/>
              </w:rPr>
            </w:pPr>
            <w:r w:rsidRPr="00A51F5C">
              <w:rPr>
                <w:rFonts w:ascii="Times New Roman" w:hAnsi="Times New Roman" w:cs="Times New Roman"/>
                <w:sz w:val="18"/>
                <w:szCs w:val="18"/>
              </w:rPr>
              <w:t>Techno-administrative barriers to uptake of current vaccine and improvement considerations</w:t>
            </w:r>
          </w:p>
        </w:tc>
        <w:tc>
          <w:tcPr>
            <w:tcW w:w="11051" w:type="dxa"/>
          </w:tcPr>
          <w:p w14:paraId="67D74E5A" w14:textId="77777777" w:rsidR="00A51F5C" w:rsidRPr="00A51F5C" w:rsidRDefault="00A51F5C" w:rsidP="00A51F5C">
            <w:pPr>
              <w:pStyle w:val="ListParagraph"/>
              <w:numPr>
                <w:ilvl w:val="0"/>
                <w:numId w:val="11"/>
              </w:numPr>
              <w:spacing w:after="0" w:line="240" w:lineRule="auto"/>
              <w:ind w:left="174" w:hanging="174"/>
              <w:jc w:val="both"/>
              <w:rPr>
                <w:rFonts w:ascii="Times New Roman" w:hAnsi="Times New Roman" w:cs="Times New Roman"/>
                <w:sz w:val="18"/>
                <w:szCs w:val="18"/>
              </w:rPr>
            </w:pPr>
            <w:r w:rsidRPr="00A51F5C">
              <w:rPr>
                <w:rFonts w:ascii="Times New Roman" w:hAnsi="Times New Roman" w:cs="Times New Roman"/>
                <w:sz w:val="18"/>
                <w:szCs w:val="18"/>
              </w:rPr>
              <w:t>Vaccination coverage and availability (4 out of 11 interviewees)</w:t>
            </w:r>
          </w:p>
        </w:tc>
      </w:tr>
      <w:tr w:rsidR="00A51F5C" w:rsidRPr="00A51F5C" w14:paraId="7DFCBB79" w14:textId="77777777" w:rsidTr="00534F58">
        <w:tc>
          <w:tcPr>
            <w:tcW w:w="4395" w:type="dxa"/>
            <w:vMerge/>
          </w:tcPr>
          <w:p w14:paraId="0F2686C2" w14:textId="77777777" w:rsidR="00A51F5C" w:rsidRPr="00A51F5C" w:rsidRDefault="00A51F5C" w:rsidP="00A51F5C">
            <w:pPr>
              <w:pStyle w:val="ListParagraph"/>
              <w:numPr>
                <w:ilvl w:val="0"/>
                <w:numId w:val="7"/>
              </w:numPr>
              <w:spacing w:after="0" w:line="240" w:lineRule="auto"/>
              <w:ind w:left="180" w:firstLine="0"/>
              <w:rPr>
                <w:rFonts w:ascii="Times New Roman" w:hAnsi="Times New Roman" w:cs="Times New Roman"/>
                <w:sz w:val="18"/>
                <w:szCs w:val="18"/>
              </w:rPr>
            </w:pPr>
          </w:p>
        </w:tc>
        <w:tc>
          <w:tcPr>
            <w:tcW w:w="11051" w:type="dxa"/>
          </w:tcPr>
          <w:p w14:paraId="540C7BF8" w14:textId="77777777" w:rsidR="00A51F5C" w:rsidRPr="00A51F5C" w:rsidRDefault="00A51F5C" w:rsidP="00A51F5C">
            <w:pPr>
              <w:pStyle w:val="ListParagraph"/>
              <w:numPr>
                <w:ilvl w:val="0"/>
                <w:numId w:val="10"/>
              </w:numPr>
              <w:spacing w:after="0" w:line="240" w:lineRule="auto"/>
              <w:ind w:left="174" w:hanging="174"/>
              <w:jc w:val="both"/>
              <w:rPr>
                <w:rFonts w:ascii="Times New Roman" w:hAnsi="Times New Roman" w:cs="Times New Roman"/>
                <w:sz w:val="18"/>
                <w:szCs w:val="18"/>
              </w:rPr>
            </w:pPr>
            <w:r w:rsidRPr="00A51F5C">
              <w:rPr>
                <w:rFonts w:ascii="Times New Roman" w:hAnsi="Times New Roman" w:cs="Times New Roman"/>
                <w:sz w:val="18"/>
                <w:szCs w:val="18"/>
              </w:rPr>
              <w:t>Concerns about the efficacy of existing vaccine(7 out of 11 interviewees)</w:t>
            </w:r>
          </w:p>
        </w:tc>
      </w:tr>
      <w:tr w:rsidR="00A51F5C" w:rsidRPr="00A51F5C" w14:paraId="5EE02962" w14:textId="77777777" w:rsidTr="00534F58">
        <w:tc>
          <w:tcPr>
            <w:tcW w:w="4395" w:type="dxa"/>
            <w:vMerge/>
          </w:tcPr>
          <w:p w14:paraId="63B0FDC0" w14:textId="77777777" w:rsidR="00A51F5C" w:rsidRPr="00A51F5C" w:rsidRDefault="00A51F5C" w:rsidP="00316350">
            <w:pPr>
              <w:pStyle w:val="ListParagraph"/>
              <w:ind w:left="169"/>
              <w:rPr>
                <w:rFonts w:ascii="Times New Roman" w:hAnsi="Times New Roman" w:cs="Times New Roman"/>
                <w:sz w:val="18"/>
                <w:szCs w:val="18"/>
              </w:rPr>
            </w:pPr>
          </w:p>
        </w:tc>
        <w:tc>
          <w:tcPr>
            <w:tcW w:w="11051" w:type="dxa"/>
          </w:tcPr>
          <w:p w14:paraId="1803A511" w14:textId="77777777" w:rsidR="00A51F5C" w:rsidRPr="00A51F5C" w:rsidRDefault="00A51F5C" w:rsidP="00316350">
            <w:pPr>
              <w:pStyle w:val="ListParagraph"/>
              <w:ind w:left="174"/>
              <w:jc w:val="both"/>
              <w:rPr>
                <w:rFonts w:ascii="Times New Roman" w:hAnsi="Times New Roman" w:cs="Times New Roman"/>
                <w:sz w:val="18"/>
                <w:szCs w:val="18"/>
              </w:rPr>
            </w:pPr>
          </w:p>
        </w:tc>
      </w:tr>
      <w:tr w:rsidR="00A51F5C" w:rsidRPr="00A51F5C" w14:paraId="044B4333" w14:textId="77777777" w:rsidTr="00534F58">
        <w:trPr>
          <w:trHeight w:val="220"/>
        </w:trPr>
        <w:tc>
          <w:tcPr>
            <w:tcW w:w="4395" w:type="dxa"/>
            <w:vMerge w:val="restart"/>
          </w:tcPr>
          <w:p w14:paraId="58A074E2" w14:textId="77777777" w:rsidR="00A51F5C" w:rsidRPr="00A51F5C" w:rsidRDefault="00A51F5C" w:rsidP="00316350">
            <w:pPr>
              <w:jc w:val="both"/>
              <w:rPr>
                <w:rFonts w:ascii="Times New Roman" w:hAnsi="Times New Roman" w:cs="Times New Roman"/>
                <w:sz w:val="18"/>
                <w:szCs w:val="18"/>
              </w:rPr>
            </w:pPr>
            <w:r w:rsidRPr="00A51F5C">
              <w:rPr>
                <w:rFonts w:ascii="Times New Roman" w:hAnsi="Times New Roman" w:cs="Times New Roman"/>
                <w:sz w:val="18"/>
                <w:szCs w:val="18"/>
              </w:rPr>
              <w:t xml:space="preserve">V. Inter-sectoral action for KFD surveillance and management </w:t>
            </w:r>
          </w:p>
        </w:tc>
        <w:tc>
          <w:tcPr>
            <w:tcW w:w="11051" w:type="dxa"/>
            <w:vMerge w:val="restart"/>
          </w:tcPr>
          <w:p w14:paraId="1EB0EB9A" w14:textId="77777777" w:rsidR="00A51F5C" w:rsidRPr="00A51F5C" w:rsidRDefault="00A51F5C" w:rsidP="00A51F5C">
            <w:pPr>
              <w:pStyle w:val="ListParagraph"/>
              <w:numPr>
                <w:ilvl w:val="0"/>
                <w:numId w:val="9"/>
              </w:numPr>
              <w:spacing w:after="0" w:line="240" w:lineRule="auto"/>
              <w:ind w:left="174" w:hanging="174"/>
              <w:jc w:val="both"/>
              <w:rPr>
                <w:rFonts w:ascii="Times New Roman" w:hAnsi="Times New Roman" w:cs="Times New Roman"/>
                <w:sz w:val="18"/>
                <w:szCs w:val="18"/>
              </w:rPr>
            </w:pPr>
            <w:r w:rsidRPr="00A51F5C">
              <w:rPr>
                <w:rFonts w:ascii="Times New Roman" w:hAnsi="Times New Roman" w:cs="Times New Roman"/>
                <w:sz w:val="18"/>
                <w:szCs w:val="18"/>
              </w:rPr>
              <w:t>Increasing (district level) inter-departmental coordination during and post-outbreak situations (9 out of 11 interviewees)</w:t>
            </w:r>
          </w:p>
        </w:tc>
      </w:tr>
      <w:tr w:rsidR="00A51F5C" w:rsidRPr="00A51F5C" w14:paraId="4F25A992" w14:textId="77777777" w:rsidTr="00534F58">
        <w:trPr>
          <w:trHeight w:val="220"/>
        </w:trPr>
        <w:tc>
          <w:tcPr>
            <w:tcW w:w="4395" w:type="dxa"/>
            <w:vMerge/>
          </w:tcPr>
          <w:p w14:paraId="565D9D3E" w14:textId="77777777" w:rsidR="00A51F5C" w:rsidRPr="00A51F5C" w:rsidRDefault="00A51F5C" w:rsidP="00A51F5C">
            <w:pPr>
              <w:pStyle w:val="ListParagraph"/>
              <w:numPr>
                <w:ilvl w:val="0"/>
                <w:numId w:val="10"/>
              </w:numPr>
              <w:spacing w:after="0" w:line="240" w:lineRule="auto"/>
              <w:ind w:left="311" w:hanging="272"/>
              <w:jc w:val="both"/>
              <w:rPr>
                <w:rFonts w:ascii="Times New Roman" w:hAnsi="Times New Roman" w:cs="Times New Roman"/>
                <w:sz w:val="18"/>
                <w:szCs w:val="18"/>
              </w:rPr>
            </w:pPr>
          </w:p>
        </w:tc>
        <w:tc>
          <w:tcPr>
            <w:tcW w:w="11051" w:type="dxa"/>
            <w:vMerge/>
          </w:tcPr>
          <w:p w14:paraId="606649AF" w14:textId="77777777" w:rsidR="00A51F5C" w:rsidRPr="00A51F5C" w:rsidRDefault="00A51F5C" w:rsidP="00A51F5C">
            <w:pPr>
              <w:pStyle w:val="ListParagraph"/>
              <w:numPr>
                <w:ilvl w:val="0"/>
                <w:numId w:val="9"/>
              </w:numPr>
              <w:spacing w:after="0" w:line="240" w:lineRule="auto"/>
              <w:ind w:left="174" w:hanging="174"/>
              <w:jc w:val="both"/>
              <w:rPr>
                <w:rFonts w:ascii="Times New Roman" w:hAnsi="Times New Roman" w:cs="Times New Roman"/>
                <w:sz w:val="18"/>
                <w:szCs w:val="18"/>
              </w:rPr>
            </w:pPr>
          </w:p>
        </w:tc>
      </w:tr>
      <w:tr w:rsidR="00A51F5C" w:rsidRPr="00A51F5C" w14:paraId="4B9DC441" w14:textId="77777777" w:rsidTr="00534F58">
        <w:trPr>
          <w:trHeight w:val="220"/>
        </w:trPr>
        <w:tc>
          <w:tcPr>
            <w:tcW w:w="4395" w:type="dxa"/>
            <w:vMerge/>
          </w:tcPr>
          <w:p w14:paraId="72E72E90" w14:textId="77777777" w:rsidR="00A51F5C" w:rsidRPr="00A51F5C" w:rsidRDefault="00A51F5C" w:rsidP="00316350">
            <w:pPr>
              <w:jc w:val="both"/>
              <w:rPr>
                <w:rFonts w:ascii="Times New Roman" w:hAnsi="Times New Roman" w:cs="Times New Roman"/>
                <w:sz w:val="18"/>
                <w:szCs w:val="18"/>
              </w:rPr>
            </w:pPr>
          </w:p>
        </w:tc>
        <w:tc>
          <w:tcPr>
            <w:tcW w:w="11051" w:type="dxa"/>
            <w:vMerge/>
          </w:tcPr>
          <w:p w14:paraId="29F23310" w14:textId="77777777" w:rsidR="00A51F5C" w:rsidRPr="00A51F5C" w:rsidRDefault="00A51F5C" w:rsidP="00316350">
            <w:pPr>
              <w:jc w:val="both"/>
              <w:rPr>
                <w:rFonts w:ascii="Times New Roman" w:hAnsi="Times New Roman" w:cs="Times New Roman"/>
                <w:sz w:val="18"/>
                <w:szCs w:val="18"/>
              </w:rPr>
            </w:pPr>
          </w:p>
        </w:tc>
      </w:tr>
      <w:tr w:rsidR="00A51F5C" w:rsidRPr="00A51F5C" w14:paraId="398F8E73" w14:textId="77777777" w:rsidTr="00534F58">
        <w:trPr>
          <w:trHeight w:val="220"/>
        </w:trPr>
        <w:tc>
          <w:tcPr>
            <w:tcW w:w="4395" w:type="dxa"/>
            <w:vMerge/>
          </w:tcPr>
          <w:p w14:paraId="7E7ECA7A" w14:textId="77777777" w:rsidR="00A51F5C" w:rsidRPr="00A51F5C" w:rsidRDefault="00A51F5C" w:rsidP="00A51F5C">
            <w:pPr>
              <w:pStyle w:val="ListParagraph"/>
              <w:numPr>
                <w:ilvl w:val="0"/>
                <w:numId w:val="10"/>
              </w:numPr>
              <w:spacing w:after="0" w:line="240" w:lineRule="auto"/>
              <w:ind w:left="311" w:hanging="142"/>
              <w:jc w:val="both"/>
              <w:rPr>
                <w:rFonts w:ascii="Times New Roman" w:hAnsi="Times New Roman" w:cs="Times New Roman"/>
                <w:sz w:val="18"/>
                <w:szCs w:val="18"/>
              </w:rPr>
            </w:pPr>
          </w:p>
        </w:tc>
        <w:tc>
          <w:tcPr>
            <w:tcW w:w="11051" w:type="dxa"/>
            <w:vMerge w:val="restart"/>
          </w:tcPr>
          <w:p w14:paraId="612A947E" w14:textId="77777777" w:rsidR="00A51F5C" w:rsidRPr="00A51F5C" w:rsidRDefault="00A51F5C" w:rsidP="00A51F5C">
            <w:pPr>
              <w:pStyle w:val="ListParagraph"/>
              <w:numPr>
                <w:ilvl w:val="0"/>
                <w:numId w:val="9"/>
              </w:numPr>
              <w:spacing w:after="0" w:line="240" w:lineRule="auto"/>
              <w:ind w:left="174" w:hanging="174"/>
              <w:jc w:val="both"/>
              <w:rPr>
                <w:rFonts w:ascii="Times New Roman" w:hAnsi="Times New Roman" w:cs="Times New Roman"/>
                <w:sz w:val="18"/>
                <w:szCs w:val="18"/>
              </w:rPr>
            </w:pPr>
            <w:r w:rsidRPr="00A51F5C">
              <w:rPr>
                <w:rFonts w:ascii="Times New Roman" w:hAnsi="Times New Roman" w:cs="Times New Roman"/>
                <w:sz w:val="18"/>
                <w:szCs w:val="18"/>
              </w:rPr>
              <w:t>Increasing policy and media attention on KFD and attendant issues   (3 out of 11 interviewees)</w:t>
            </w:r>
          </w:p>
        </w:tc>
      </w:tr>
      <w:tr w:rsidR="00A51F5C" w:rsidRPr="00A51F5C" w14:paraId="291A69D1" w14:textId="77777777" w:rsidTr="00534F58">
        <w:trPr>
          <w:trHeight w:val="220"/>
        </w:trPr>
        <w:tc>
          <w:tcPr>
            <w:tcW w:w="4395" w:type="dxa"/>
            <w:vMerge/>
          </w:tcPr>
          <w:p w14:paraId="5358A21A" w14:textId="77777777" w:rsidR="00A51F5C" w:rsidRPr="00A51F5C" w:rsidRDefault="00A51F5C" w:rsidP="00316350">
            <w:pPr>
              <w:rPr>
                <w:rFonts w:ascii="Times New Roman" w:hAnsi="Times New Roman" w:cs="Times New Roman"/>
                <w:sz w:val="18"/>
                <w:szCs w:val="18"/>
              </w:rPr>
            </w:pPr>
          </w:p>
        </w:tc>
        <w:tc>
          <w:tcPr>
            <w:tcW w:w="11051" w:type="dxa"/>
            <w:vMerge/>
          </w:tcPr>
          <w:p w14:paraId="0A4F8E80" w14:textId="77777777" w:rsidR="00A51F5C" w:rsidRPr="00A51F5C" w:rsidRDefault="00A51F5C" w:rsidP="00316350">
            <w:pPr>
              <w:jc w:val="both"/>
              <w:rPr>
                <w:rFonts w:ascii="Times New Roman" w:hAnsi="Times New Roman" w:cs="Times New Roman"/>
                <w:sz w:val="18"/>
                <w:szCs w:val="18"/>
              </w:rPr>
            </w:pPr>
          </w:p>
        </w:tc>
      </w:tr>
      <w:tr w:rsidR="00A51F5C" w:rsidRPr="00A51F5C" w14:paraId="7D23AD28" w14:textId="77777777" w:rsidTr="00534F58">
        <w:trPr>
          <w:trHeight w:val="220"/>
        </w:trPr>
        <w:tc>
          <w:tcPr>
            <w:tcW w:w="4395" w:type="dxa"/>
            <w:vMerge/>
          </w:tcPr>
          <w:p w14:paraId="755A3BEF" w14:textId="77777777" w:rsidR="00A51F5C" w:rsidRPr="00A51F5C" w:rsidRDefault="00A51F5C" w:rsidP="00316350">
            <w:pPr>
              <w:rPr>
                <w:rFonts w:ascii="Times New Roman" w:hAnsi="Times New Roman" w:cs="Times New Roman"/>
                <w:sz w:val="18"/>
                <w:szCs w:val="18"/>
              </w:rPr>
            </w:pPr>
          </w:p>
        </w:tc>
        <w:tc>
          <w:tcPr>
            <w:tcW w:w="11051" w:type="dxa"/>
            <w:vMerge/>
          </w:tcPr>
          <w:p w14:paraId="21BA24D4" w14:textId="77777777" w:rsidR="00A51F5C" w:rsidRPr="00A51F5C" w:rsidRDefault="00A51F5C" w:rsidP="00316350">
            <w:pPr>
              <w:pStyle w:val="ListParagraph"/>
              <w:tabs>
                <w:tab w:val="left" w:pos="316"/>
              </w:tabs>
              <w:ind w:left="174"/>
              <w:jc w:val="both"/>
              <w:rPr>
                <w:rFonts w:ascii="Times New Roman" w:hAnsi="Times New Roman" w:cs="Times New Roman"/>
                <w:sz w:val="18"/>
                <w:szCs w:val="18"/>
              </w:rPr>
            </w:pPr>
          </w:p>
        </w:tc>
      </w:tr>
      <w:tr w:rsidR="00A51F5C" w:rsidRPr="00A51F5C" w14:paraId="5F79C235" w14:textId="77777777" w:rsidTr="00534F58">
        <w:trPr>
          <w:trHeight w:val="220"/>
        </w:trPr>
        <w:tc>
          <w:tcPr>
            <w:tcW w:w="4395" w:type="dxa"/>
            <w:vMerge/>
          </w:tcPr>
          <w:p w14:paraId="5CB6D70F" w14:textId="77777777" w:rsidR="00A51F5C" w:rsidRPr="00A51F5C" w:rsidRDefault="00A51F5C" w:rsidP="00316350">
            <w:pPr>
              <w:rPr>
                <w:rFonts w:ascii="Times New Roman" w:hAnsi="Times New Roman" w:cs="Times New Roman"/>
                <w:sz w:val="18"/>
                <w:szCs w:val="18"/>
              </w:rPr>
            </w:pPr>
          </w:p>
        </w:tc>
        <w:tc>
          <w:tcPr>
            <w:tcW w:w="11051" w:type="dxa"/>
            <w:vMerge w:val="restart"/>
          </w:tcPr>
          <w:p w14:paraId="6D653A48" w14:textId="77777777" w:rsidR="00A51F5C" w:rsidRPr="00A51F5C" w:rsidRDefault="00A51F5C" w:rsidP="00A51F5C">
            <w:pPr>
              <w:pStyle w:val="ListParagraph"/>
              <w:numPr>
                <w:ilvl w:val="0"/>
                <w:numId w:val="9"/>
              </w:numPr>
              <w:tabs>
                <w:tab w:val="left" w:pos="316"/>
              </w:tabs>
              <w:spacing w:after="0" w:line="240" w:lineRule="auto"/>
              <w:ind w:left="174" w:hanging="174"/>
              <w:jc w:val="both"/>
              <w:rPr>
                <w:rFonts w:ascii="Times New Roman" w:hAnsi="Times New Roman" w:cs="Times New Roman"/>
                <w:sz w:val="18"/>
                <w:szCs w:val="18"/>
              </w:rPr>
            </w:pPr>
            <w:r w:rsidRPr="00A51F5C">
              <w:rPr>
                <w:rFonts w:ascii="Times New Roman" w:hAnsi="Times New Roman" w:cs="Times New Roman"/>
                <w:sz w:val="18"/>
                <w:szCs w:val="18"/>
              </w:rPr>
              <w:t xml:space="preserve">Staffing, infrastructural and logistical challenges hampering effective coordination (6 out of 11 interviewees) </w:t>
            </w:r>
          </w:p>
        </w:tc>
      </w:tr>
      <w:tr w:rsidR="00A51F5C" w:rsidRPr="00A51F5C" w14:paraId="350DE66A" w14:textId="77777777" w:rsidTr="00534F58">
        <w:trPr>
          <w:trHeight w:val="220"/>
        </w:trPr>
        <w:tc>
          <w:tcPr>
            <w:tcW w:w="4395" w:type="dxa"/>
            <w:vMerge/>
          </w:tcPr>
          <w:p w14:paraId="5D1C5460" w14:textId="77777777" w:rsidR="00A51F5C" w:rsidRPr="00A51F5C" w:rsidRDefault="00A51F5C" w:rsidP="00316350">
            <w:pPr>
              <w:rPr>
                <w:rFonts w:ascii="Times New Roman" w:hAnsi="Times New Roman" w:cs="Times New Roman"/>
                <w:sz w:val="18"/>
                <w:szCs w:val="18"/>
              </w:rPr>
            </w:pPr>
          </w:p>
        </w:tc>
        <w:tc>
          <w:tcPr>
            <w:tcW w:w="11051" w:type="dxa"/>
            <w:vMerge/>
          </w:tcPr>
          <w:p w14:paraId="22DDE103" w14:textId="77777777" w:rsidR="00A51F5C" w:rsidRPr="00A51F5C" w:rsidRDefault="00A51F5C" w:rsidP="00316350">
            <w:pPr>
              <w:pStyle w:val="ListParagraph"/>
              <w:ind w:left="316"/>
              <w:jc w:val="both"/>
              <w:rPr>
                <w:rFonts w:ascii="Times New Roman" w:hAnsi="Times New Roman" w:cs="Times New Roman"/>
                <w:sz w:val="18"/>
                <w:szCs w:val="18"/>
              </w:rPr>
            </w:pPr>
          </w:p>
        </w:tc>
      </w:tr>
      <w:tr w:rsidR="00A51F5C" w:rsidRPr="00A51F5C" w14:paraId="1312DD37" w14:textId="77777777" w:rsidTr="00534F58">
        <w:trPr>
          <w:trHeight w:val="220"/>
        </w:trPr>
        <w:tc>
          <w:tcPr>
            <w:tcW w:w="4395" w:type="dxa"/>
            <w:vMerge/>
          </w:tcPr>
          <w:p w14:paraId="714D3E6E" w14:textId="77777777" w:rsidR="00A51F5C" w:rsidRPr="00A51F5C" w:rsidRDefault="00A51F5C" w:rsidP="00316350">
            <w:pPr>
              <w:rPr>
                <w:rFonts w:ascii="Times New Roman" w:hAnsi="Times New Roman" w:cs="Times New Roman"/>
                <w:sz w:val="18"/>
                <w:szCs w:val="18"/>
              </w:rPr>
            </w:pPr>
          </w:p>
        </w:tc>
        <w:tc>
          <w:tcPr>
            <w:tcW w:w="11051" w:type="dxa"/>
            <w:vMerge/>
          </w:tcPr>
          <w:p w14:paraId="3B60FE91" w14:textId="77777777" w:rsidR="00A51F5C" w:rsidRPr="00A51F5C" w:rsidRDefault="00A51F5C" w:rsidP="00316350">
            <w:pPr>
              <w:jc w:val="both"/>
              <w:rPr>
                <w:rFonts w:ascii="Times New Roman" w:hAnsi="Times New Roman" w:cs="Times New Roman"/>
                <w:sz w:val="18"/>
                <w:szCs w:val="18"/>
              </w:rPr>
            </w:pPr>
          </w:p>
        </w:tc>
      </w:tr>
      <w:tr w:rsidR="00A51F5C" w:rsidRPr="00A51F5C" w14:paraId="31C9E77B" w14:textId="77777777" w:rsidTr="00534F58">
        <w:trPr>
          <w:trHeight w:val="220"/>
        </w:trPr>
        <w:tc>
          <w:tcPr>
            <w:tcW w:w="4395" w:type="dxa"/>
            <w:vMerge/>
          </w:tcPr>
          <w:p w14:paraId="55BD46F8" w14:textId="77777777" w:rsidR="00A51F5C" w:rsidRPr="00A51F5C" w:rsidRDefault="00A51F5C" w:rsidP="00316350">
            <w:pPr>
              <w:rPr>
                <w:rFonts w:ascii="Times New Roman" w:hAnsi="Times New Roman" w:cs="Times New Roman"/>
                <w:sz w:val="18"/>
                <w:szCs w:val="18"/>
              </w:rPr>
            </w:pPr>
          </w:p>
        </w:tc>
        <w:tc>
          <w:tcPr>
            <w:tcW w:w="11051" w:type="dxa"/>
            <w:vMerge w:val="restart"/>
          </w:tcPr>
          <w:p w14:paraId="59587694" w14:textId="77777777" w:rsidR="00A51F5C" w:rsidRPr="00A51F5C" w:rsidRDefault="00A51F5C" w:rsidP="00A51F5C">
            <w:pPr>
              <w:pStyle w:val="ListParagraph"/>
              <w:numPr>
                <w:ilvl w:val="0"/>
                <w:numId w:val="9"/>
              </w:numPr>
              <w:spacing w:after="0" w:line="240" w:lineRule="auto"/>
              <w:ind w:left="316" w:hanging="316"/>
              <w:jc w:val="both"/>
              <w:rPr>
                <w:rFonts w:ascii="Times New Roman" w:hAnsi="Times New Roman" w:cs="Times New Roman"/>
                <w:sz w:val="18"/>
                <w:szCs w:val="18"/>
              </w:rPr>
            </w:pPr>
            <w:r w:rsidRPr="00A51F5C">
              <w:rPr>
                <w:rFonts w:ascii="Times New Roman" w:hAnsi="Times New Roman" w:cs="Times New Roman"/>
                <w:sz w:val="18"/>
                <w:szCs w:val="18"/>
              </w:rPr>
              <w:t>Training and capacity building of personnel in tick surveillance (6 out of 11 interviewees)</w:t>
            </w:r>
          </w:p>
        </w:tc>
      </w:tr>
      <w:tr w:rsidR="00A51F5C" w:rsidRPr="00A51F5C" w14:paraId="5FB4A4B2" w14:textId="77777777" w:rsidTr="00534F58">
        <w:trPr>
          <w:trHeight w:val="220"/>
        </w:trPr>
        <w:tc>
          <w:tcPr>
            <w:tcW w:w="4395" w:type="dxa"/>
            <w:vMerge/>
          </w:tcPr>
          <w:p w14:paraId="29C219C0" w14:textId="77777777" w:rsidR="00A51F5C" w:rsidRPr="00A51F5C" w:rsidRDefault="00A51F5C" w:rsidP="00316350">
            <w:pPr>
              <w:rPr>
                <w:rFonts w:ascii="Times New Roman" w:hAnsi="Times New Roman" w:cs="Times New Roman"/>
                <w:sz w:val="18"/>
                <w:szCs w:val="18"/>
              </w:rPr>
            </w:pPr>
          </w:p>
        </w:tc>
        <w:tc>
          <w:tcPr>
            <w:tcW w:w="11051" w:type="dxa"/>
            <w:vMerge/>
          </w:tcPr>
          <w:p w14:paraId="166299D8" w14:textId="77777777" w:rsidR="00A51F5C" w:rsidRPr="00A51F5C" w:rsidRDefault="00A51F5C" w:rsidP="00316350">
            <w:pPr>
              <w:pStyle w:val="ListParagraph"/>
              <w:ind w:left="316"/>
              <w:jc w:val="both"/>
              <w:rPr>
                <w:rFonts w:ascii="Times New Roman" w:hAnsi="Times New Roman" w:cs="Times New Roman"/>
                <w:sz w:val="18"/>
                <w:szCs w:val="18"/>
              </w:rPr>
            </w:pPr>
          </w:p>
        </w:tc>
      </w:tr>
    </w:tbl>
    <w:p w14:paraId="26939FDD" w14:textId="77777777" w:rsidR="00D03F73" w:rsidRPr="00A51F5C" w:rsidRDefault="00D03F73" w:rsidP="000459FB">
      <w:pPr>
        <w:rPr>
          <w:rFonts w:ascii="Times New Roman" w:hAnsi="Times New Roman" w:cs="Times New Roman"/>
        </w:rPr>
      </w:pPr>
    </w:p>
    <w:p w14:paraId="05AC1976" w14:textId="77777777" w:rsidR="007D77CE" w:rsidRPr="007D77CE" w:rsidRDefault="007D77CE" w:rsidP="007D77CE">
      <w:pPr>
        <w:spacing w:after="0"/>
        <w:rPr>
          <w:rFonts w:ascii="Times New Roman" w:hAnsi="Times New Roman" w:cs="Times New Roman"/>
          <w:b/>
        </w:rPr>
      </w:pPr>
    </w:p>
    <w:p w14:paraId="087E2F88" w14:textId="77777777" w:rsidR="007712AB" w:rsidRDefault="007712AB" w:rsidP="007D77CE">
      <w:pPr>
        <w:spacing w:after="0" w:line="480" w:lineRule="auto"/>
        <w:rPr>
          <w:rFonts w:ascii="Times New Roman" w:hAnsi="Times New Roman" w:cs="Times New Roman"/>
          <w:b/>
        </w:rPr>
      </w:pPr>
    </w:p>
    <w:p w14:paraId="1BCB076A" w14:textId="77777777" w:rsidR="00AB185F" w:rsidRDefault="00AB185F" w:rsidP="007D77CE">
      <w:pPr>
        <w:spacing w:after="0" w:line="480" w:lineRule="auto"/>
        <w:rPr>
          <w:rFonts w:ascii="Times New Roman" w:hAnsi="Times New Roman" w:cs="Times New Roman"/>
          <w:b/>
        </w:rPr>
      </w:pPr>
    </w:p>
    <w:p w14:paraId="3659697B" w14:textId="1897F738" w:rsidR="007D77CE" w:rsidRPr="007D77CE" w:rsidRDefault="00A51F5C" w:rsidP="007D77CE">
      <w:pPr>
        <w:spacing w:after="0" w:line="480" w:lineRule="auto"/>
        <w:rPr>
          <w:rFonts w:ascii="Times New Roman" w:hAnsi="Times New Roman" w:cs="Times New Roman"/>
          <w:b/>
        </w:rPr>
      </w:pPr>
      <w:r>
        <w:rPr>
          <w:rFonts w:ascii="Times New Roman" w:hAnsi="Times New Roman" w:cs="Times New Roman"/>
          <w:b/>
        </w:rPr>
        <w:t>Table S3</w:t>
      </w:r>
      <w:r w:rsidR="007D77CE" w:rsidRPr="007D77CE">
        <w:rPr>
          <w:rFonts w:ascii="Times New Roman" w:hAnsi="Times New Roman" w:cs="Times New Roman"/>
          <w:b/>
        </w:rPr>
        <w:t xml:space="preserve">. </w:t>
      </w:r>
      <w:r w:rsidR="007D77CE">
        <w:rPr>
          <w:rFonts w:ascii="Times New Roman" w:hAnsi="Times New Roman" w:cs="Times New Roman"/>
          <w:b/>
        </w:rPr>
        <w:t xml:space="preserve"> </w:t>
      </w:r>
      <w:r w:rsidR="007D77CE" w:rsidRPr="007D77CE">
        <w:rPr>
          <w:rFonts w:ascii="Times New Roman" w:hAnsi="Times New Roman" w:cs="Times New Roman"/>
        </w:rPr>
        <w:t xml:space="preserve">Details of </w:t>
      </w:r>
      <w:r w:rsidR="007D77CE">
        <w:rPr>
          <w:rFonts w:ascii="Times New Roman" w:hAnsi="Times New Roman" w:cs="Times New Roman"/>
        </w:rPr>
        <w:t>the designation of participants in the key informant interviews used to provide key quotes on the current application of management practices for KFD in the field.</w:t>
      </w:r>
    </w:p>
    <w:p w14:paraId="57A92941" w14:textId="77777777" w:rsidR="007D77CE" w:rsidRPr="007D77CE" w:rsidRDefault="007D77CE" w:rsidP="007D77CE">
      <w:pPr>
        <w:spacing w:after="0"/>
        <w:rPr>
          <w:rFonts w:ascii="Times New Roman" w:hAnsi="Times New Roman" w:cs="Times New Roman"/>
        </w:rPr>
      </w:pPr>
    </w:p>
    <w:tbl>
      <w:tblPr>
        <w:tblStyle w:val="TableGrid"/>
        <w:tblW w:w="0" w:type="auto"/>
        <w:tblLook w:val="04A0" w:firstRow="1" w:lastRow="0" w:firstColumn="1" w:lastColumn="0" w:noHBand="0" w:noVBand="1"/>
      </w:tblPr>
      <w:tblGrid>
        <w:gridCol w:w="3487"/>
        <w:gridCol w:w="3171"/>
        <w:gridCol w:w="1701"/>
        <w:gridCol w:w="1984"/>
      </w:tblGrid>
      <w:tr w:rsidR="007D77CE" w:rsidRPr="007D77CE" w14:paraId="5A405343" w14:textId="77777777" w:rsidTr="004F0599">
        <w:tc>
          <w:tcPr>
            <w:tcW w:w="3487" w:type="dxa"/>
          </w:tcPr>
          <w:p w14:paraId="1F307491" w14:textId="77777777" w:rsidR="007D77CE" w:rsidRPr="007D77CE" w:rsidRDefault="007D77CE" w:rsidP="004F0599">
            <w:pPr>
              <w:rPr>
                <w:rFonts w:ascii="Times New Roman" w:hAnsi="Times New Roman" w:cs="Times New Roman"/>
                <w:b/>
              </w:rPr>
            </w:pPr>
            <w:r w:rsidRPr="007D77CE">
              <w:rPr>
                <w:rFonts w:ascii="Times New Roman" w:hAnsi="Times New Roman" w:cs="Times New Roman"/>
                <w:b/>
              </w:rPr>
              <w:t xml:space="preserve">Department </w:t>
            </w:r>
          </w:p>
        </w:tc>
        <w:tc>
          <w:tcPr>
            <w:tcW w:w="3171" w:type="dxa"/>
          </w:tcPr>
          <w:p w14:paraId="20F4B332" w14:textId="77777777" w:rsidR="007D77CE" w:rsidRPr="007D77CE" w:rsidRDefault="007D77CE" w:rsidP="004F0599">
            <w:pPr>
              <w:rPr>
                <w:rFonts w:ascii="Times New Roman" w:hAnsi="Times New Roman" w:cs="Times New Roman"/>
                <w:b/>
              </w:rPr>
            </w:pPr>
            <w:r w:rsidRPr="007D77CE">
              <w:rPr>
                <w:rFonts w:ascii="Times New Roman" w:hAnsi="Times New Roman" w:cs="Times New Roman"/>
                <w:b/>
              </w:rPr>
              <w:t xml:space="preserve">Designation of participants </w:t>
            </w:r>
          </w:p>
        </w:tc>
        <w:tc>
          <w:tcPr>
            <w:tcW w:w="1701" w:type="dxa"/>
          </w:tcPr>
          <w:p w14:paraId="668B5ACE" w14:textId="77777777" w:rsidR="007D77CE" w:rsidRPr="007D77CE" w:rsidRDefault="007D77CE" w:rsidP="004F0599">
            <w:pPr>
              <w:rPr>
                <w:rFonts w:ascii="Times New Roman" w:hAnsi="Times New Roman" w:cs="Times New Roman"/>
                <w:b/>
              </w:rPr>
            </w:pPr>
            <w:r w:rsidRPr="007D77CE">
              <w:rPr>
                <w:rFonts w:ascii="Times New Roman" w:hAnsi="Times New Roman" w:cs="Times New Roman"/>
                <w:b/>
              </w:rPr>
              <w:t xml:space="preserve">Number of participants </w:t>
            </w:r>
          </w:p>
        </w:tc>
        <w:tc>
          <w:tcPr>
            <w:tcW w:w="1984" w:type="dxa"/>
          </w:tcPr>
          <w:p w14:paraId="0B278248" w14:textId="77777777" w:rsidR="007D77CE" w:rsidRPr="007D77CE" w:rsidRDefault="007D77CE" w:rsidP="004F0599">
            <w:pPr>
              <w:rPr>
                <w:rFonts w:ascii="Times New Roman" w:hAnsi="Times New Roman" w:cs="Times New Roman"/>
                <w:b/>
              </w:rPr>
            </w:pPr>
            <w:r w:rsidRPr="007D77CE">
              <w:rPr>
                <w:rFonts w:ascii="Times New Roman" w:hAnsi="Times New Roman" w:cs="Times New Roman"/>
                <w:b/>
              </w:rPr>
              <w:t xml:space="preserve">Level of operation </w:t>
            </w:r>
          </w:p>
          <w:p w14:paraId="05BDB7C9" w14:textId="77777777" w:rsidR="007D77CE" w:rsidRPr="007D77CE" w:rsidRDefault="007D77CE" w:rsidP="004F0599">
            <w:pPr>
              <w:rPr>
                <w:rFonts w:ascii="Times New Roman" w:hAnsi="Times New Roman" w:cs="Times New Roman"/>
                <w:b/>
              </w:rPr>
            </w:pPr>
            <w:r w:rsidRPr="007D77CE">
              <w:rPr>
                <w:rFonts w:ascii="Times New Roman" w:hAnsi="Times New Roman" w:cs="Times New Roman"/>
              </w:rPr>
              <w:t>(</w:t>
            </w:r>
            <w:r w:rsidRPr="007D77CE">
              <w:rPr>
                <w:rFonts w:ascii="Times New Roman" w:eastAsia="Times New Roman" w:hAnsi="Times New Roman" w:cs="Times New Roman"/>
                <w:color w:val="000000"/>
                <w:sz w:val="18"/>
                <w:szCs w:val="18"/>
              </w:rPr>
              <w:t>District /Taluk/ Local)</w:t>
            </w:r>
          </w:p>
        </w:tc>
      </w:tr>
      <w:tr w:rsidR="007D77CE" w:rsidRPr="007D77CE" w14:paraId="326DEB28" w14:textId="77777777" w:rsidTr="004F0599">
        <w:trPr>
          <w:trHeight w:val="67"/>
        </w:trPr>
        <w:tc>
          <w:tcPr>
            <w:tcW w:w="3487" w:type="dxa"/>
            <w:vMerge w:val="restart"/>
          </w:tcPr>
          <w:p w14:paraId="70C728D9"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Animal Husbandry</w:t>
            </w:r>
          </w:p>
        </w:tc>
        <w:tc>
          <w:tcPr>
            <w:tcW w:w="3171" w:type="dxa"/>
          </w:tcPr>
          <w:p w14:paraId="2377022C"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 xml:space="preserve">District officers  </w:t>
            </w:r>
          </w:p>
        </w:tc>
        <w:tc>
          <w:tcPr>
            <w:tcW w:w="1701" w:type="dxa"/>
          </w:tcPr>
          <w:p w14:paraId="279B16D8" w14:textId="77777777" w:rsidR="007D77CE" w:rsidRPr="007D77CE" w:rsidRDefault="007D77CE" w:rsidP="004F0599">
            <w:pPr>
              <w:jc w:val="center"/>
              <w:rPr>
                <w:rFonts w:ascii="Times New Roman" w:hAnsi="Times New Roman" w:cs="Times New Roman"/>
              </w:rPr>
            </w:pPr>
            <w:r w:rsidRPr="007D77CE">
              <w:rPr>
                <w:rFonts w:ascii="Times New Roman" w:hAnsi="Times New Roman" w:cs="Times New Roman"/>
              </w:rPr>
              <w:t>2</w:t>
            </w:r>
          </w:p>
        </w:tc>
        <w:tc>
          <w:tcPr>
            <w:tcW w:w="1984" w:type="dxa"/>
          </w:tcPr>
          <w:p w14:paraId="03C8338A"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 xml:space="preserve">District </w:t>
            </w:r>
          </w:p>
        </w:tc>
      </w:tr>
      <w:tr w:rsidR="007D77CE" w:rsidRPr="007D77CE" w14:paraId="178BC040" w14:textId="77777777" w:rsidTr="004F0599">
        <w:tc>
          <w:tcPr>
            <w:tcW w:w="3487" w:type="dxa"/>
            <w:vMerge/>
          </w:tcPr>
          <w:p w14:paraId="3DE335F2" w14:textId="77777777" w:rsidR="007D77CE" w:rsidRPr="007D77CE" w:rsidRDefault="007D77CE" w:rsidP="004F0599">
            <w:pPr>
              <w:rPr>
                <w:rFonts w:ascii="Times New Roman" w:hAnsi="Times New Roman" w:cs="Times New Roman"/>
              </w:rPr>
            </w:pPr>
          </w:p>
        </w:tc>
        <w:tc>
          <w:tcPr>
            <w:tcW w:w="3171" w:type="dxa"/>
          </w:tcPr>
          <w:p w14:paraId="50996BA4"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Animal health services manager</w:t>
            </w:r>
          </w:p>
        </w:tc>
        <w:tc>
          <w:tcPr>
            <w:tcW w:w="1701" w:type="dxa"/>
          </w:tcPr>
          <w:p w14:paraId="28C34D8B" w14:textId="77777777" w:rsidR="007D77CE" w:rsidRPr="007D77CE" w:rsidRDefault="007D77CE" w:rsidP="004F0599">
            <w:pPr>
              <w:jc w:val="center"/>
              <w:rPr>
                <w:rFonts w:ascii="Times New Roman" w:hAnsi="Times New Roman" w:cs="Times New Roman"/>
              </w:rPr>
            </w:pPr>
            <w:r w:rsidRPr="007D77CE">
              <w:rPr>
                <w:rFonts w:ascii="Times New Roman" w:hAnsi="Times New Roman" w:cs="Times New Roman"/>
              </w:rPr>
              <w:t>1</w:t>
            </w:r>
          </w:p>
        </w:tc>
        <w:tc>
          <w:tcPr>
            <w:tcW w:w="1984" w:type="dxa"/>
          </w:tcPr>
          <w:p w14:paraId="6782949A"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Taluk</w:t>
            </w:r>
          </w:p>
        </w:tc>
      </w:tr>
      <w:tr w:rsidR="007D77CE" w:rsidRPr="007D77CE" w14:paraId="34F59908" w14:textId="77777777" w:rsidTr="004F0599">
        <w:tc>
          <w:tcPr>
            <w:tcW w:w="3487" w:type="dxa"/>
            <w:vMerge/>
          </w:tcPr>
          <w:p w14:paraId="675B04BB" w14:textId="77777777" w:rsidR="007D77CE" w:rsidRPr="007D77CE" w:rsidRDefault="007D77CE" w:rsidP="004F0599">
            <w:pPr>
              <w:rPr>
                <w:rFonts w:ascii="Times New Roman" w:hAnsi="Times New Roman" w:cs="Times New Roman"/>
              </w:rPr>
            </w:pPr>
          </w:p>
        </w:tc>
        <w:tc>
          <w:tcPr>
            <w:tcW w:w="3171" w:type="dxa"/>
          </w:tcPr>
          <w:p w14:paraId="29D15D97"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Taluk official</w:t>
            </w:r>
          </w:p>
        </w:tc>
        <w:tc>
          <w:tcPr>
            <w:tcW w:w="1701" w:type="dxa"/>
          </w:tcPr>
          <w:p w14:paraId="600033A9" w14:textId="77777777" w:rsidR="007D77CE" w:rsidRPr="007D77CE" w:rsidRDefault="007D77CE" w:rsidP="004F0599">
            <w:pPr>
              <w:jc w:val="center"/>
              <w:rPr>
                <w:rFonts w:ascii="Times New Roman" w:hAnsi="Times New Roman" w:cs="Times New Roman"/>
              </w:rPr>
            </w:pPr>
            <w:r w:rsidRPr="007D77CE">
              <w:rPr>
                <w:rFonts w:ascii="Times New Roman" w:hAnsi="Times New Roman" w:cs="Times New Roman"/>
              </w:rPr>
              <w:t>1</w:t>
            </w:r>
          </w:p>
        </w:tc>
        <w:tc>
          <w:tcPr>
            <w:tcW w:w="1984" w:type="dxa"/>
          </w:tcPr>
          <w:p w14:paraId="02CAB104"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 xml:space="preserve">Taluk </w:t>
            </w:r>
          </w:p>
        </w:tc>
      </w:tr>
      <w:tr w:rsidR="007D77CE" w:rsidRPr="007D77CE" w14:paraId="5F4349B6" w14:textId="77777777" w:rsidTr="004F0599">
        <w:tc>
          <w:tcPr>
            <w:tcW w:w="3487" w:type="dxa"/>
            <w:vMerge w:val="restart"/>
          </w:tcPr>
          <w:p w14:paraId="4CFC92B0"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Health &amp; Family Welfare</w:t>
            </w:r>
          </w:p>
        </w:tc>
        <w:tc>
          <w:tcPr>
            <w:tcW w:w="3171" w:type="dxa"/>
          </w:tcPr>
          <w:p w14:paraId="10943F0F"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 xml:space="preserve">District health officials </w:t>
            </w:r>
          </w:p>
        </w:tc>
        <w:tc>
          <w:tcPr>
            <w:tcW w:w="1701" w:type="dxa"/>
          </w:tcPr>
          <w:p w14:paraId="2243E31D" w14:textId="77777777" w:rsidR="007D77CE" w:rsidRPr="007D77CE" w:rsidRDefault="007D77CE" w:rsidP="004F0599">
            <w:pPr>
              <w:jc w:val="center"/>
              <w:rPr>
                <w:rFonts w:ascii="Times New Roman" w:hAnsi="Times New Roman" w:cs="Times New Roman"/>
              </w:rPr>
            </w:pPr>
            <w:r w:rsidRPr="007D77CE">
              <w:rPr>
                <w:rFonts w:ascii="Times New Roman" w:hAnsi="Times New Roman" w:cs="Times New Roman"/>
              </w:rPr>
              <w:t>5</w:t>
            </w:r>
          </w:p>
        </w:tc>
        <w:tc>
          <w:tcPr>
            <w:tcW w:w="1984" w:type="dxa"/>
          </w:tcPr>
          <w:p w14:paraId="216CA003"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 xml:space="preserve">District </w:t>
            </w:r>
          </w:p>
        </w:tc>
      </w:tr>
      <w:tr w:rsidR="007D77CE" w:rsidRPr="007D77CE" w14:paraId="1ECBBF51" w14:textId="77777777" w:rsidTr="004F0599">
        <w:tc>
          <w:tcPr>
            <w:tcW w:w="3487" w:type="dxa"/>
            <w:vMerge/>
          </w:tcPr>
          <w:p w14:paraId="336FB4EB" w14:textId="77777777" w:rsidR="007D77CE" w:rsidRPr="007D77CE" w:rsidRDefault="007D77CE" w:rsidP="004F0599">
            <w:pPr>
              <w:rPr>
                <w:rFonts w:ascii="Times New Roman" w:hAnsi="Times New Roman" w:cs="Times New Roman"/>
              </w:rPr>
            </w:pPr>
          </w:p>
        </w:tc>
        <w:tc>
          <w:tcPr>
            <w:tcW w:w="3171" w:type="dxa"/>
          </w:tcPr>
          <w:p w14:paraId="5F7C6121"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Senior health worker</w:t>
            </w:r>
          </w:p>
        </w:tc>
        <w:tc>
          <w:tcPr>
            <w:tcW w:w="1701" w:type="dxa"/>
          </w:tcPr>
          <w:p w14:paraId="41A70CF3" w14:textId="77777777" w:rsidR="007D77CE" w:rsidRPr="007D77CE" w:rsidRDefault="007D77CE" w:rsidP="004F0599">
            <w:pPr>
              <w:jc w:val="center"/>
              <w:rPr>
                <w:rFonts w:ascii="Times New Roman" w:hAnsi="Times New Roman" w:cs="Times New Roman"/>
              </w:rPr>
            </w:pPr>
            <w:r w:rsidRPr="007D77CE">
              <w:rPr>
                <w:rFonts w:ascii="Times New Roman" w:hAnsi="Times New Roman" w:cs="Times New Roman"/>
              </w:rPr>
              <w:t>1</w:t>
            </w:r>
          </w:p>
        </w:tc>
        <w:tc>
          <w:tcPr>
            <w:tcW w:w="1984" w:type="dxa"/>
          </w:tcPr>
          <w:p w14:paraId="40A89793"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Taluk</w:t>
            </w:r>
          </w:p>
        </w:tc>
      </w:tr>
      <w:tr w:rsidR="007D77CE" w:rsidRPr="007D77CE" w14:paraId="46BB7991" w14:textId="77777777" w:rsidTr="004F0599">
        <w:tc>
          <w:tcPr>
            <w:tcW w:w="3487" w:type="dxa"/>
            <w:vMerge/>
          </w:tcPr>
          <w:p w14:paraId="097742E6" w14:textId="77777777" w:rsidR="007D77CE" w:rsidRPr="007D77CE" w:rsidRDefault="007D77CE" w:rsidP="004F0599">
            <w:pPr>
              <w:rPr>
                <w:rFonts w:ascii="Times New Roman" w:hAnsi="Times New Roman" w:cs="Times New Roman"/>
              </w:rPr>
            </w:pPr>
          </w:p>
        </w:tc>
        <w:tc>
          <w:tcPr>
            <w:tcW w:w="3171" w:type="dxa"/>
          </w:tcPr>
          <w:p w14:paraId="3F4E1512"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Medical officer</w:t>
            </w:r>
          </w:p>
        </w:tc>
        <w:tc>
          <w:tcPr>
            <w:tcW w:w="1701" w:type="dxa"/>
          </w:tcPr>
          <w:p w14:paraId="318B3120" w14:textId="77777777" w:rsidR="007D77CE" w:rsidRPr="007D77CE" w:rsidRDefault="007D77CE" w:rsidP="004F0599">
            <w:pPr>
              <w:jc w:val="center"/>
              <w:rPr>
                <w:rFonts w:ascii="Times New Roman" w:hAnsi="Times New Roman" w:cs="Times New Roman"/>
              </w:rPr>
            </w:pPr>
            <w:r w:rsidRPr="007D77CE">
              <w:rPr>
                <w:rFonts w:ascii="Times New Roman" w:hAnsi="Times New Roman" w:cs="Times New Roman"/>
              </w:rPr>
              <w:t>1</w:t>
            </w:r>
          </w:p>
        </w:tc>
        <w:tc>
          <w:tcPr>
            <w:tcW w:w="1984" w:type="dxa"/>
          </w:tcPr>
          <w:p w14:paraId="43E86D72"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 xml:space="preserve">Local </w:t>
            </w:r>
          </w:p>
        </w:tc>
      </w:tr>
      <w:tr w:rsidR="007D77CE" w:rsidRPr="007D77CE" w14:paraId="3FEB9B85" w14:textId="77777777" w:rsidTr="004F0599">
        <w:tc>
          <w:tcPr>
            <w:tcW w:w="3487" w:type="dxa"/>
          </w:tcPr>
          <w:p w14:paraId="213390A3" w14:textId="77777777" w:rsidR="007D77CE" w:rsidRPr="007D77CE" w:rsidRDefault="007D77CE" w:rsidP="004F0599">
            <w:pPr>
              <w:rPr>
                <w:rFonts w:ascii="Times New Roman" w:hAnsi="Times New Roman" w:cs="Times New Roman"/>
              </w:rPr>
            </w:pPr>
            <w:r w:rsidRPr="007D77CE">
              <w:rPr>
                <w:rFonts w:ascii="Times New Roman" w:hAnsi="Times New Roman" w:cs="Times New Roman"/>
              </w:rPr>
              <w:t xml:space="preserve">Total </w:t>
            </w:r>
          </w:p>
        </w:tc>
        <w:tc>
          <w:tcPr>
            <w:tcW w:w="3171" w:type="dxa"/>
          </w:tcPr>
          <w:p w14:paraId="52407257" w14:textId="77777777" w:rsidR="007D77CE" w:rsidRPr="007D77CE" w:rsidRDefault="007D77CE" w:rsidP="004F0599">
            <w:pPr>
              <w:rPr>
                <w:rFonts w:ascii="Times New Roman" w:hAnsi="Times New Roman" w:cs="Times New Roman"/>
              </w:rPr>
            </w:pPr>
          </w:p>
        </w:tc>
        <w:tc>
          <w:tcPr>
            <w:tcW w:w="1701" w:type="dxa"/>
          </w:tcPr>
          <w:p w14:paraId="0D6F4522" w14:textId="77777777" w:rsidR="007D77CE" w:rsidRPr="007D77CE" w:rsidRDefault="007D77CE" w:rsidP="004F0599">
            <w:pPr>
              <w:jc w:val="center"/>
              <w:rPr>
                <w:rFonts w:ascii="Times New Roman" w:hAnsi="Times New Roman" w:cs="Times New Roman"/>
              </w:rPr>
            </w:pPr>
            <w:r w:rsidRPr="007D77CE">
              <w:rPr>
                <w:rFonts w:ascii="Times New Roman" w:hAnsi="Times New Roman" w:cs="Times New Roman"/>
              </w:rPr>
              <w:t>11</w:t>
            </w:r>
          </w:p>
        </w:tc>
        <w:tc>
          <w:tcPr>
            <w:tcW w:w="1984" w:type="dxa"/>
          </w:tcPr>
          <w:p w14:paraId="00BBCE72" w14:textId="77777777" w:rsidR="007D77CE" w:rsidRPr="007D77CE" w:rsidRDefault="007D77CE" w:rsidP="004F0599">
            <w:pPr>
              <w:rPr>
                <w:rFonts w:ascii="Times New Roman" w:hAnsi="Times New Roman" w:cs="Times New Roman"/>
              </w:rPr>
            </w:pPr>
          </w:p>
        </w:tc>
      </w:tr>
    </w:tbl>
    <w:p w14:paraId="4CBA0852" w14:textId="77777777" w:rsidR="007D77CE" w:rsidRPr="007D77CE" w:rsidRDefault="007D77CE" w:rsidP="007D77CE">
      <w:pPr>
        <w:spacing w:after="0"/>
        <w:rPr>
          <w:rFonts w:ascii="Times New Roman" w:hAnsi="Times New Roman" w:cs="Times New Roman"/>
        </w:rPr>
      </w:pPr>
    </w:p>
    <w:p w14:paraId="779BDE55" w14:textId="77777777" w:rsidR="003A00AB" w:rsidRDefault="003A00AB">
      <w:pPr>
        <w:rPr>
          <w:rFonts w:ascii="Times New Roman" w:hAnsi="Times New Roman" w:cs="Times New Roman"/>
          <w:b/>
          <w:sz w:val="24"/>
          <w:szCs w:val="24"/>
        </w:rPr>
      </w:pPr>
      <w:r>
        <w:rPr>
          <w:rFonts w:ascii="Times New Roman" w:hAnsi="Times New Roman" w:cs="Times New Roman"/>
          <w:b/>
          <w:sz w:val="24"/>
          <w:szCs w:val="24"/>
        </w:rPr>
        <w:br w:type="page"/>
      </w:r>
    </w:p>
    <w:p w14:paraId="2F440599" w14:textId="1ED1F475" w:rsidR="00665737" w:rsidRDefault="007D77CE" w:rsidP="00083FB6">
      <w:pPr>
        <w:spacing w:line="480" w:lineRule="auto"/>
        <w:jc w:val="both"/>
        <w:rPr>
          <w:rFonts w:ascii="Times New Roman" w:hAnsi="Times New Roman" w:cs="Times New Roman"/>
          <w:sz w:val="24"/>
          <w:szCs w:val="24"/>
        </w:rPr>
      </w:pPr>
      <w:r w:rsidRPr="007D77CE">
        <w:rPr>
          <w:rFonts w:ascii="Times New Roman" w:hAnsi="Times New Roman" w:cs="Times New Roman"/>
          <w:b/>
          <w:sz w:val="24"/>
          <w:szCs w:val="24"/>
        </w:rPr>
        <w:lastRenderedPageBreak/>
        <w:t>Table</w:t>
      </w:r>
      <w:r w:rsidR="00A51F5C">
        <w:rPr>
          <w:rFonts w:ascii="Times New Roman" w:hAnsi="Times New Roman" w:cs="Times New Roman"/>
          <w:b/>
          <w:sz w:val="24"/>
          <w:szCs w:val="24"/>
        </w:rPr>
        <w:t xml:space="preserve"> S4</w:t>
      </w:r>
      <w:r w:rsidR="00083FB6" w:rsidRPr="007D77CE">
        <w:rPr>
          <w:rFonts w:ascii="Times New Roman" w:hAnsi="Times New Roman" w:cs="Times New Roman"/>
          <w:b/>
          <w:sz w:val="24"/>
          <w:szCs w:val="24"/>
        </w:rPr>
        <w:t xml:space="preserve"> </w:t>
      </w:r>
      <w:r w:rsidR="00083FB6" w:rsidRPr="007D77CE">
        <w:rPr>
          <w:rFonts w:ascii="Times New Roman" w:hAnsi="Times New Roman" w:cs="Times New Roman"/>
          <w:sz w:val="24"/>
          <w:szCs w:val="24"/>
        </w:rPr>
        <w:t xml:space="preserve">Examples of key </w:t>
      </w:r>
      <w:r w:rsidR="0069549B" w:rsidRPr="007D77CE">
        <w:rPr>
          <w:rFonts w:ascii="Times New Roman" w:hAnsi="Times New Roman" w:cs="Times New Roman"/>
          <w:sz w:val="24"/>
          <w:szCs w:val="24"/>
        </w:rPr>
        <w:t xml:space="preserve">ecological </w:t>
      </w:r>
      <w:r w:rsidR="00083FB6" w:rsidRPr="007D77CE">
        <w:rPr>
          <w:rFonts w:ascii="Times New Roman" w:hAnsi="Times New Roman" w:cs="Times New Roman"/>
          <w:sz w:val="24"/>
          <w:szCs w:val="24"/>
        </w:rPr>
        <w:t>questions posed to researchers by practitioners in the 2018-19 and 2019-20 seasons for human KFD cases. We highlight the current knowledge gap that needs to be addressed in order to address each question and whether empirical data are currently being collected as part of the MonkeyFeverRisk project to provide evidence to fill this knowledge gap.</w:t>
      </w:r>
    </w:p>
    <w:tbl>
      <w:tblPr>
        <w:tblStyle w:val="TableGrid"/>
        <w:tblW w:w="0" w:type="auto"/>
        <w:tblLook w:val="04A0" w:firstRow="1" w:lastRow="0" w:firstColumn="1" w:lastColumn="0" w:noHBand="0" w:noVBand="1"/>
      </w:tblPr>
      <w:tblGrid>
        <w:gridCol w:w="4277"/>
        <w:gridCol w:w="4271"/>
        <w:gridCol w:w="4402"/>
      </w:tblGrid>
      <w:tr w:rsidR="00665737" w14:paraId="194A2CA6" w14:textId="77777777" w:rsidTr="00E97A5B">
        <w:trPr>
          <w:cantSplit/>
          <w:tblHeader/>
        </w:trPr>
        <w:tc>
          <w:tcPr>
            <w:tcW w:w="5129" w:type="dxa"/>
          </w:tcPr>
          <w:p w14:paraId="6B2B367E" w14:textId="3914F5B6" w:rsidR="00665737" w:rsidRDefault="00665737" w:rsidP="00E97A5B">
            <w:pPr>
              <w:jc w:val="both"/>
              <w:rPr>
                <w:rFonts w:ascii="Times New Roman" w:hAnsi="Times New Roman" w:cs="Times New Roman"/>
                <w:sz w:val="24"/>
                <w:szCs w:val="24"/>
              </w:rPr>
            </w:pPr>
            <w:r w:rsidRPr="00665737">
              <w:rPr>
                <w:rFonts w:ascii="Times New Roman" w:hAnsi="Times New Roman" w:cs="Times New Roman"/>
                <w:b/>
              </w:rPr>
              <w:t>Key Questions identified via Whatsapp</w:t>
            </w:r>
          </w:p>
        </w:tc>
        <w:tc>
          <w:tcPr>
            <w:tcW w:w="5129" w:type="dxa"/>
          </w:tcPr>
          <w:p w14:paraId="73D671D0" w14:textId="74232719" w:rsidR="00665737" w:rsidRDefault="00665737" w:rsidP="00E97A5B">
            <w:pPr>
              <w:jc w:val="both"/>
              <w:rPr>
                <w:rFonts w:ascii="Times New Roman" w:hAnsi="Times New Roman" w:cs="Times New Roman"/>
                <w:sz w:val="24"/>
                <w:szCs w:val="24"/>
              </w:rPr>
            </w:pPr>
            <w:r w:rsidRPr="00665737">
              <w:rPr>
                <w:rFonts w:ascii="Times New Roman" w:hAnsi="Times New Roman" w:cs="Times New Roman"/>
                <w:b/>
              </w:rPr>
              <w:t>Research that is needed to answer question and address knowledge gap</w:t>
            </w:r>
          </w:p>
        </w:tc>
        <w:tc>
          <w:tcPr>
            <w:tcW w:w="5130" w:type="dxa"/>
          </w:tcPr>
          <w:p w14:paraId="04D92417" w14:textId="039FDE13" w:rsidR="00665737" w:rsidRDefault="00665737" w:rsidP="00E97A5B">
            <w:pPr>
              <w:jc w:val="both"/>
              <w:rPr>
                <w:rFonts w:ascii="Times New Roman" w:hAnsi="Times New Roman" w:cs="Times New Roman"/>
                <w:sz w:val="24"/>
                <w:szCs w:val="24"/>
              </w:rPr>
            </w:pPr>
            <w:r w:rsidRPr="00665737">
              <w:rPr>
                <w:rFonts w:ascii="Times New Roman" w:hAnsi="Times New Roman" w:cs="Times New Roman"/>
                <w:b/>
              </w:rPr>
              <w:t>Details of relevant data collection from MonkeyFeverRisk project</w:t>
            </w:r>
          </w:p>
        </w:tc>
      </w:tr>
      <w:tr w:rsidR="00E97A5B" w14:paraId="31BE27A6" w14:textId="77777777" w:rsidTr="00E97A5B">
        <w:trPr>
          <w:cantSplit/>
        </w:trPr>
        <w:tc>
          <w:tcPr>
            <w:tcW w:w="5129" w:type="dxa"/>
          </w:tcPr>
          <w:p w14:paraId="301F6696" w14:textId="77777777" w:rsidR="00E97A5B" w:rsidRPr="007D77CE" w:rsidRDefault="00E97A5B" w:rsidP="00E97A5B">
            <w:pPr>
              <w:jc w:val="both"/>
              <w:rPr>
                <w:rFonts w:ascii="Times New Roman" w:hAnsi="Times New Roman" w:cs="Times New Roman"/>
              </w:rPr>
            </w:pPr>
            <w:r w:rsidRPr="007D77CE">
              <w:rPr>
                <w:rFonts w:ascii="Times New Roman" w:hAnsi="Times New Roman" w:cs="Times New Roman"/>
              </w:rPr>
              <w:t xml:space="preserve">Dry leaves are transported from forest areas to be used as crop fertilizer 12 km distant: is there any evidence that such leaf litter harbours ticks and what alternatives would be advised? </w:t>
            </w:r>
          </w:p>
          <w:p w14:paraId="3FAF4509" w14:textId="77777777" w:rsidR="00E97A5B" w:rsidRPr="007D77CE" w:rsidRDefault="00E97A5B" w:rsidP="00E97A5B">
            <w:pPr>
              <w:jc w:val="both"/>
              <w:rPr>
                <w:rFonts w:ascii="Times New Roman" w:hAnsi="Times New Roman" w:cs="Times New Roman"/>
              </w:rPr>
            </w:pPr>
          </w:p>
          <w:p w14:paraId="41F83B1E" w14:textId="77777777" w:rsidR="00E97A5B" w:rsidRPr="007D77CE" w:rsidRDefault="00E97A5B" w:rsidP="00E97A5B">
            <w:pPr>
              <w:jc w:val="both"/>
              <w:rPr>
                <w:rFonts w:ascii="Times New Roman" w:hAnsi="Times New Roman" w:cs="Times New Roman"/>
              </w:rPr>
            </w:pPr>
            <w:r w:rsidRPr="007D77CE">
              <w:rPr>
                <w:rFonts w:ascii="Times New Roman" w:hAnsi="Times New Roman" w:cs="Times New Roman"/>
              </w:rPr>
              <w:t>Dry leaves is a organic fertilizer villagers use, what alternative you advise. Is there any scientific work on this fertilizer having ticks? Villagers are already under lots of stress. If you really has done tick collection from this fertilizer it's okay</w:t>
            </w:r>
          </w:p>
          <w:p w14:paraId="4D9F88D0" w14:textId="77777777" w:rsidR="00E97A5B" w:rsidRDefault="00E97A5B" w:rsidP="00E97A5B">
            <w:pPr>
              <w:jc w:val="both"/>
              <w:rPr>
                <w:rFonts w:ascii="Times New Roman" w:hAnsi="Times New Roman" w:cs="Times New Roman"/>
                <w:sz w:val="24"/>
                <w:szCs w:val="24"/>
              </w:rPr>
            </w:pPr>
          </w:p>
        </w:tc>
        <w:tc>
          <w:tcPr>
            <w:tcW w:w="5129" w:type="dxa"/>
          </w:tcPr>
          <w:p w14:paraId="7C50695A" w14:textId="6B00C75C" w:rsidR="00E97A5B" w:rsidRDefault="00E97A5B" w:rsidP="00E97A5B">
            <w:pPr>
              <w:jc w:val="both"/>
              <w:rPr>
                <w:rFonts w:ascii="Times New Roman" w:hAnsi="Times New Roman" w:cs="Times New Roman"/>
                <w:sz w:val="24"/>
                <w:szCs w:val="24"/>
              </w:rPr>
            </w:pPr>
            <w:r w:rsidRPr="007D77CE">
              <w:rPr>
                <w:rFonts w:ascii="Times New Roman" w:hAnsi="Times New Roman" w:cs="Times New Roman"/>
              </w:rPr>
              <w:t>(Need to) quantify abundance and infection rates of ticks found in different types of dry leaf litter used for animal fodder and bedding, under different treatments in villages (Research Priority 6, Table 2).</w:t>
            </w:r>
          </w:p>
        </w:tc>
        <w:tc>
          <w:tcPr>
            <w:tcW w:w="5130" w:type="dxa"/>
          </w:tcPr>
          <w:p w14:paraId="33E6A113" w14:textId="17ED0FFB" w:rsidR="00E97A5B" w:rsidRDefault="00E97A5B" w:rsidP="00E97A5B">
            <w:pPr>
              <w:jc w:val="both"/>
              <w:rPr>
                <w:rFonts w:ascii="Times New Roman" w:hAnsi="Times New Roman" w:cs="Times New Roman"/>
                <w:sz w:val="24"/>
                <w:szCs w:val="24"/>
              </w:rPr>
            </w:pPr>
            <w:r w:rsidRPr="007D77CE">
              <w:rPr>
                <w:rFonts w:ascii="Times New Roman" w:hAnsi="Times New Roman" w:cs="Times New Roman"/>
              </w:rPr>
              <w:t>Tick sampling (by dragging and flagging) was undertaken from leaf litter collected as fodder, animal bedding and fertilizer for both fresh leaf litter and leaf litter that had been stored for varying lengths of time. Taxonomic identification and assessment of KFDV infection of tick samples is currently being undertaken.</w:t>
            </w:r>
          </w:p>
        </w:tc>
      </w:tr>
      <w:tr w:rsidR="00E97A5B" w14:paraId="1CB3DEF7" w14:textId="77777777" w:rsidTr="00E97A5B">
        <w:trPr>
          <w:cantSplit/>
        </w:trPr>
        <w:tc>
          <w:tcPr>
            <w:tcW w:w="5129" w:type="dxa"/>
          </w:tcPr>
          <w:p w14:paraId="6703EBA9" w14:textId="18F3DD9D" w:rsidR="00E97A5B" w:rsidRDefault="00E97A5B" w:rsidP="00E97A5B">
            <w:pPr>
              <w:jc w:val="both"/>
              <w:rPr>
                <w:rFonts w:ascii="Times New Roman" w:hAnsi="Times New Roman" w:cs="Times New Roman"/>
                <w:sz w:val="24"/>
                <w:szCs w:val="24"/>
              </w:rPr>
            </w:pPr>
            <w:r w:rsidRPr="007D77CE">
              <w:rPr>
                <w:rFonts w:ascii="Times New Roman" w:hAnsi="Times New Roman" w:cs="Times New Roman"/>
              </w:rPr>
              <w:lastRenderedPageBreak/>
              <w:t>A monkey sanctuary was planned to be set up within the Shimogga district, within endemic KFD area, to deal with problem monkeys (destroying crops and buildings): what if monkeys were infected with KFDV? What adverse effects could the monkey sanctuary have on other primates in the area?</w:t>
            </w:r>
          </w:p>
        </w:tc>
        <w:tc>
          <w:tcPr>
            <w:tcW w:w="5129" w:type="dxa"/>
          </w:tcPr>
          <w:p w14:paraId="1C74A2DD" w14:textId="2F938B01" w:rsidR="00E97A5B" w:rsidRDefault="00E97A5B" w:rsidP="00E97A5B">
            <w:pPr>
              <w:jc w:val="both"/>
              <w:rPr>
                <w:rFonts w:ascii="Times New Roman" w:hAnsi="Times New Roman" w:cs="Times New Roman"/>
                <w:sz w:val="24"/>
                <w:szCs w:val="24"/>
              </w:rPr>
            </w:pPr>
            <w:r w:rsidRPr="007D77CE">
              <w:rPr>
                <w:rFonts w:ascii="Times New Roman" w:hAnsi="Times New Roman" w:cs="Times New Roman"/>
              </w:rPr>
              <w:t>Determine the role of dead and dying monkeys in generating hotspots of transmission. Need to determine role of live monkeys in KFDV transmission through infection of larvae via systemic circulation and/or supporting co-feeding between nymphs and larvae: quantify burdens, age structure, feeding history, and infection rates of ticks found on live monkeys, small mammals, and nearby habitats and people at the same time as measuring host infection levels. If monkeys are confirmed as important amplifying hosts for KFDV and contributing to transmission to humans, quantify their habitat associations, movement rates and interactions with people across agro-forest landscapes (Research Priorities 10, 11 and 13, Table 2).</w:t>
            </w:r>
          </w:p>
        </w:tc>
        <w:tc>
          <w:tcPr>
            <w:tcW w:w="5130" w:type="dxa"/>
          </w:tcPr>
          <w:p w14:paraId="4198C46A" w14:textId="4A4878C2" w:rsidR="00E97A5B" w:rsidRDefault="00E97A5B" w:rsidP="00E97A5B">
            <w:pPr>
              <w:jc w:val="both"/>
              <w:rPr>
                <w:rFonts w:ascii="Times New Roman" w:hAnsi="Times New Roman" w:cs="Times New Roman"/>
                <w:sz w:val="24"/>
                <w:szCs w:val="24"/>
              </w:rPr>
            </w:pPr>
            <w:r w:rsidRPr="007D77CE">
              <w:rPr>
                <w:rFonts w:ascii="Times New Roman" w:hAnsi="Times New Roman" w:cs="Times New Roman"/>
              </w:rPr>
              <w:t>Ticks were sampled in a robust, stratified way across habitats, including areas close to the sites of monkey deaths in order to ascertain whether monkeys represent hot-spots of infection risk or whether they may be acting as sentinels of risk across a broader area of habitat. Laboratory processing of samples (species identification and KFDV-testing of ticks) is currently being undertaken.</w:t>
            </w:r>
          </w:p>
        </w:tc>
      </w:tr>
      <w:tr w:rsidR="00E97A5B" w14:paraId="02CC28C1" w14:textId="77777777" w:rsidTr="00E97A5B">
        <w:trPr>
          <w:cantSplit/>
        </w:trPr>
        <w:tc>
          <w:tcPr>
            <w:tcW w:w="5129" w:type="dxa"/>
          </w:tcPr>
          <w:p w14:paraId="2B2B4EE9" w14:textId="77777777" w:rsidR="00E97A5B" w:rsidRPr="007D77CE" w:rsidRDefault="00E97A5B" w:rsidP="00E97A5B">
            <w:pPr>
              <w:jc w:val="both"/>
              <w:rPr>
                <w:rFonts w:ascii="Times New Roman" w:hAnsi="Times New Roman" w:cs="Times New Roman"/>
              </w:rPr>
            </w:pPr>
            <w:r w:rsidRPr="007D77CE">
              <w:rPr>
                <w:rFonts w:ascii="Times New Roman" w:hAnsi="Times New Roman" w:cs="Times New Roman"/>
              </w:rPr>
              <w:t>Guidelines for Malathion dusting</w:t>
            </w:r>
          </w:p>
          <w:p w14:paraId="3B7D7602" w14:textId="77777777" w:rsidR="00E97A5B" w:rsidRDefault="00E97A5B" w:rsidP="00E97A5B">
            <w:pPr>
              <w:jc w:val="both"/>
              <w:rPr>
                <w:rFonts w:ascii="Times New Roman" w:hAnsi="Times New Roman" w:cs="Times New Roman"/>
                <w:sz w:val="24"/>
                <w:szCs w:val="24"/>
              </w:rPr>
            </w:pPr>
          </w:p>
        </w:tc>
        <w:tc>
          <w:tcPr>
            <w:tcW w:w="5129" w:type="dxa"/>
          </w:tcPr>
          <w:p w14:paraId="5725011E" w14:textId="377F170A" w:rsidR="00E97A5B" w:rsidRDefault="00E97A5B" w:rsidP="00E97A5B">
            <w:pPr>
              <w:jc w:val="both"/>
              <w:rPr>
                <w:rFonts w:ascii="Times New Roman" w:hAnsi="Times New Roman" w:cs="Times New Roman"/>
                <w:sz w:val="24"/>
                <w:szCs w:val="24"/>
              </w:rPr>
            </w:pPr>
            <w:r w:rsidRPr="007D77CE">
              <w:rPr>
                <w:rFonts w:ascii="Times New Roman" w:hAnsi="Times New Roman" w:cs="Times New Roman"/>
              </w:rPr>
              <w:t>Determine the role of dead and dying monkeys in generating hotspots of transmission. Need to determine role of live monkeys in KFDV transmission through infection of larvae via systemic circulation and/or supporting co-feeding between nymphs and larvae: quantify burdens, age structure, feeding history, and infection rates of ticks found on live monkeys, small mammals, and nearby habitats and people at the same time as measuring host infection levels. If monkeys are confirmed as important amplifying hosts for KFDV and contributing to transmission to humans, quantify their habitat associations, movement rates and interactions with people across agro-forest landscapes (Research Priorities 10, 11 and 13, Table 2).</w:t>
            </w:r>
          </w:p>
        </w:tc>
        <w:tc>
          <w:tcPr>
            <w:tcW w:w="5130" w:type="dxa"/>
          </w:tcPr>
          <w:p w14:paraId="41A8C64C" w14:textId="21A39EAB" w:rsidR="00E97A5B" w:rsidRDefault="00E97A5B" w:rsidP="00E97A5B">
            <w:pPr>
              <w:jc w:val="both"/>
              <w:rPr>
                <w:rFonts w:ascii="Times New Roman" w:hAnsi="Times New Roman" w:cs="Times New Roman"/>
                <w:sz w:val="24"/>
                <w:szCs w:val="24"/>
              </w:rPr>
            </w:pPr>
            <w:r w:rsidRPr="007D77CE">
              <w:rPr>
                <w:rFonts w:ascii="Times New Roman" w:hAnsi="Times New Roman" w:cs="Times New Roman"/>
              </w:rPr>
              <w:t>We did not produce guidelines for this. Current management guidelines stipulate that malathion dusting should be undertaken within 50 feet of an area where a monkey has died. However, this is predilected on the assumption that the area close to monkey deaths is the main focus of risk from infected tick bites, whereas it is possible that the scale of risk is broader. In order to address this ticks were sampled in a robust, stratified way across habitats, including areas close to the sites of monkey deaths in order to ascertain whether monkeys represent hot-spots of infection risk or whether they may be acting as sentinels of risk across a broader area of habitat. Laboratory processing of samples (species identification and KFDV-testing of ticks) is currently being undertaken.</w:t>
            </w:r>
          </w:p>
        </w:tc>
      </w:tr>
      <w:tr w:rsidR="00E97A5B" w14:paraId="13333BAD" w14:textId="77777777" w:rsidTr="00E97A5B">
        <w:trPr>
          <w:cantSplit/>
        </w:trPr>
        <w:tc>
          <w:tcPr>
            <w:tcW w:w="5129" w:type="dxa"/>
          </w:tcPr>
          <w:p w14:paraId="6D44311A" w14:textId="5E898156" w:rsidR="00E97A5B" w:rsidRDefault="00E97A5B" w:rsidP="00E97A5B">
            <w:pPr>
              <w:jc w:val="both"/>
              <w:rPr>
                <w:rFonts w:ascii="Times New Roman" w:hAnsi="Times New Roman" w:cs="Times New Roman"/>
                <w:sz w:val="24"/>
                <w:szCs w:val="24"/>
              </w:rPr>
            </w:pPr>
            <w:r w:rsidRPr="007D77CE">
              <w:rPr>
                <w:rFonts w:ascii="Times New Roman" w:hAnsi="Times New Roman" w:cs="Times New Roman"/>
              </w:rPr>
              <w:lastRenderedPageBreak/>
              <w:t xml:space="preserve">Request for certain Standard Operating Procedures from the stakeholders, for </w:t>
            </w:r>
            <w:r w:rsidR="003A00AB">
              <w:rPr>
                <w:rFonts w:ascii="Times New Roman" w:hAnsi="Times New Roman" w:cs="Times New Roman"/>
              </w:rPr>
              <w:t>c</w:t>
            </w:r>
            <w:r w:rsidRPr="007D77CE">
              <w:rPr>
                <w:rFonts w:ascii="Times New Roman" w:hAnsi="Times New Roman" w:cs="Times New Roman"/>
              </w:rPr>
              <w:t>linical management of KFD, for outbreak investigation, for monkey autopsy, for drag and flag for tick surveillance were requested.</w:t>
            </w:r>
          </w:p>
        </w:tc>
        <w:tc>
          <w:tcPr>
            <w:tcW w:w="5129" w:type="dxa"/>
          </w:tcPr>
          <w:p w14:paraId="6C1CAD1A" w14:textId="0B1985CE" w:rsidR="00E97A5B" w:rsidRDefault="00E97A5B" w:rsidP="00E97A5B">
            <w:pPr>
              <w:jc w:val="both"/>
              <w:rPr>
                <w:rFonts w:ascii="Times New Roman" w:hAnsi="Times New Roman" w:cs="Times New Roman"/>
                <w:sz w:val="24"/>
                <w:szCs w:val="24"/>
              </w:rPr>
            </w:pPr>
            <w:r>
              <w:rPr>
                <w:rFonts w:ascii="Times New Roman" w:hAnsi="Times New Roman" w:cs="Times New Roman"/>
              </w:rPr>
              <w:t>NA</w:t>
            </w:r>
          </w:p>
        </w:tc>
        <w:tc>
          <w:tcPr>
            <w:tcW w:w="5130" w:type="dxa"/>
          </w:tcPr>
          <w:p w14:paraId="2329BC8D" w14:textId="6D2EE46F" w:rsidR="00E97A5B" w:rsidRDefault="00E97A5B" w:rsidP="00E97A5B">
            <w:pPr>
              <w:jc w:val="both"/>
              <w:rPr>
                <w:rFonts w:ascii="Times New Roman" w:hAnsi="Times New Roman" w:cs="Times New Roman"/>
                <w:sz w:val="24"/>
                <w:szCs w:val="24"/>
              </w:rPr>
            </w:pPr>
            <w:r w:rsidRPr="007D77CE">
              <w:rPr>
                <w:rFonts w:ascii="Times New Roman" w:hAnsi="Times New Roman" w:cs="Times New Roman"/>
              </w:rPr>
              <w:t>We have developed videos illustrating good practice for sampling ticks from the environment via dragging and flagging in order to provide guidance for tick surveillance. It is imperative to engage with stakeholders in order to establish the purposes of surveillance before devising clear protocols and surveillance strategies. For example, if the purpose of surveillance is to maximise the chances of finding an infected tick then should focus sampling within habitats with the greatest density of infected ticks. If the purpose is to better understand scale of risk and better understand disease-vector-habitat associations then need stratified sampling across habitats and across a broader spatial scale than at the village level.</w:t>
            </w:r>
          </w:p>
        </w:tc>
      </w:tr>
    </w:tbl>
    <w:p w14:paraId="5D89F3BF" w14:textId="77777777" w:rsidR="00665737" w:rsidRDefault="00665737" w:rsidP="00083FB6">
      <w:pPr>
        <w:spacing w:line="480" w:lineRule="auto"/>
        <w:jc w:val="both"/>
        <w:rPr>
          <w:rFonts w:ascii="Times New Roman" w:hAnsi="Times New Roman" w:cs="Times New Roman"/>
          <w:sz w:val="24"/>
          <w:szCs w:val="24"/>
        </w:rPr>
      </w:pPr>
    </w:p>
    <w:p w14:paraId="15224280" w14:textId="77777777" w:rsidR="00083FB6" w:rsidRPr="007D77CE" w:rsidRDefault="00083FB6" w:rsidP="00083FB6">
      <w:pPr>
        <w:spacing w:line="480" w:lineRule="auto"/>
        <w:jc w:val="both"/>
        <w:rPr>
          <w:rFonts w:ascii="Times New Roman" w:hAnsi="Times New Roman" w:cs="Times New Roman"/>
          <w:sz w:val="24"/>
          <w:szCs w:val="24"/>
        </w:rPr>
      </w:pPr>
    </w:p>
    <w:p w14:paraId="5F250E29" w14:textId="654283B6" w:rsidR="009F650A" w:rsidRPr="007D77CE" w:rsidRDefault="009F650A">
      <w:pPr>
        <w:rPr>
          <w:rFonts w:ascii="Times New Roman" w:hAnsi="Times New Roman" w:cs="Times New Roman"/>
        </w:rPr>
      </w:pPr>
      <w:r w:rsidRPr="007D77CE">
        <w:rPr>
          <w:rFonts w:ascii="Times New Roman" w:hAnsi="Times New Roman" w:cs="Times New Roman"/>
        </w:rPr>
        <w:br w:type="page"/>
      </w:r>
    </w:p>
    <w:p w14:paraId="4643FEB8" w14:textId="77777777" w:rsidR="009F650A" w:rsidRPr="007D77CE" w:rsidRDefault="009F650A">
      <w:pPr>
        <w:rPr>
          <w:rFonts w:ascii="Times New Roman" w:hAnsi="Times New Roman" w:cs="Times New Roman"/>
        </w:rPr>
      </w:pPr>
      <w:r w:rsidRPr="007D77CE">
        <w:rPr>
          <w:rFonts w:ascii="Times New Roman" w:hAnsi="Times New Roman" w:cs="Times New Roman"/>
        </w:rPr>
        <w:lastRenderedPageBreak/>
        <w:t>Bibliography</w:t>
      </w:r>
    </w:p>
    <w:p w14:paraId="1022212F" w14:textId="77777777" w:rsidR="005B449B" w:rsidRDefault="00AB185F" w:rsidP="005B449B">
      <w:pPr>
        <w:ind w:left="560" w:hanging="560"/>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ADDIN F1000_CSL_BIBLIOGRAPHY</w:instrText>
      </w:r>
      <w:r>
        <w:rPr>
          <w:rFonts w:ascii="Times New Roman" w:hAnsi="Times New Roman" w:cs="Times New Roman"/>
        </w:rPr>
        <w:fldChar w:fldCharType="separate"/>
      </w:r>
      <w:r w:rsidR="005B449B">
        <w:rPr>
          <w:rFonts w:ascii="Times New Roman" w:hAnsi="Times New Roman" w:cs="Times New Roman"/>
        </w:rPr>
        <w:t xml:space="preserve">1. </w:t>
      </w:r>
      <w:r w:rsidR="005B449B">
        <w:rPr>
          <w:rFonts w:ascii="Times New Roman" w:hAnsi="Times New Roman" w:cs="Times New Roman"/>
        </w:rPr>
        <w:tab/>
        <w:t>National Centre for Disease Control. Kyasanur Forest Disease: a public health concern. 2019 [cited 2020 Feb 25]; Available from: https://idsp.nic.in/WriteReadData/l892s/60398414361527247979.pdf</w:t>
      </w:r>
    </w:p>
    <w:p w14:paraId="5E7F414E"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ab/>
        <w:t xml:space="preserve">Directorate of Health and Family Welfare Services, Govt of Karnataka. Manual on Kyasanur Forest Disease. Directorate of Health and Family Welfare Services, Govt of Karnataka; 2005. </w:t>
      </w:r>
    </w:p>
    <w:p w14:paraId="3AE80074"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ab/>
        <w:t>World Health Organisation. Vector Control [Internet]. 1997 [cited 2020 Mar 4]. Available from: https://www.who.int/docstore/water_sanitation_health/vectcontrol/ch26.htm</w:t>
      </w:r>
    </w:p>
    <w:p w14:paraId="7737FEF6"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ab/>
        <w:t xml:space="preserve">Centers for Disease Control and Prevention. CDC yellow book 2020: health information for international travel. Brunette GW, Nemhauser JB, editors. Oxford University Press; 2019. </w:t>
      </w:r>
    </w:p>
    <w:p w14:paraId="539F0B69"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ab/>
        <w:t xml:space="preserve">Kumar S, Prakash S, Kaushik MP, Rao KM. Comparative activity of three repellents against the ticks Rhipicephalus sanguineus and Argas persicus. Med Vet Entomol. 1992 Jan;6(1):47–50. </w:t>
      </w:r>
    </w:p>
    <w:p w14:paraId="7B43F29F"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6. </w:t>
      </w:r>
      <w:r>
        <w:rPr>
          <w:rFonts w:ascii="Times New Roman" w:hAnsi="Times New Roman" w:cs="Times New Roman"/>
        </w:rPr>
        <w:tab/>
        <w:t xml:space="preserve">Venkatachalapathi A, Sangeeth T, Ali MA, Tamilselvi SS, Paulsamy S. Ethnomedicinal assessment of Irula tribes of Walayar valley of Southern Western Ghats, India. Saudi J Biol Sci. 2016 Oct; </w:t>
      </w:r>
    </w:p>
    <w:p w14:paraId="6C15FEDC"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7. </w:t>
      </w:r>
      <w:r>
        <w:rPr>
          <w:rFonts w:ascii="Times New Roman" w:hAnsi="Times New Roman" w:cs="Times New Roman"/>
        </w:rPr>
        <w:tab/>
        <w:t xml:space="preserve">Nelson CA, Hayes CM, Markowitz MA, Flynn JJ, Graham AC, Delorey MJ, et al. The heat is on: Killing blacklegged ticks in residential washers and dryers to prevent tickborne diseases. Ticks Tick Borne Dis. 2016 Apr 28;7(5):958–963. </w:t>
      </w:r>
    </w:p>
    <w:p w14:paraId="691A2679"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8. </w:t>
      </w:r>
      <w:r>
        <w:rPr>
          <w:rFonts w:ascii="Times New Roman" w:hAnsi="Times New Roman" w:cs="Times New Roman"/>
        </w:rPr>
        <w:tab/>
        <w:t xml:space="preserve">Carroll JF. A cautionary note: survival of nymphs of two species of ticks (Acari: Ixodidae) among clothes laundered in an automatic washer. J Med Entomol. 2003 Sep;40(5):732–736. </w:t>
      </w:r>
    </w:p>
    <w:p w14:paraId="40915740"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9. </w:t>
      </w:r>
      <w:r>
        <w:rPr>
          <w:rFonts w:ascii="Times New Roman" w:hAnsi="Times New Roman" w:cs="Times New Roman"/>
        </w:rPr>
        <w:tab/>
        <w:t xml:space="preserve">Shah KV, Dandawate CN, Bhatt PN. Kyasanur forest disease virus: viremia and challenge studies in monkeys with evidence of cross-protection by Langat virus infection. [version 1; peer review: 3 approved]. F1000Res. 2012 Dec 7;1:61. </w:t>
      </w:r>
    </w:p>
    <w:p w14:paraId="2E728A3F"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10. </w:t>
      </w:r>
      <w:r>
        <w:rPr>
          <w:rFonts w:ascii="Times New Roman" w:hAnsi="Times New Roman" w:cs="Times New Roman"/>
        </w:rPr>
        <w:tab/>
        <w:t xml:space="preserve">Bhat HR. Observations on the biology of Haemaphysalis spinigera Neumann, 1897 (Acarina: Ixodidae) under Natural conditions in KFD area. . Journal of Bombay Natural History Societ. 1986;82:548–562. </w:t>
      </w:r>
    </w:p>
    <w:p w14:paraId="3C08B008"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11. </w:t>
      </w:r>
      <w:r>
        <w:rPr>
          <w:rFonts w:ascii="Times New Roman" w:hAnsi="Times New Roman" w:cs="Times New Roman"/>
        </w:rPr>
        <w:tab/>
        <w:t xml:space="preserve">Sreenivasan MA, Bhat HR, Rajagopalan PK. Studies on the transmission of Kyasanur forest disease virus by partly fed ixodid ticks. Indian J Med Res. 1979 May;69:708–713. </w:t>
      </w:r>
    </w:p>
    <w:p w14:paraId="6127448F"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12. </w:t>
      </w:r>
      <w:r>
        <w:rPr>
          <w:rFonts w:ascii="Times New Roman" w:hAnsi="Times New Roman" w:cs="Times New Roman"/>
        </w:rPr>
        <w:tab/>
        <w:t xml:space="preserve">Wang H, Nuttall PA. Intra-stadial tick-borne Thogoto virus (Orthomyxoviridae) transmission: accelerated arbovirus transmission triggered by host death. Parasitology. 2001 Apr;122(Pt 4):439–446. </w:t>
      </w:r>
    </w:p>
    <w:p w14:paraId="0F733793" w14:textId="77777777" w:rsidR="005B449B" w:rsidRDefault="005B449B" w:rsidP="005B449B">
      <w:pPr>
        <w:ind w:left="560" w:hanging="560"/>
        <w:rPr>
          <w:rFonts w:ascii="Times New Roman" w:hAnsi="Times New Roman" w:cs="Times New Roman"/>
        </w:rPr>
      </w:pPr>
      <w:r>
        <w:rPr>
          <w:rFonts w:ascii="Times New Roman" w:hAnsi="Times New Roman" w:cs="Times New Roman"/>
        </w:rPr>
        <w:lastRenderedPageBreak/>
        <w:t xml:space="preserve">13. </w:t>
      </w:r>
      <w:r>
        <w:rPr>
          <w:rFonts w:ascii="Times New Roman" w:hAnsi="Times New Roman" w:cs="Times New Roman"/>
        </w:rPr>
        <w:tab/>
        <w:t xml:space="preserve">Little SE, Hostetler J, Kocan KM. Movement of Rhipicephalus sanguineus adults between co-housed dogs during active feeding. Vet Parasitol. 2007 Nov 30;150(1-2):139–145. </w:t>
      </w:r>
    </w:p>
    <w:p w14:paraId="583A0D41"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14. </w:t>
      </w:r>
      <w:r>
        <w:rPr>
          <w:rFonts w:ascii="Times New Roman" w:hAnsi="Times New Roman" w:cs="Times New Roman"/>
        </w:rPr>
        <w:tab/>
        <w:t xml:space="preserve">Virus Research Centre, Pune, India. Kyasanur Forest Disease 1957-1964. Indian Council of Medical Research; 1964. </w:t>
      </w:r>
    </w:p>
    <w:p w14:paraId="22EFAC89"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15. </w:t>
      </w:r>
      <w:r>
        <w:rPr>
          <w:rFonts w:ascii="Times New Roman" w:hAnsi="Times New Roman" w:cs="Times New Roman"/>
        </w:rPr>
        <w:tab/>
        <w:t xml:space="preserve">Brasil VLM, Ramos Pinto MB, Bonan RF, Kowalski LP, da Cruz Perez DE. Pesticides as risk factors for head and neck cancer: A review. J Oral Pathol Med. 2018 Aug;47(7):641–651. </w:t>
      </w:r>
    </w:p>
    <w:p w14:paraId="1CD4D25E"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16. </w:t>
      </w:r>
      <w:r>
        <w:rPr>
          <w:rFonts w:ascii="Times New Roman" w:hAnsi="Times New Roman" w:cs="Times New Roman"/>
        </w:rPr>
        <w:tab/>
        <w:t xml:space="preserve">Rajagopalan PK, Patil AP, Boshell J. Ixodid ticks on their mammalian hosts in the Kyasanur Forest disease area of Mysore State, India, 1961-64. Indian J Med Res. 1968 Apr;56(4):510–525. </w:t>
      </w:r>
    </w:p>
    <w:p w14:paraId="5E79AB8E"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17. </w:t>
      </w:r>
      <w:r>
        <w:rPr>
          <w:rFonts w:ascii="Times New Roman" w:hAnsi="Times New Roman" w:cs="Times New Roman"/>
        </w:rPr>
        <w:tab/>
        <w:t xml:space="preserve">Balasubramanian R, Yadav PD, Sahina S, Arathy Nadh V. Distribution and prevalence of ticks on livestock population in endemic area of Kyasanur forest disease in Western Ghats of Kerala, South India. J Parasit Dis. 2019 Jun;43(2):256–262. </w:t>
      </w:r>
    </w:p>
    <w:p w14:paraId="1D072915"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18. </w:t>
      </w:r>
      <w:r>
        <w:rPr>
          <w:rFonts w:ascii="Times New Roman" w:hAnsi="Times New Roman" w:cs="Times New Roman"/>
        </w:rPr>
        <w:tab/>
        <w:t xml:space="preserve">Anderson CR, Singh KR. The reaction of cattle to Kyasanur Forest disease virus. Indian J Med Res. 1971 Feb;59(2):195–198. </w:t>
      </w:r>
    </w:p>
    <w:p w14:paraId="77C142E3"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19. </w:t>
      </w:r>
      <w:r>
        <w:rPr>
          <w:rFonts w:ascii="Times New Roman" w:hAnsi="Times New Roman" w:cs="Times New Roman"/>
        </w:rPr>
        <w:tab/>
        <w:t xml:space="preserve">Bolzoni L, Rosà R, Cagnacci F, Rizzoli A. Effect of deer density on tick infestation of rodents and the hazard of tick-borne encephalitis. II: population and infection models. Int J Parasitol. 2012 Apr;42(4):373–381. </w:t>
      </w:r>
    </w:p>
    <w:p w14:paraId="67D0FD4C"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20. </w:t>
      </w:r>
      <w:r>
        <w:rPr>
          <w:rFonts w:ascii="Times New Roman" w:hAnsi="Times New Roman" w:cs="Times New Roman"/>
        </w:rPr>
        <w:tab/>
        <w:t xml:space="preserve">Levi T, Keesing F, Holt RD, Barfield M, Ostfeld RS. Quantifying dilution and amplification in a community of hosts for tick-borne pathogens. Ecol Appl. 2016 Mar;26(2):484–498. </w:t>
      </w:r>
    </w:p>
    <w:p w14:paraId="20C50E51"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21. </w:t>
      </w:r>
      <w:r>
        <w:rPr>
          <w:rFonts w:ascii="Times New Roman" w:hAnsi="Times New Roman" w:cs="Times New Roman"/>
        </w:rPr>
        <w:tab/>
        <w:t xml:space="preserve">George JE, Pound JM, Davey RB. Chemical control of ticks on cattle and the resistance of these parasites to acaricides. Parasitology. 2004 Oct;129(7):S353–S366. </w:t>
      </w:r>
    </w:p>
    <w:p w14:paraId="4543935D"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22. </w:t>
      </w:r>
      <w:r>
        <w:rPr>
          <w:rFonts w:ascii="Times New Roman" w:hAnsi="Times New Roman" w:cs="Times New Roman"/>
        </w:rPr>
        <w:tab/>
        <w:t xml:space="preserve">Gleim ER, Conner LM, Berghaus RD, Levin ML, Zemtsova GE, Yabsley MJ. The phenology of ticks and the effects of long-term prescribed burning on tick population dynamics in southwestern Georgia and northwestern Florida. PLoS One. 2014 Nov 6;9(11):e112174. </w:t>
      </w:r>
    </w:p>
    <w:p w14:paraId="615F2F61"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23. </w:t>
      </w:r>
      <w:r>
        <w:rPr>
          <w:rFonts w:ascii="Times New Roman" w:hAnsi="Times New Roman" w:cs="Times New Roman"/>
        </w:rPr>
        <w:tab/>
        <w:t xml:space="preserve">MacDonald AJ, Hyon DW, McDaniels A. Risk of vector tick exposure initially increases, then declines through time in response to wildfire in California. 2018; </w:t>
      </w:r>
    </w:p>
    <w:p w14:paraId="53064231"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24. </w:t>
      </w:r>
      <w:r>
        <w:rPr>
          <w:rFonts w:ascii="Times New Roman" w:hAnsi="Times New Roman" w:cs="Times New Roman"/>
        </w:rPr>
        <w:tab/>
        <w:t xml:space="preserve">Kodandapani N, Cochrane MA, Sukumar R. Conservation threat of increasing fire frequencies in the western ghats, india. Conserv Biol. 2004 Dec;18(6):1553–1561. </w:t>
      </w:r>
    </w:p>
    <w:p w14:paraId="7C5C9025"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25. </w:t>
      </w:r>
      <w:r>
        <w:rPr>
          <w:rFonts w:ascii="Times New Roman" w:hAnsi="Times New Roman" w:cs="Times New Roman"/>
        </w:rPr>
        <w:tab/>
        <w:t xml:space="preserve">Dandawate CN, Desai GB, Achar TR, Banerjee K. Field evaluation of formalin inactivated Kyasanur forest disease virus tissue culture vaccine in three districts of Karnataka state. Indian J Med Res. 1994 Apr;99:152–158. </w:t>
      </w:r>
    </w:p>
    <w:p w14:paraId="1BC3633A"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26. </w:t>
      </w:r>
      <w:r>
        <w:rPr>
          <w:rFonts w:ascii="Times New Roman" w:hAnsi="Times New Roman" w:cs="Times New Roman"/>
        </w:rPr>
        <w:tab/>
        <w:t xml:space="preserve">Kasabi GS, Murhekar MV, Sandhya VK, Raghunandan R, Kiran SK, Channabasappa GH, et al. Coverage and effectiveness of Kyasanur forest disease (KFD) vaccine in Karnataka, South India, 2005-10. PLoS Negl Trop Dis. 2013 Jan 24;7(1):e2025. </w:t>
      </w:r>
    </w:p>
    <w:p w14:paraId="09BD2A56"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27. </w:t>
      </w:r>
      <w:r>
        <w:rPr>
          <w:rFonts w:ascii="Times New Roman" w:hAnsi="Times New Roman" w:cs="Times New Roman"/>
        </w:rPr>
        <w:tab/>
        <w:t xml:space="preserve">Kiran SK, Pasi A, Kumar S, Kasabi GS, Gujjarappa P, Shrivastava A, et al. Kyasanur Forest disease outbreak and vaccination strategy,Shimoga District, India, 2013-2014. Emerging Infect Dis. 2015 Jan;21(1):146–149. </w:t>
      </w:r>
    </w:p>
    <w:p w14:paraId="3BE64412"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28. </w:t>
      </w:r>
      <w:r>
        <w:rPr>
          <w:rFonts w:ascii="Times New Roman" w:hAnsi="Times New Roman" w:cs="Times New Roman"/>
        </w:rPr>
        <w:tab/>
        <w:t xml:space="preserve">Purse BV, Darshan N, Kasabi GS, Gerard F, Samrat A, George C, et al. Predicting disease risk areas through co-production of spatial models: The example of Kyasanur Forest Disease in India’s forest landscapes. PLoS Negl Trop Dis. 2020 Apr 7;14(4):e0008179. </w:t>
      </w:r>
    </w:p>
    <w:p w14:paraId="03B38D77"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29. </w:t>
      </w:r>
      <w:r>
        <w:rPr>
          <w:rFonts w:ascii="Times New Roman" w:hAnsi="Times New Roman" w:cs="Times New Roman"/>
        </w:rPr>
        <w:tab/>
        <w:t xml:space="preserve">Boshell J. Kyasanur Forest disease: ecologic considerations. Am J Trop Med Hyg. 1969 Jan;18(1):67–80. </w:t>
      </w:r>
    </w:p>
    <w:p w14:paraId="2673DA96"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30. </w:t>
      </w:r>
      <w:r>
        <w:rPr>
          <w:rFonts w:ascii="Times New Roman" w:hAnsi="Times New Roman" w:cs="Times New Roman"/>
        </w:rPr>
        <w:tab/>
        <w:t xml:space="preserve">Morse LJ, Russ SB, Needy CF, Buescher EL. Studies of viruses of the tick-borne encephalitis complex. II. Disease and immune responses in man following accidental infection with Kyasanur Forest disease virus. J Immunol. 1962 Feb;88:240–248. </w:t>
      </w:r>
    </w:p>
    <w:p w14:paraId="0F0DF914"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31. </w:t>
      </w:r>
      <w:r>
        <w:rPr>
          <w:rFonts w:ascii="Times New Roman" w:hAnsi="Times New Roman" w:cs="Times New Roman"/>
        </w:rPr>
        <w:tab/>
        <w:t xml:space="preserve">Ripoche M, Gasmi S, Adam-Poupart A, Koffi JK, Lindsay LR, Ludwig A, et al. Passive tick surveillance provides an accurate early signal of emerging lyme disease risk and human cases in southern canada. J Med Entomol. 2018 Jun 28;55(4):1016–1026. </w:t>
      </w:r>
    </w:p>
    <w:p w14:paraId="2F97A45E" w14:textId="77777777" w:rsidR="005B449B" w:rsidRDefault="005B449B" w:rsidP="005B449B">
      <w:pPr>
        <w:ind w:left="560" w:hanging="560"/>
        <w:rPr>
          <w:rFonts w:ascii="Times New Roman" w:hAnsi="Times New Roman" w:cs="Times New Roman"/>
        </w:rPr>
      </w:pPr>
      <w:r>
        <w:rPr>
          <w:rFonts w:ascii="Times New Roman" w:hAnsi="Times New Roman" w:cs="Times New Roman"/>
        </w:rPr>
        <w:t xml:space="preserve">32. </w:t>
      </w:r>
      <w:r>
        <w:rPr>
          <w:rFonts w:ascii="Times New Roman" w:hAnsi="Times New Roman" w:cs="Times New Roman"/>
        </w:rPr>
        <w:tab/>
        <w:t xml:space="preserve">Jameson LJ, Medlock JM. Tick surveillance in Great Britain. Vector Borne Zoonotic Dis. 2011 Apr;11(4):403–412. </w:t>
      </w:r>
    </w:p>
    <w:p w14:paraId="068949E3" w14:textId="261931C9" w:rsidR="00FC7728" w:rsidRPr="007D77CE" w:rsidRDefault="00AB185F" w:rsidP="005B449B">
      <w:pPr>
        <w:ind w:left="560" w:hanging="560"/>
        <w:rPr>
          <w:rFonts w:ascii="Times New Roman" w:hAnsi="Times New Roman" w:cs="Times New Roman"/>
        </w:rPr>
      </w:pPr>
      <w:r>
        <w:rPr>
          <w:rFonts w:ascii="Times New Roman" w:hAnsi="Times New Roman" w:cs="Times New Roman"/>
        </w:rPr>
        <w:fldChar w:fldCharType="end"/>
      </w:r>
    </w:p>
    <w:sectPr w:rsidR="00FC7728" w:rsidRPr="007D77CE" w:rsidSect="00534F58">
      <w:pgSz w:w="15840" w:h="12240" w:orient="landscape"/>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B7FF3"/>
    <w:multiLevelType w:val="hybridMultilevel"/>
    <w:tmpl w:val="902A3694"/>
    <w:lvl w:ilvl="0" w:tplc="7F322632">
      <w:start w:val="1"/>
      <w:numFmt w:val="lowerRoman"/>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586D1D"/>
    <w:multiLevelType w:val="hybridMultilevel"/>
    <w:tmpl w:val="8E6E9988"/>
    <w:lvl w:ilvl="0" w:tplc="CFE0731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A13594B"/>
    <w:multiLevelType w:val="hybridMultilevel"/>
    <w:tmpl w:val="F9D067B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4D6E41"/>
    <w:multiLevelType w:val="hybridMultilevel"/>
    <w:tmpl w:val="F362AEF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385009"/>
    <w:multiLevelType w:val="hybridMultilevel"/>
    <w:tmpl w:val="00F88E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CD41B3"/>
    <w:multiLevelType w:val="hybridMultilevel"/>
    <w:tmpl w:val="5966F20E"/>
    <w:lvl w:ilvl="0" w:tplc="81CE3DB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4DE34F2"/>
    <w:multiLevelType w:val="hybridMultilevel"/>
    <w:tmpl w:val="F9CCAFAA"/>
    <w:lvl w:ilvl="0" w:tplc="569E5040">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F5E136A"/>
    <w:multiLevelType w:val="hybridMultilevel"/>
    <w:tmpl w:val="E354B7C2"/>
    <w:lvl w:ilvl="0" w:tplc="CFE07314">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37D37BD"/>
    <w:multiLevelType w:val="hybridMultilevel"/>
    <w:tmpl w:val="ECBC6910"/>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3B20C66"/>
    <w:multiLevelType w:val="hybridMultilevel"/>
    <w:tmpl w:val="B6569B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E4C50E9"/>
    <w:multiLevelType w:val="hybridMultilevel"/>
    <w:tmpl w:val="014AD874"/>
    <w:lvl w:ilvl="0" w:tplc="CFE0731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08F196C"/>
    <w:multiLevelType w:val="hybridMultilevel"/>
    <w:tmpl w:val="1A5CC2BA"/>
    <w:lvl w:ilvl="0" w:tplc="CFE0731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491DAB"/>
    <w:multiLevelType w:val="hybridMultilevel"/>
    <w:tmpl w:val="6C2C42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5"/>
  </w:num>
  <w:num w:numId="3">
    <w:abstractNumId w:val="12"/>
  </w:num>
  <w:num w:numId="4">
    <w:abstractNumId w:val="9"/>
  </w:num>
  <w:num w:numId="5">
    <w:abstractNumId w:val="2"/>
  </w:num>
  <w:num w:numId="6">
    <w:abstractNumId w:val="4"/>
  </w:num>
  <w:num w:numId="7">
    <w:abstractNumId w:val="8"/>
  </w:num>
  <w:num w:numId="8">
    <w:abstractNumId w:val="3"/>
  </w:num>
  <w:num w:numId="9">
    <w:abstractNumId w:val="0"/>
  </w:num>
  <w:num w:numId="10">
    <w:abstractNumId w:val="7"/>
  </w:num>
  <w:num w:numId="11">
    <w:abstractNumId w:val="1"/>
  </w:num>
  <w:num w:numId="12">
    <w:abstractNumId w:val="1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396"/>
    <w:rsid w:val="000459FB"/>
    <w:rsid w:val="0005574A"/>
    <w:rsid w:val="00083FB6"/>
    <w:rsid w:val="00095914"/>
    <w:rsid w:val="000977F7"/>
    <w:rsid w:val="00097CE8"/>
    <w:rsid w:val="000F0EF8"/>
    <w:rsid w:val="000F2331"/>
    <w:rsid w:val="00113A31"/>
    <w:rsid w:val="00116120"/>
    <w:rsid w:val="001425D2"/>
    <w:rsid w:val="00175784"/>
    <w:rsid w:val="001804C4"/>
    <w:rsid w:val="001A4D06"/>
    <w:rsid w:val="00202254"/>
    <w:rsid w:val="00247B79"/>
    <w:rsid w:val="00270F85"/>
    <w:rsid w:val="002C666B"/>
    <w:rsid w:val="002E645A"/>
    <w:rsid w:val="00317424"/>
    <w:rsid w:val="00341C19"/>
    <w:rsid w:val="0035083C"/>
    <w:rsid w:val="003637F6"/>
    <w:rsid w:val="00390E05"/>
    <w:rsid w:val="003977B4"/>
    <w:rsid w:val="003A00AB"/>
    <w:rsid w:val="003A23B2"/>
    <w:rsid w:val="003A6105"/>
    <w:rsid w:val="004E7C6A"/>
    <w:rsid w:val="004F0599"/>
    <w:rsid w:val="00502244"/>
    <w:rsid w:val="00534F58"/>
    <w:rsid w:val="0054283D"/>
    <w:rsid w:val="005B449B"/>
    <w:rsid w:val="005C06C5"/>
    <w:rsid w:val="00631323"/>
    <w:rsid w:val="006577DC"/>
    <w:rsid w:val="00665737"/>
    <w:rsid w:val="0069549B"/>
    <w:rsid w:val="006A7648"/>
    <w:rsid w:val="006B1636"/>
    <w:rsid w:val="006B58EB"/>
    <w:rsid w:val="007128E2"/>
    <w:rsid w:val="00743D75"/>
    <w:rsid w:val="00767230"/>
    <w:rsid w:val="007712AB"/>
    <w:rsid w:val="007D77CE"/>
    <w:rsid w:val="00823022"/>
    <w:rsid w:val="00833A80"/>
    <w:rsid w:val="00835B05"/>
    <w:rsid w:val="00836BB8"/>
    <w:rsid w:val="008975A2"/>
    <w:rsid w:val="008B04B0"/>
    <w:rsid w:val="00942B26"/>
    <w:rsid w:val="009C0AEB"/>
    <w:rsid w:val="009E7E83"/>
    <w:rsid w:val="009F650A"/>
    <w:rsid w:val="009F75A9"/>
    <w:rsid w:val="00A05EC8"/>
    <w:rsid w:val="00A51F5C"/>
    <w:rsid w:val="00A60CA0"/>
    <w:rsid w:val="00A921F9"/>
    <w:rsid w:val="00A927D2"/>
    <w:rsid w:val="00A94B7B"/>
    <w:rsid w:val="00A96DC4"/>
    <w:rsid w:val="00AB185F"/>
    <w:rsid w:val="00B37072"/>
    <w:rsid w:val="00B47B1F"/>
    <w:rsid w:val="00B916FE"/>
    <w:rsid w:val="00BB5E6D"/>
    <w:rsid w:val="00BD46DC"/>
    <w:rsid w:val="00BD577A"/>
    <w:rsid w:val="00BE450F"/>
    <w:rsid w:val="00BF7FF5"/>
    <w:rsid w:val="00C04ADC"/>
    <w:rsid w:val="00C25BA8"/>
    <w:rsid w:val="00C44A5A"/>
    <w:rsid w:val="00C62282"/>
    <w:rsid w:val="00CB4396"/>
    <w:rsid w:val="00CF24A7"/>
    <w:rsid w:val="00D01D9D"/>
    <w:rsid w:val="00D03F73"/>
    <w:rsid w:val="00D45BD8"/>
    <w:rsid w:val="00D543C6"/>
    <w:rsid w:val="00D6037D"/>
    <w:rsid w:val="00DC6FEF"/>
    <w:rsid w:val="00DE0F84"/>
    <w:rsid w:val="00DF0CFF"/>
    <w:rsid w:val="00E97A5B"/>
    <w:rsid w:val="00EE06FF"/>
    <w:rsid w:val="00EF13D6"/>
    <w:rsid w:val="00F55809"/>
    <w:rsid w:val="00FA0CBD"/>
    <w:rsid w:val="00FB33CC"/>
    <w:rsid w:val="00FC7728"/>
    <w:rsid w:val="00FD6F80"/>
    <w:rsid w:val="00FF45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E3802"/>
  <w15:chartTrackingRefBased/>
  <w15:docId w15:val="{E1403853-8B98-42BD-803E-037485A8D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B4396"/>
    <w:rPr>
      <w:sz w:val="16"/>
      <w:szCs w:val="16"/>
    </w:rPr>
  </w:style>
  <w:style w:type="paragraph" w:styleId="CommentText">
    <w:name w:val="annotation text"/>
    <w:basedOn w:val="Normal"/>
    <w:link w:val="CommentTextChar"/>
    <w:uiPriority w:val="99"/>
    <w:unhideWhenUsed/>
    <w:rsid w:val="00CB4396"/>
    <w:pPr>
      <w:spacing w:after="200" w:line="240" w:lineRule="auto"/>
    </w:pPr>
    <w:rPr>
      <w:sz w:val="20"/>
      <w:szCs w:val="20"/>
      <w:lang w:val="en-IN"/>
    </w:rPr>
  </w:style>
  <w:style w:type="character" w:customStyle="1" w:styleId="CommentTextChar">
    <w:name w:val="Comment Text Char"/>
    <w:basedOn w:val="DefaultParagraphFont"/>
    <w:link w:val="CommentText"/>
    <w:uiPriority w:val="99"/>
    <w:rsid w:val="00CB4396"/>
    <w:rPr>
      <w:sz w:val="20"/>
      <w:szCs w:val="20"/>
      <w:lang w:val="en-IN"/>
    </w:rPr>
  </w:style>
  <w:style w:type="paragraph" w:styleId="CommentSubject">
    <w:name w:val="annotation subject"/>
    <w:basedOn w:val="CommentText"/>
    <w:next w:val="CommentText"/>
    <w:link w:val="CommentSubjectChar"/>
    <w:uiPriority w:val="99"/>
    <w:semiHidden/>
    <w:unhideWhenUsed/>
    <w:rsid w:val="00CB4396"/>
    <w:rPr>
      <w:b/>
      <w:bCs/>
    </w:rPr>
  </w:style>
  <w:style w:type="character" w:customStyle="1" w:styleId="CommentSubjectChar">
    <w:name w:val="Comment Subject Char"/>
    <w:basedOn w:val="CommentTextChar"/>
    <w:link w:val="CommentSubject"/>
    <w:uiPriority w:val="99"/>
    <w:semiHidden/>
    <w:rsid w:val="00CB4396"/>
    <w:rPr>
      <w:b/>
      <w:bCs/>
      <w:sz w:val="20"/>
      <w:szCs w:val="20"/>
      <w:lang w:val="en-IN"/>
    </w:rPr>
  </w:style>
  <w:style w:type="paragraph" w:styleId="BalloonText">
    <w:name w:val="Balloon Text"/>
    <w:basedOn w:val="Normal"/>
    <w:link w:val="BalloonTextChar"/>
    <w:uiPriority w:val="99"/>
    <w:semiHidden/>
    <w:unhideWhenUsed/>
    <w:rsid w:val="00CB4396"/>
    <w:pPr>
      <w:spacing w:after="0" w:line="240" w:lineRule="auto"/>
    </w:pPr>
    <w:rPr>
      <w:rFonts w:ascii="Segoe UI" w:hAnsi="Segoe UI" w:cs="Segoe UI"/>
      <w:sz w:val="18"/>
      <w:szCs w:val="18"/>
      <w:lang w:val="en-IN"/>
    </w:rPr>
  </w:style>
  <w:style w:type="character" w:customStyle="1" w:styleId="BalloonTextChar">
    <w:name w:val="Balloon Text Char"/>
    <w:basedOn w:val="DefaultParagraphFont"/>
    <w:link w:val="BalloonText"/>
    <w:uiPriority w:val="99"/>
    <w:semiHidden/>
    <w:rsid w:val="00CB4396"/>
    <w:rPr>
      <w:rFonts w:ascii="Segoe UI" w:hAnsi="Segoe UI" w:cs="Segoe UI"/>
      <w:sz w:val="18"/>
      <w:szCs w:val="18"/>
      <w:lang w:val="en-IN"/>
    </w:rPr>
  </w:style>
  <w:style w:type="paragraph" w:customStyle="1" w:styleId="EndNoteBibliographyTitle">
    <w:name w:val="EndNote Bibliography Title"/>
    <w:basedOn w:val="Normal"/>
    <w:link w:val="EndNoteBibliographyTitleChar"/>
    <w:rsid w:val="00CB4396"/>
    <w:pPr>
      <w:spacing w:after="0" w:line="276" w:lineRule="auto"/>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CB4396"/>
    <w:rPr>
      <w:rFonts w:ascii="Calibri" w:hAnsi="Calibri" w:cs="Calibri"/>
      <w:noProof/>
      <w:lang w:val="en-US"/>
    </w:rPr>
  </w:style>
  <w:style w:type="paragraph" w:customStyle="1" w:styleId="EndNoteBibliography">
    <w:name w:val="EndNote Bibliography"/>
    <w:basedOn w:val="Normal"/>
    <w:link w:val="EndNoteBibliographyChar"/>
    <w:rsid w:val="00CB4396"/>
    <w:pPr>
      <w:spacing w:after="200" w:line="240" w:lineRule="auto"/>
      <w:jc w:val="center"/>
    </w:pPr>
    <w:rPr>
      <w:rFonts w:ascii="Calibri" w:hAnsi="Calibri" w:cs="Calibri"/>
      <w:noProof/>
      <w:lang w:val="en-US"/>
    </w:rPr>
  </w:style>
  <w:style w:type="character" w:customStyle="1" w:styleId="EndNoteBibliographyChar">
    <w:name w:val="EndNote Bibliography Char"/>
    <w:basedOn w:val="DefaultParagraphFont"/>
    <w:link w:val="EndNoteBibliography"/>
    <w:rsid w:val="00CB4396"/>
    <w:rPr>
      <w:rFonts w:ascii="Calibri" w:hAnsi="Calibri" w:cs="Calibri"/>
      <w:noProof/>
      <w:lang w:val="en-US"/>
    </w:rPr>
  </w:style>
  <w:style w:type="paragraph" w:styleId="ListParagraph">
    <w:name w:val="List Paragraph"/>
    <w:basedOn w:val="Normal"/>
    <w:uiPriority w:val="34"/>
    <w:qFormat/>
    <w:rsid w:val="00CB4396"/>
    <w:pPr>
      <w:spacing w:after="200" w:line="276" w:lineRule="auto"/>
      <w:ind w:left="720"/>
      <w:contextualSpacing/>
    </w:pPr>
    <w:rPr>
      <w:lang w:val="en-IN"/>
    </w:rPr>
  </w:style>
  <w:style w:type="character" w:styleId="Hyperlink">
    <w:name w:val="Hyperlink"/>
    <w:basedOn w:val="DefaultParagraphFont"/>
    <w:uiPriority w:val="99"/>
    <w:semiHidden/>
    <w:unhideWhenUsed/>
    <w:rsid w:val="00CB4396"/>
    <w:rPr>
      <w:color w:val="0000FF"/>
      <w:u w:val="single"/>
    </w:rPr>
  </w:style>
  <w:style w:type="character" w:styleId="FollowedHyperlink">
    <w:name w:val="FollowedHyperlink"/>
    <w:basedOn w:val="DefaultParagraphFont"/>
    <w:uiPriority w:val="99"/>
    <w:semiHidden/>
    <w:unhideWhenUsed/>
    <w:rsid w:val="00CB4396"/>
    <w:rPr>
      <w:color w:val="954F72" w:themeColor="followedHyperlink"/>
      <w:u w:val="single"/>
    </w:rPr>
  </w:style>
  <w:style w:type="paragraph" w:styleId="Revision">
    <w:name w:val="Revision"/>
    <w:hidden/>
    <w:uiPriority w:val="99"/>
    <w:semiHidden/>
    <w:rsid w:val="00CB4396"/>
    <w:pPr>
      <w:spacing w:after="0" w:line="240" w:lineRule="auto"/>
    </w:pPr>
    <w:rPr>
      <w:lang w:val="en-IN"/>
    </w:rPr>
  </w:style>
  <w:style w:type="paragraph" w:customStyle="1" w:styleId="xmsonormal">
    <w:name w:val="x_msonormal"/>
    <w:basedOn w:val="Normal"/>
    <w:rsid w:val="00CB4396"/>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083F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316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19</Pages>
  <Words>20419</Words>
  <Characters>116393</Characters>
  <Application>Microsoft Office Word</Application>
  <DocSecurity>0</DocSecurity>
  <Lines>969</Lines>
  <Paragraphs>273</Paragraphs>
  <ScaleCrop>false</ScaleCrop>
  <HeadingPairs>
    <vt:vector size="2" baseType="variant">
      <vt:variant>
        <vt:lpstr>Title</vt:lpstr>
      </vt:variant>
      <vt:variant>
        <vt:i4>1</vt:i4>
      </vt:variant>
    </vt:vector>
  </HeadingPairs>
  <TitlesOfParts>
    <vt:vector size="1" baseType="lpstr">
      <vt:lpstr/>
    </vt:vector>
  </TitlesOfParts>
  <Company>Centre for Ecology and Hydrology</Company>
  <LinksUpToDate>false</LinksUpToDate>
  <CharactersWithSpaces>136539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Purse, Bethan</dc:creator>
  <cp:keywords/>
  <dc:description/>
  <cp:lastModifiedBy>Burthe, Sarah J.</cp:lastModifiedBy>
  <cp:revision>2</cp:revision>
  <dcterms:created xsi:type="dcterms:W3CDTF">2020-06-12T09:11:00Z</dcterms:created>
  <dcterms:modified xsi:type="dcterms:W3CDTF">2020-06-12T09:11:00Z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1036021</vt:lpwstr>
  </property>
  <property fmtid="{D5CDD505-2E9C-101B-9397-08002B2CF9AE}" pid="3" name="ProjectId">
    <vt:lpwstr>-1</vt:lpwstr>
  </property>
  <property fmtid="{D5CDD505-2E9C-101B-9397-08002B2CF9AE}" pid="4" name="InsertAsFootnote">
    <vt:lpwstr>False</vt:lpwstr>
  </property>
  <property fmtid="{D5CDD505-2E9C-101B-9397-08002B2CF9AE}" pid="5" name="StyleId">
    <vt:lpwstr>http://www.zotero.org/styles/vancouver</vt:lpwstr>
  </property>
</Properties>
</file>