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2AC279" w14:textId="62BBF834" w:rsidR="001C6DDB" w:rsidRDefault="001C6DDB"/>
    <w:p w14:paraId="1290B50D" w14:textId="72EDFA05" w:rsidR="001C6DDB" w:rsidRDefault="00222163" w:rsidP="00994C7D">
      <w:r>
        <w:t>Table 1: Critical appraisal scores</w:t>
      </w:r>
    </w:p>
    <w:tbl>
      <w:tblPr>
        <w:tblStyle w:val="GridTable4191"/>
        <w:tblpPr w:leftFromText="180" w:rightFromText="180" w:vertAnchor="text" w:horzAnchor="margin" w:tblpY="391"/>
        <w:tblW w:w="3913" w:type="pct"/>
        <w:tblLayout w:type="fixed"/>
        <w:tblLook w:val="04A0" w:firstRow="1" w:lastRow="0" w:firstColumn="1" w:lastColumn="0" w:noHBand="0" w:noVBand="1"/>
      </w:tblPr>
      <w:tblGrid>
        <w:gridCol w:w="611"/>
        <w:gridCol w:w="3770"/>
        <w:gridCol w:w="1273"/>
        <w:gridCol w:w="994"/>
        <w:gridCol w:w="992"/>
        <w:gridCol w:w="992"/>
        <w:gridCol w:w="1134"/>
        <w:gridCol w:w="1134"/>
      </w:tblGrid>
      <w:tr w:rsidR="00222163" w:rsidRPr="00994C7D" w14:paraId="010CD7E7" w14:textId="77777777" w:rsidTr="002221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hideMark/>
          </w:tcPr>
          <w:p w14:paraId="57D46CBC" w14:textId="77777777" w:rsidR="00222163" w:rsidRPr="00994C7D" w:rsidRDefault="00222163" w:rsidP="00222163">
            <w:pPr>
              <w:spacing w:after="0" w:line="240" w:lineRule="auto"/>
              <w:jc w:val="center"/>
              <w:rPr>
                <w:rFonts w:eastAsia="Times New Roman" w:cs="Calibri"/>
                <w:color w:val="auto"/>
                <w:sz w:val="18"/>
                <w:szCs w:val="20"/>
                <w:lang w:eastAsia="en-AU"/>
              </w:rPr>
            </w:pPr>
            <w:r w:rsidRPr="00994C7D">
              <w:rPr>
                <w:rFonts w:eastAsia="Times New Roman" w:cs="Calibri"/>
                <w:color w:val="auto"/>
                <w:sz w:val="18"/>
                <w:szCs w:val="20"/>
                <w:lang w:eastAsia="en-AU"/>
              </w:rPr>
              <w:t>Q.</w:t>
            </w:r>
          </w:p>
        </w:tc>
        <w:tc>
          <w:tcPr>
            <w:tcW w:w="172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hideMark/>
          </w:tcPr>
          <w:p w14:paraId="0B5C540C" w14:textId="77777777" w:rsidR="00222163" w:rsidRPr="00994C7D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auto"/>
                <w:sz w:val="18"/>
                <w:szCs w:val="20"/>
                <w:lang w:eastAsia="en-AU"/>
              </w:rPr>
            </w:pPr>
            <w:r w:rsidRPr="00994C7D">
              <w:rPr>
                <w:rFonts w:eastAsia="Times New Roman" w:cs="Calibri"/>
                <w:color w:val="auto"/>
                <w:sz w:val="18"/>
                <w:szCs w:val="20"/>
                <w:lang w:eastAsia="en-AU"/>
              </w:rPr>
              <w:t>Reference (Author, year)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0110B7A" w14:textId="77777777" w:rsidR="00222163" w:rsidRPr="00994C7D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</w:pPr>
            <w:r w:rsidRPr="00994C7D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>Stevenson 2006</w:t>
            </w:r>
          </w:p>
        </w:tc>
        <w:tc>
          <w:tcPr>
            <w:tcW w:w="45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F22D39" w14:textId="77777777" w:rsidR="00222163" w:rsidRPr="00994C7D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</w:pPr>
            <w:proofErr w:type="spellStart"/>
            <w:r w:rsidRPr="00994C7D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>Snooks</w:t>
            </w:r>
            <w:proofErr w:type="spellEnd"/>
            <w:r w:rsidRPr="00994C7D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 xml:space="preserve"> 2014</w:t>
            </w:r>
          </w:p>
        </w:tc>
        <w:tc>
          <w:tcPr>
            <w:tcW w:w="4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DBDBEBE" w14:textId="77777777" w:rsidR="00222163" w:rsidRPr="00A13547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</w:pPr>
            <w:proofErr w:type="spellStart"/>
            <w:r w:rsidRPr="00A13547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>Bekkering</w:t>
            </w:r>
            <w:proofErr w:type="spellEnd"/>
            <w:r w:rsidRPr="00A13547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 xml:space="preserve"> 2005(a)</w:t>
            </w:r>
          </w:p>
        </w:tc>
        <w:tc>
          <w:tcPr>
            <w:tcW w:w="4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4B7376" w14:textId="77777777" w:rsidR="00222163" w:rsidRPr="00A13547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</w:pPr>
            <w:proofErr w:type="spellStart"/>
            <w:r w:rsidRPr="00A13547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>Bekkering</w:t>
            </w:r>
            <w:proofErr w:type="spellEnd"/>
            <w:r w:rsidRPr="00A13547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 xml:space="preserve"> 2005(b)</w:t>
            </w:r>
          </w:p>
        </w:tc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0995A0D" w14:textId="77777777" w:rsidR="00222163" w:rsidRPr="00994C7D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</w:pPr>
            <w:r w:rsidRPr="00994C7D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>Pennington 2005</w:t>
            </w:r>
          </w:p>
        </w:tc>
        <w:tc>
          <w:tcPr>
            <w:tcW w:w="5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6205294" w14:textId="77777777" w:rsidR="00222163" w:rsidRPr="00994C7D" w:rsidRDefault="00222163" w:rsidP="0022216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</w:pPr>
            <w:proofErr w:type="spellStart"/>
            <w:r w:rsidRPr="00994C7D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>Rebbeck</w:t>
            </w:r>
            <w:proofErr w:type="spellEnd"/>
            <w:r w:rsidRPr="00994C7D">
              <w:rPr>
                <w:rFonts w:eastAsia="Times New Roman" w:cs="Calibri"/>
                <w:b w:val="0"/>
                <w:color w:val="auto"/>
                <w:sz w:val="18"/>
                <w:szCs w:val="19"/>
                <w:lang w:eastAsia="en-AU"/>
              </w:rPr>
              <w:t xml:space="preserve"> 2006</w:t>
            </w:r>
          </w:p>
        </w:tc>
      </w:tr>
      <w:tr w:rsidR="00222163" w:rsidRPr="00994C7D" w14:paraId="5A4684CC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64C36E1D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1.1</w:t>
            </w:r>
          </w:p>
        </w:tc>
        <w:tc>
          <w:tcPr>
            <w:tcW w:w="1729" w:type="pct"/>
          </w:tcPr>
          <w:p w14:paraId="38644D64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color w:val="FF0000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The study addresses an appropriate and clearly focused question</w:t>
            </w:r>
          </w:p>
        </w:tc>
        <w:tc>
          <w:tcPr>
            <w:tcW w:w="584" w:type="pct"/>
            <w:tcBorders>
              <w:top w:val="single" w:sz="12" w:space="0" w:color="auto"/>
            </w:tcBorders>
          </w:tcPr>
          <w:p w14:paraId="7AF9C81F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6" w:type="pct"/>
            <w:tcBorders>
              <w:top w:val="single" w:sz="12" w:space="0" w:color="auto"/>
            </w:tcBorders>
          </w:tcPr>
          <w:p w14:paraId="5B7F4273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  <w:tcBorders>
              <w:top w:val="single" w:sz="12" w:space="0" w:color="auto"/>
              <w:bottom w:val="single" w:sz="4" w:space="0" w:color="666666" w:themeColor="text1" w:themeTint="99"/>
            </w:tcBorders>
          </w:tcPr>
          <w:p w14:paraId="3C2512EA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  <w:tcBorders>
              <w:top w:val="single" w:sz="12" w:space="0" w:color="auto"/>
            </w:tcBorders>
          </w:tcPr>
          <w:p w14:paraId="75536C61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  <w:tcBorders>
              <w:top w:val="single" w:sz="12" w:space="0" w:color="auto"/>
            </w:tcBorders>
          </w:tcPr>
          <w:p w14:paraId="1C71A91F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  <w:tcBorders>
              <w:top w:val="single" w:sz="12" w:space="0" w:color="auto"/>
            </w:tcBorders>
          </w:tcPr>
          <w:p w14:paraId="4F71C2AF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47DC56B5" w14:textId="77777777" w:rsidTr="00222163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5E615C0D" w14:textId="77777777" w:rsidR="00222163" w:rsidRPr="00994C7D" w:rsidRDefault="00222163" w:rsidP="00222163">
            <w:pPr>
              <w:tabs>
                <w:tab w:val="center" w:pos="4153"/>
                <w:tab w:val="right" w:pos="8306"/>
              </w:tabs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iCs/>
                <w:sz w:val="18"/>
                <w:lang w:val="en-GB" w:eastAsia="en-GB"/>
              </w:rPr>
            </w:pPr>
            <w:r w:rsidRPr="00994C7D">
              <w:rPr>
                <w:rFonts w:eastAsia="Times New Roman" w:cs="Arial"/>
                <w:iCs/>
                <w:sz w:val="18"/>
                <w:lang w:val="en-GB" w:eastAsia="en-GB"/>
              </w:rPr>
              <w:t>1.2</w:t>
            </w:r>
          </w:p>
        </w:tc>
        <w:tc>
          <w:tcPr>
            <w:tcW w:w="1729" w:type="pct"/>
            <w:noWrap/>
          </w:tcPr>
          <w:p w14:paraId="581545AC" w14:textId="77777777" w:rsidR="00222163" w:rsidRPr="00994C7D" w:rsidRDefault="00222163" w:rsidP="00222163">
            <w:pPr>
              <w:tabs>
                <w:tab w:val="center" w:pos="4153"/>
                <w:tab w:val="right" w:pos="8306"/>
              </w:tabs>
              <w:autoSpaceDE w:val="0"/>
              <w:autoSpaceDN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9"/>
                <w:lang w:val="en-GB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GB" w:eastAsia="en-GB"/>
              </w:rPr>
              <w:t>The assignment of subjects to treatment groups is randomised</w:t>
            </w:r>
          </w:p>
        </w:tc>
        <w:tc>
          <w:tcPr>
            <w:tcW w:w="584" w:type="pct"/>
          </w:tcPr>
          <w:p w14:paraId="431EC75A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6" w:type="pct"/>
          </w:tcPr>
          <w:p w14:paraId="0ED2A8CE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  <w:tcBorders>
              <w:bottom w:val="single" w:sz="4" w:space="0" w:color="auto"/>
              <w:right w:val="single" w:sz="4" w:space="0" w:color="auto"/>
            </w:tcBorders>
          </w:tcPr>
          <w:p w14:paraId="42A2A9E6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755CA5D5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7E52CEF1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49D9E96A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48D6C889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6AF7375E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GB" w:eastAsia="en-GB"/>
              </w:rPr>
            </w:pPr>
            <w:r w:rsidRPr="00994C7D">
              <w:rPr>
                <w:rFonts w:eastAsia="Times New Roman" w:cs="Arial"/>
                <w:sz w:val="18"/>
                <w:lang w:val="en-GB" w:eastAsia="en-GB"/>
              </w:rPr>
              <w:t>1.3</w:t>
            </w:r>
          </w:p>
        </w:tc>
        <w:tc>
          <w:tcPr>
            <w:tcW w:w="1729" w:type="pct"/>
            <w:noWrap/>
          </w:tcPr>
          <w:p w14:paraId="2913F448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GB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GB" w:eastAsia="en-GB"/>
              </w:rPr>
              <w:t>An adequate concealment method is used</w:t>
            </w:r>
          </w:p>
        </w:tc>
        <w:tc>
          <w:tcPr>
            <w:tcW w:w="584" w:type="pct"/>
          </w:tcPr>
          <w:p w14:paraId="7D8F2D9E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</w:t>
            </w:r>
          </w:p>
        </w:tc>
        <w:tc>
          <w:tcPr>
            <w:tcW w:w="456" w:type="pct"/>
          </w:tcPr>
          <w:p w14:paraId="78D600D4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ABDBA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7C7D540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6F0D40A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6A75EB7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48D02D71" w14:textId="77777777" w:rsidTr="00222163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72D81239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1.4</w:t>
            </w:r>
          </w:p>
        </w:tc>
        <w:tc>
          <w:tcPr>
            <w:tcW w:w="1729" w:type="pct"/>
            <w:noWrap/>
          </w:tcPr>
          <w:p w14:paraId="66400878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The design keeps subjects and investigators ‘blind’ about treatment allocation</w:t>
            </w:r>
          </w:p>
        </w:tc>
        <w:tc>
          <w:tcPr>
            <w:tcW w:w="584" w:type="pct"/>
          </w:tcPr>
          <w:p w14:paraId="4191D5DC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 ([participant)</w:t>
            </w:r>
          </w:p>
        </w:tc>
        <w:tc>
          <w:tcPr>
            <w:tcW w:w="456" w:type="pct"/>
          </w:tcPr>
          <w:p w14:paraId="12C632D7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  <w:p w14:paraId="58991462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(assessor)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C8E0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09B9E19D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3B110C44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18106A71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36B4CAF0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756C3152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1.5</w:t>
            </w:r>
          </w:p>
        </w:tc>
        <w:tc>
          <w:tcPr>
            <w:tcW w:w="1729" w:type="pct"/>
            <w:noWrap/>
          </w:tcPr>
          <w:p w14:paraId="52AD1EDC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The treatment and control groups are similar at the start of the trial</w:t>
            </w:r>
          </w:p>
        </w:tc>
        <w:tc>
          <w:tcPr>
            <w:tcW w:w="584" w:type="pct"/>
          </w:tcPr>
          <w:p w14:paraId="5685B25D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 (not all)</w:t>
            </w:r>
          </w:p>
        </w:tc>
        <w:tc>
          <w:tcPr>
            <w:tcW w:w="456" w:type="pct"/>
          </w:tcPr>
          <w:p w14:paraId="62188ED2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C03DA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2A9C9BD0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55123754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</w:t>
            </w:r>
          </w:p>
        </w:tc>
        <w:tc>
          <w:tcPr>
            <w:tcW w:w="520" w:type="pct"/>
          </w:tcPr>
          <w:p w14:paraId="36E17745" w14:textId="77777777" w:rsidR="00222163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 (Physio)</w:t>
            </w:r>
          </w:p>
          <w:p w14:paraId="02A95F2C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 (patients)</w:t>
            </w:r>
          </w:p>
        </w:tc>
      </w:tr>
      <w:tr w:rsidR="00222163" w:rsidRPr="00994C7D" w14:paraId="2B010958" w14:textId="77777777" w:rsidTr="00222163">
        <w:trPr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50DA3C9E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1.6</w:t>
            </w:r>
          </w:p>
        </w:tc>
        <w:tc>
          <w:tcPr>
            <w:tcW w:w="1729" w:type="pct"/>
            <w:noWrap/>
          </w:tcPr>
          <w:p w14:paraId="5F546BAA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The only difference between groups is the treatment under investigation</w:t>
            </w:r>
          </w:p>
        </w:tc>
        <w:tc>
          <w:tcPr>
            <w:tcW w:w="584" w:type="pct"/>
          </w:tcPr>
          <w:p w14:paraId="44B332AC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6" w:type="pct"/>
          </w:tcPr>
          <w:p w14:paraId="29ABC920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FA5E5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109C10CB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4E3D03FA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15CE6B8F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19BBDD15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61D037E1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1.7</w:t>
            </w:r>
          </w:p>
        </w:tc>
        <w:tc>
          <w:tcPr>
            <w:tcW w:w="1729" w:type="pct"/>
            <w:noWrap/>
          </w:tcPr>
          <w:p w14:paraId="0BFC9473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All relevant outcomes are measured in a standard, valid and reliable way</w:t>
            </w:r>
          </w:p>
        </w:tc>
        <w:tc>
          <w:tcPr>
            <w:tcW w:w="584" w:type="pct"/>
          </w:tcPr>
          <w:p w14:paraId="73D7ADDB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6" w:type="pct"/>
          </w:tcPr>
          <w:p w14:paraId="34359F99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7FEF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5" w:type="pct"/>
          </w:tcPr>
          <w:p w14:paraId="7A90B502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1C7D0EFB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04B47367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35831112" w14:textId="77777777" w:rsidTr="00222163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571D3DFA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1.8</w:t>
            </w:r>
          </w:p>
        </w:tc>
        <w:tc>
          <w:tcPr>
            <w:tcW w:w="1729" w:type="pct"/>
            <w:noWrap/>
          </w:tcPr>
          <w:p w14:paraId="17DF8760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What percentage of the individuals or clusters recruited into each treatment arm of the study dropped out before the study was completed?</w:t>
            </w:r>
          </w:p>
        </w:tc>
        <w:tc>
          <w:tcPr>
            <w:tcW w:w="584" w:type="pct"/>
          </w:tcPr>
          <w:p w14:paraId="75592266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Patients</w:t>
            </w:r>
          </w:p>
          <w:p w14:paraId="7789898E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I (18%)</w:t>
            </w:r>
          </w:p>
          <w:p w14:paraId="726EF901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 (13%)</w:t>
            </w:r>
          </w:p>
        </w:tc>
        <w:tc>
          <w:tcPr>
            <w:tcW w:w="456" w:type="pct"/>
          </w:tcPr>
          <w:p w14:paraId="26539546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sz w:val="18"/>
                <w:szCs w:val="20"/>
                <w:lang w:eastAsia="en-AU"/>
              </w:rPr>
            </w:pPr>
            <w:r w:rsidRPr="00F42E8F">
              <w:rPr>
                <w:rFonts w:eastAsia="Times New Roman" w:cs="Calibri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6649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Patients</w:t>
            </w:r>
          </w:p>
          <w:p w14:paraId="5E6ADFC6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I (29%)</w:t>
            </w:r>
          </w:p>
          <w:p w14:paraId="4517A671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 (21%)</w:t>
            </w:r>
          </w:p>
        </w:tc>
        <w:tc>
          <w:tcPr>
            <w:tcW w:w="455" w:type="pct"/>
          </w:tcPr>
          <w:p w14:paraId="37590C07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Patients</w:t>
            </w:r>
          </w:p>
          <w:p w14:paraId="6E2F2D40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I (13%)</w:t>
            </w:r>
          </w:p>
          <w:p w14:paraId="22E7DFBF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 (14%)</w:t>
            </w:r>
          </w:p>
        </w:tc>
        <w:tc>
          <w:tcPr>
            <w:tcW w:w="520" w:type="pct"/>
          </w:tcPr>
          <w:p w14:paraId="347F60A7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Patients</w:t>
            </w:r>
          </w:p>
          <w:p w14:paraId="15ABBE56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I (7%)</w:t>
            </w:r>
          </w:p>
          <w:p w14:paraId="78B1B0A5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 (3%)</w:t>
            </w:r>
          </w:p>
        </w:tc>
        <w:tc>
          <w:tcPr>
            <w:tcW w:w="520" w:type="pct"/>
          </w:tcPr>
          <w:p w14:paraId="53D2AE1D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Patients</w:t>
            </w:r>
          </w:p>
          <w:p w14:paraId="546E7842" w14:textId="77777777" w:rsidR="00222163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I (7%)</w:t>
            </w:r>
          </w:p>
          <w:p w14:paraId="2D086122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 (16%)</w:t>
            </w:r>
          </w:p>
        </w:tc>
      </w:tr>
      <w:tr w:rsidR="00222163" w:rsidRPr="00994C7D" w14:paraId="7ED055E6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0032B077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1.9</w:t>
            </w:r>
          </w:p>
        </w:tc>
        <w:tc>
          <w:tcPr>
            <w:tcW w:w="1729" w:type="pct"/>
            <w:noWrap/>
          </w:tcPr>
          <w:p w14:paraId="33A87F4D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GB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GB" w:eastAsia="en-GB"/>
              </w:rPr>
              <w:t>All the subjects are analysed in the groups to which they were randomly allocated (intention to treat analysis)</w:t>
            </w:r>
          </w:p>
        </w:tc>
        <w:tc>
          <w:tcPr>
            <w:tcW w:w="584" w:type="pct"/>
          </w:tcPr>
          <w:p w14:paraId="62287E0B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</w:t>
            </w:r>
          </w:p>
        </w:tc>
        <w:tc>
          <w:tcPr>
            <w:tcW w:w="456" w:type="pct"/>
          </w:tcPr>
          <w:p w14:paraId="467868C0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7827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7AA920F1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4561C745" w14:textId="77777777" w:rsidR="00222163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  <w:p w14:paraId="53267682" w14:textId="77777777" w:rsidR="00222163" w:rsidRPr="00187766" w:rsidRDefault="00222163" w:rsidP="002221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sz w:val="18"/>
                <w:szCs w:val="20"/>
                <w:lang w:eastAsia="en-AU"/>
              </w:rPr>
            </w:pPr>
          </w:p>
        </w:tc>
        <w:tc>
          <w:tcPr>
            <w:tcW w:w="520" w:type="pct"/>
          </w:tcPr>
          <w:p w14:paraId="059D4E4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N</w:t>
            </w:r>
          </w:p>
        </w:tc>
      </w:tr>
      <w:tr w:rsidR="00222163" w:rsidRPr="00994C7D" w14:paraId="707DAC0A" w14:textId="77777777" w:rsidTr="00222163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197C5889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lang w:val="en-US" w:eastAsia="en-GB"/>
              </w:rPr>
              <w:t>1.10</w:t>
            </w:r>
          </w:p>
        </w:tc>
        <w:tc>
          <w:tcPr>
            <w:tcW w:w="1729" w:type="pct"/>
            <w:noWrap/>
          </w:tcPr>
          <w:p w14:paraId="525D3C89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FF0000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Where the study is carried out at more than one site, results are comparable for all sites</w:t>
            </w:r>
          </w:p>
        </w:tc>
        <w:tc>
          <w:tcPr>
            <w:tcW w:w="584" w:type="pct"/>
          </w:tcPr>
          <w:p w14:paraId="5DE83985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6" w:type="pct"/>
          </w:tcPr>
          <w:p w14:paraId="30F396C8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 w:rsidRPr="00F42E8F">
              <w:rPr>
                <w:rFonts w:eastAsia="Times New Roman" w:cs="Calibri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C4CFA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455" w:type="pct"/>
          </w:tcPr>
          <w:p w14:paraId="0351CFE4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520" w:type="pct"/>
          </w:tcPr>
          <w:p w14:paraId="74A112BA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  <w:tc>
          <w:tcPr>
            <w:tcW w:w="520" w:type="pct"/>
          </w:tcPr>
          <w:p w14:paraId="62584C8D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Can’t say</w:t>
            </w:r>
          </w:p>
        </w:tc>
      </w:tr>
      <w:tr w:rsidR="00222163" w:rsidRPr="00994C7D" w14:paraId="75308F0B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203DEE46" w14:textId="77777777" w:rsidR="00222163" w:rsidRPr="00994C7D" w:rsidRDefault="00222163" w:rsidP="00222163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 w:rsidRPr="00994C7D"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2.1</w:t>
            </w:r>
          </w:p>
        </w:tc>
        <w:tc>
          <w:tcPr>
            <w:tcW w:w="1729" w:type="pct"/>
            <w:noWrap/>
          </w:tcPr>
          <w:p w14:paraId="02EAC9FA" w14:textId="77777777" w:rsidR="00222163" w:rsidRPr="00994C7D" w:rsidRDefault="00222163" w:rsidP="00222163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19"/>
                <w:lang w:eastAsia="en-AU"/>
              </w:rPr>
            </w:pPr>
            <w:r w:rsidRPr="00994C7D">
              <w:rPr>
                <w:rFonts w:eastAsia="Times New Roman" w:cs="Calibri"/>
                <w:color w:val="000000"/>
                <w:sz w:val="18"/>
                <w:szCs w:val="19"/>
                <w:lang w:eastAsia="en-AU"/>
              </w:rPr>
              <w:t>How well was the study done to minimise bias?</w:t>
            </w:r>
          </w:p>
        </w:tc>
        <w:tc>
          <w:tcPr>
            <w:tcW w:w="584" w:type="pct"/>
          </w:tcPr>
          <w:p w14:paraId="0453276F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AQ (+)</w:t>
            </w:r>
          </w:p>
        </w:tc>
        <w:tc>
          <w:tcPr>
            <w:tcW w:w="456" w:type="pct"/>
          </w:tcPr>
          <w:p w14:paraId="051C75DE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AQ (+)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740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HQ (++)</w:t>
            </w:r>
          </w:p>
        </w:tc>
        <w:tc>
          <w:tcPr>
            <w:tcW w:w="455" w:type="pct"/>
          </w:tcPr>
          <w:p w14:paraId="1D89BF1C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HQ (++)</w:t>
            </w:r>
          </w:p>
        </w:tc>
        <w:tc>
          <w:tcPr>
            <w:tcW w:w="520" w:type="pct"/>
          </w:tcPr>
          <w:p w14:paraId="4875593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HQ (++)</w:t>
            </w:r>
          </w:p>
        </w:tc>
        <w:tc>
          <w:tcPr>
            <w:tcW w:w="520" w:type="pct"/>
          </w:tcPr>
          <w:p w14:paraId="58EC1D65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HQ (++)</w:t>
            </w:r>
          </w:p>
        </w:tc>
      </w:tr>
      <w:tr w:rsidR="00222163" w:rsidRPr="00994C7D" w14:paraId="760A6561" w14:textId="77777777" w:rsidTr="00222163">
        <w:trPr>
          <w:trHeight w:val="7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62EC93A7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szCs w:val="20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20"/>
                <w:lang w:val="en-US" w:eastAsia="en-GB"/>
              </w:rPr>
              <w:t>2.2</w:t>
            </w:r>
          </w:p>
        </w:tc>
        <w:tc>
          <w:tcPr>
            <w:tcW w:w="1729" w:type="pct"/>
            <w:noWrap/>
          </w:tcPr>
          <w:p w14:paraId="28E954D9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proofErr w:type="gramStart"/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Taking into account</w:t>
            </w:r>
            <w:proofErr w:type="gramEnd"/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 xml:space="preserve"> clinical considerations, your evaluation of the methodology used, and the power of the study, are you certain that the overall effect is due to the study intervention?</w:t>
            </w:r>
          </w:p>
        </w:tc>
        <w:tc>
          <w:tcPr>
            <w:tcW w:w="584" w:type="pct"/>
          </w:tcPr>
          <w:p w14:paraId="1A68C0E2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6" w:type="pct"/>
          </w:tcPr>
          <w:p w14:paraId="3FBC4C7C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F53C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5FA2BD83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014D25B5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07AC3F70" w14:textId="77777777" w:rsidR="00222163" w:rsidRPr="00994C7D" w:rsidRDefault="00222163" w:rsidP="0022216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  <w:tr w:rsidR="00222163" w:rsidRPr="00994C7D" w14:paraId="368C54FF" w14:textId="77777777" w:rsidTr="002221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" w:type="pct"/>
            <w:tcBorders>
              <w:left w:val="single" w:sz="12" w:space="0" w:color="auto"/>
            </w:tcBorders>
            <w:noWrap/>
          </w:tcPr>
          <w:p w14:paraId="07E040B3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jc w:val="center"/>
              <w:rPr>
                <w:rFonts w:eastAsia="Times New Roman" w:cs="Arial"/>
                <w:sz w:val="18"/>
                <w:szCs w:val="20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20"/>
                <w:lang w:val="en-US" w:eastAsia="en-GB"/>
              </w:rPr>
              <w:t>2.3</w:t>
            </w:r>
          </w:p>
        </w:tc>
        <w:tc>
          <w:tcPr>
            <w:tcW w:w="1729" w:type="pct"/>
          </w:tcPr>
          <w:p w14:paraId="411ED809" w14:textId="77777777" w:rsidR="00222163" w:rsidRPr="00994C7D" w:rsidRDefault="00222163" w:rsidP="00222163">
            <w:pPr>
              <w:autoSpaceDE w:val="0"/>
              <w:autoSpaceDN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8"/>
                <w:szCs w:val="19"/>
                <w:lang w:val="en-US" w:eastAsia="en-GB"/>
              </w:rPr>
            </w:pPr>
            <w:r w:rsidRPr="00994C7D">
              <w:rPr>
                <w:rFonts w:eastAsia="Times New Roman" w:cs="Arial"/>
                <w:sz w:val="18"/>
                <w:szCs w:val="19"/>
                <w:lang w:val="en-US" w:eastAsia="en-GB"/>
              </w:rPr>
              <w:t>Are the results of this study directly applicable to the patient group targeted by this guideline?</w:t>
            </w:r>
          </w:p>
        </w:tc>
        <w:tc>
          <w:tcPr>
            <w:tcW w:w="584" w:type="pct"/>
          </w:tcPr>
          <w:p w14:paraId="5752B646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6" w:type="pct"/>
          </w:tcPr>
          <w:p w14:paraId="1B276F94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3391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455" w:type="pct"/>
          </w:tcPr>
          <w:p w14:paraId="63F7215B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1AC79E8A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  <w:tc>
          <w:tcPr>
            <w:tcW w:w="520" w:type="pct"/>
          </w:tcPr>
          <w:p w14:paraId="7719DEFC" w14:textId="77777777" w:rsidR="00222163" w:rsidRPr="00994C7D" w:rsidRDefault="00222163" w:rsidP="0022216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</w:pPr>
            <w:r>
              <w:rPr>
                <w:rFonts w:eastAsia="Times New Roman" w:cs="Calibri"/>
                <w:color w:val="000000"/>
                <w:sz w:val="18"/>
                <w:szCs w:val="20"/>
                <w:lang w:eastAsia="en-AU"/>
              </w:rPr>
              <w:t>Y</w:t>
            </w:r>
          </w:p>
        </w:tc>
      </w:tr>
    </w:tbl>
    <w:p w14:paraId="70EF95DB" w14:textId="77777777" w:rsidR="00222163" w:rsidRDefault="00222163" w:rsidP="00994C7D">
      <w:bookmarkStart w:id="0" w:name="_GoBack"/>
      <w:bookmarkEnd w:id="0"/>
    </w:p>
    <w:sectPr w:rsidR="00222163" w:rsidSect="00A13547">
      <w:pgSz w:w="16838" w:h="11906" w:orient="landscape" w:code="9"/>
      <w:pgMar w:top="426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DDB"/>
    <w:rsid w:val="0002114D"/>
    <w:rsid w:val="0003139C"/>
    <w:rsid w:val="000407DC"/>
    <w:rsid w:val="000A3839"/>
    <w:rsid w:val="000B50CF"/>
    <w:rsid w:val="000D0248"/>
    <w:rsid w:val="001434FE"/>
    <w:rsid w:val="00160FDC"/>
    <w:rsid w:val="00187766"/>
    <w:rsid w:val="001A0F52"/>
    <w:rsid w:val="001B24C5"/>
    <w:rsid w:val="001C6DDB"/>
    <w:rsid w:val="001D4F3C"/>
    <w:rsid w:val="001E073D"/>
    <w:rsid w:val="00202740"/>
    <w:rsid w:val="00222163"/>
    <w:rsid w:val="002A31BC"/>
    <w:rsid w:val="002B3062"/>
    <w:rsid w:val="002B7582"/>
    <w:rsid w:val="002F769A"/>
    <w:rsid w:val="0031674C"/>
    <w:rsid w:val="003A4F52"/>
    <w:rsid w:val="003A5ED7"/>
    <w:rsid w:val="00421BA5"/>
    <w:rsid w:val="0048477B"/>
    <w:rsid w:val="004962A1"/>
    <w:rsid w:val="004B7E68"/>
    <w:rsid w:val="004D3C51"/>
    <w:rsid w:val="00574E8E"/>
    <w:rsid w:val="005C0599"/>
    <w:rsid w:val="00691598"/>
    <w:rsid w:val="006C54BE"/>
    <w:rsid w:val="00731D72"/>
    <w:rsid w:val="00775D7C"/>
    <w:rsid w:val="00796CFE"/>
    <w:rsid w:val="007B03EB"/>
    <w:rsid w:val="00854EB0"/>
    <w:rsid w:val="008F1B3A"/>
    <w:rsid w:val="0090565D"/>
    <w:rsid w:val="0092029B"/>
    <w:rsid w:val="00994C7D"/>
    <w:rsid w:val="00A13547"/>
    <w:rsid w:val="00A1657E"/>
    <w:rsid w:val="00A165C4"/>
    <w:rsid w:val="00A22565"/>
    <w:rsid w:val="00A2563A"/>
    <w:rsid w:val="00A34BB1"/>
    <w:rsid w:val="00A36E12"/>
    <w:rsid w:val="00AF1601"/>
    <w:rsid w:val="00B4485A"/>
    <w:rsid w:val="00B57CCA"/>
    <w:rsid w:val="00B667E2"/>
    <w:rsid w:val="00B701EA"/>
    <w:rsid w:val="00B726A9"/>
    <w:rsid w:val="00BA5353"/>
    <w:rsid w:val="00BB63BE"/>
    <w:rsid w:val="00BF062C"/>
    <w:rsid w:val="00C26B3C"/>
    <w:rsid w:val="00C61C93"/>
    <w:rsid w:val="00CE20C6"/>
    <w:rsid w:val="00D11F8D"/>
    <w:rsid w:val="00D21C61"/>
    <w:rsid w:val="00DB5A42"/>
    <w:rsid w:val="00DF10D6"/>
    <w:rsid w:val="00E035FF"/>
    <w:rsid w:val="00E508A3"/>
    <w:rsid w:val="00E70068"/>
    <w:rsid w:val="00EC0474"/>
    <w:rsid w:val="00ED235E"/>
    <w:rsid w:val="00F42E8F"/>
    <w:rsid w:val="00F46326"/>
    <w:rsid w:val="00F77E67"/>
    <w:rsid w:val="00FE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EDE24"/>
  <w15:chartTrackingRefBased/>
  <w15:docId w15:val="{8AEB99F4-37D5-4222-999E-2AA48154A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C6DDB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131">
    <w:name w:val="Grid Table 4131"/>
    <w:basedOn w:val="TableNormal"/>
    <w:uiPriority w:val="49"/>
    <w:rsid w:val="001C6DD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191">
    <w:name w:val="Grid Table 4191"/>
    <w:basedOn w:val="TableNormal"/>
    <w:uiPriority w:val="49"/>
    <w:rsid w:val="001C6DD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463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63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6326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3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326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46326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63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32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9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account</dc:creator>
  <cp:keywords/>
  <dc:description/>
  <cp:lastModifiedBy>Steve Milanese</cp:lastModifiedBy>
  <cp:revision>2</cp:revision>
  <dcterms:created xsi:type="dcterms:W3CDTF">2020-03-12T01:28:00Z</dcterms:created>
  <dcterms:modified xsi:type="dcterms:W3CDTF">2020-03-12T01:28:00Z</dcterms:modified>
</cp:coreProperties>
</file>