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06D36" w14:textId="5BCE82CE" w:rsidR="009E3FAA" w:rsidRDefault="001A7808" w:rsidP="00622480">
      <w:pPr>
        <w:jc w:val="center"/>
      </w:pPr>
      <w:r>
        <w:rPr>
          <w:noProof/>
        </w:rPr>
        <w:drawing>
          <wp:inline distT="0" distB="0" distL="0" distR="0" wp14:anchorId="4CCD573C" wp14:editId="6CC27601">
            <wp:extent cx="6192000" cy="369825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2000" cy="3698259"/>
                    </a:xfrm>
                    <a:prstGeom prst="rect">
                      <a:avLst/>
                    </a:prstGeom>
                    <a:noFill/>
                    <a:ln>
                      <a:noFill/>
                    </a:ln>
                  </pic:spPr>
                </pic:pic>
              </a:graphicData>
            </a:graphic>
          </wp:inline>
        </w:drawing>
      </w:r>
    </w:p>
    <w:p w14:paraId="72500B6E" w14:textId="77777777" w:rsidR="00FB4617" w:rsidRPr="00FB4617" w:rsidRDefault="00FB4617" w:rsidP="00FB4617">
      <w:pPr>
        <w:spacing w:line="360" w:lineRule="auto"/>
        <w:rPr>
          <w:rFonts w:ascii="Times New Roman" w:eastAsia="宋体" w:hAnsi="Times New Roman" w:cs="Times New Roman"/>
          <w:b/>
          <w:sz w:val="24"/>
          <w:szCs w:val="24"/>
        </w:rPr>
      </w:pPr>
      <w:r w:rsidRPr="00FB4617">
        <w:rPr>
          <w:rFonts w:ascii="Times New Roman" w:eastAsia="宋体" w:hAnsi="Times New Roman" w:cs="Times New Roman"/>
          <w:b/>
          <w:sz w:val="24"/>
          <w:szCs w:val="24"/>
        </w:rPr>
        <w:t xml:space="preserve">Figure S1 Localizations of 196 </w:t>
      </w:r>
      <w:r w:rsidRPr="00FB4617">
        <w:rPr>
          <w:rFonts w:ascii="Times New Roman" w:eastAsia="宋体" w:hAnsi="Times New Roman" w:cs="Times New Roman"/>
          <w:b/>
          <w:i/>
          <w:sz w:val="24"/>
          <w:szCs w:val="24"/>
        </w:rPr>
        <w:t>SlbHLHs</w:t>
      </w:r>
      <w:r w:rsidRPr="00FB4617">
        <w:rPr>
          <w:rFonts w:ascii="Times New Roman" w:eastAsia="宋体" w:hAnsi="Times New Roman" w:cs="Times New Roman"/>
          <w:b/>
          <w:sz w:val="24"/>
          <w:szCs w:val="24"/>
        </w:rPr>
        <w:t xml:space="preserve"> in tomato chromosomes 1-12. </w:t>
      </w:r>
    </w:p>
    <w:p w14:paraId="306D53A8" w14:textId="03D3601E" w:rsidR="009E3FAA" w:rsidRDefault="00FB4617" w:rsidP="00FB4617">
      <w:r w:rsidRPr="00FB4617">
        <w:rPr>
          <w:rFonts w:ascii="Times New Roman" w:eastAsia="宋体" w:hAnsi="Times New Roman" w:cs="Times New Roman"/>
          <w:sz w:val="24"/>
          <w:szCs w:val="24"/>
        </w:rPr>
        <w:t xml:space="preserve">The blue arc behind some </w:t>
      </w:r>
      <w:r w:rsidRPr="00FB4617">
        <w:rPr>
          <w:rFonts w:ascii="Times New Roman" w:eastAsia="宋体" w:hAnsi="Times New Roman" w:cs="Times New Roman"/>
          <w:i/>
          <w:sz w:val="24"/>
          <w:szCs w:val="24"/>
        </w:rPr>
        <w:t>SlbHLHs</w:t>
      </w:r>
      <w:r w:rsidRPr="00FB4617">
        <w:rPr>
          <w:rFonts w:ascii="Times New Roman" w:eastAsia="宋体" w:hAnsi="Times New Roman" w:cs="Times New Roman"/>
          <w:sz w:val="24"/>
          <w:szCs w:val="24"/>
        </w:rPr>
        <w:t xml:space="preserve"> represent the gene duplication of part of the bHLH genes in tomato.</w:t>
      </w:r>
    </w:p>
    <w:p w14:paraId="4669F0E6" w14:textId="694B81FE" w:rsidR="009E3FAA" w:rsidRDefault="009E3FAA"/>
    <w:p w14:paraId="2E5F7853" w14:textId="77777777" w:rsidR="004D5303" w:rsidRDefault="004D5303"/>
    <w:p w14:paraId="1F0AF2DD" w14:textId="05BD3081" w:rsidR="004D5303" w:rsidRDefault="004D5303"/>
    <w:p w14:paraId="45FA84C7" w14:textId="36C49DCF" w:rsidR="00FB4617" w:rsidRDefault="00FB4617"/>
    <w:p w14:paraId="2FE6EE09" w14:textId="49468EF5" w:rsidR="00FB4617" w:rsidRDefault="00FB4617"/>
    <w:p w14:paraId="32E735FB" w14:textId="6B0EA404" w:rsidR="00FB4617" w:rsidRDefault="00FB4617"/>
    <w:p w14:paraId="2BB71262" w14:textId="294906DB" w:rsidR="00FB4617" w:rsidRDefault="00FB4617"/>
    <w:p w14:paraId="7198BD72" w14:textId="77777777" w:rsidR="00FB4617" w:rsidRDefault="00FB4617">
      <w:pPr>
        <w:rPr>
          <w:rFonts w:hint="eastAsia"/>
        </w:rPr>
      </w:pPr>
    </w:p>
    <w:p w14:paraId="5E5F2C32" w14:textId="090C27CF" w:rsidR="009E3FAA" w:rsidRDefault="00FB4617">
      <w:r>
        <w:rPr>
          <w:noProof/>
        </w:rPr>
        <w:lastRenderedPageBreak/>
        <w:drawing>
          <wp:inline distT="0" distB="0" distL="0" distR="0" wp14:anchorId="0C312867" wp14:editId="6E39D464">
            <wp:extent cx="6188710" cy="3515836"/>
            <wp:effectExtent l="0" t="0" r="254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8710" cy="3515836"/>
                    </a:xfrm>
                    <a:prstGeom prst="rect">
                      <a:avLst/>
                    </a:prstGeom>
                    <a:noFill/>
                    <a:ln>
                      <a:noFill/>
                    </a:ln>
                  </pic:spPr>
                </pic:pic>
              </a:graphicData>
            </a:graphic>
          </wp:inline>
        </w:drawing>
      </w:r>
    </w:p>
    <w:p w14:paraId="2EE137E2" w14:textId="77777777" w:rsidR="00FB4617" w:rsidRPr="00FB4617" w:rsidRDefault="00FB4617" w:rsidP="00FB4617">
      <w:pPr>
        <w:spacing w:line="360" w:lineRule="auto"/>
        <w:rPr>
          <w:rFonts w:ascii="Times New Roman" w:eastAsia="宋体" w:hAnsi="Times New Roman" w:cs="Times New Roman"/>
          <w:b/>
          <w:sz w:val="24"/>
          <w:szCs w:val="24"/>
        </w:rPr>
      </w:pPr>
      <w:r w:rsidRPr="00FB4617">
        <w:rPr>
          <w:rFonts w:ascii="Times New Roman" w:eastAsia="宋体" w:hAnsi="Times New Roman" w:cs="Times New Roman"/>
          <w:b/>
          <w:sz w:val="24"/>
          <w:szCs w:val="24"/>
        </w:rPr>
        <w:t xml:space="preserve">Figure S2 Distributions of 196 SlbHLH protein motifs identified by MEME data. </w:t>
      </w:r>
    </w:p>
    <w:p w14:paraId="1129A575" w14:textId="77777777" w:rsidR="00FB4617" w:rsidRPr="00FB4617" w:rsidRDefault="00FB4617" w:rsidP="00FB4617">
      <w:pPr>
        <w:spacing w:line="360" w:lineRule="auto"/>
        <w:rPr>
          <w:rFonts w:ascii="Times New Roman" w:eastAsia="宋体" w:hAnsi="Times New Roman" w:cs="Times New Roman"/>
          <w:sz w:val="24"/>
          <w:szCs w:val="24"/>
        </w:rPr>
      </w:pPr>
      <w:r w:rsidRPr="00FB4617">
        <w:rPr>
          <w:rFonts w:ascii="Times New Roman" w:eastAsia="宋体" w:hAnsi="Times New Roman" w:cs="Times New Roman"/>
          <w:sz w:val="24"/>
          <w:szCs w:val="24"/>
        </w:rPr>
        <w:t xml:space="preserve">The number (30) and length (12-50) of conserved motifs are based on the settings in </w:t>
      </w:r>
      <w:r w:rsidRPr="00FB4617">
        <w:rPr>
          <w:rFonts w:ascii="Times New Roman" w:eastAsia="宋体" w:hAnsi="Times New Roman" w:cs="Times New Roman"/>
          <w:i/>
          <w:sz w:val="24"/>
          <w:szCs w:val="24"/>
        </w:rPr>
        <w:t>Arabidopsis</w:t>
      </w:r>
      <w:r w:rsidRPr="00FB4617">
        <w:rPr>
          <w:rFonts w:ascii="Times New Roman" w:eastAsia="宋体" w:hAnsi="Times New Roman" w:cs="Times New Roman"/>
          <w:sz w:val="24"/>
          <w:szCs w:val="24"/>
        </w:rPr>
        <w:t xml:space="preserve">. The distribution (A) and sequence consensus (B) of 30 most significantly conserved motifs in SlbHLHs. The colorful boxes denote different motifs. (C). Schematic representations of multiple sequence alignment of the helix–loop–helix (HLH) region and the basic region in SlbHLHs. The height of the letter at each position is positively correlated with the conservation of the corresponding amino acid residues at that position. </w:t>
      </w:r>
    </w:p>
    <w:p w14:paraId="1BEA0F16" w14:textId="0BA8BFF8" w:rsidR="002424B5" w:rsidRDefault="002424B5"/>
    <w:p w14:paraId="63D942D1" w14:textId="20E52ED5" w:rsidR="00FB4617" w:rsidRDefault="00FB4617"/>
    <w:p w14:paraId="1342723B" w14:textId="7724F488" w:rsidR="00FB4617" w:rsidRDefault="00FB4617"/>
    <w:p w14:paraId="5FC600F6" w14:textId="4A1FCB70" w:rsidR="00FB4617" w:rsidRDefault="00FB4617"/>
    <w:p w14:paraId="40CC5B02" w14:textId="7ACC34F7" w:rsidR="00FB4617" w:rsidRDefault="00FB4617"/>
    <w:p w14:paraId="0718CE63" w14:textId="5DB259BF" w:rsidR="00FB4617" w:rsidRDefault="00FB4617"/>
    <w:p w14:paraId="1E29CD8E" w14:textId="44BF79E8" w:rsidR="00FB4617" w:rsidRDefault="00FB4617"/>
    <w:p w14:paraId="00B49167" w14:textId="2A3AC0E9" w:rsidR="00FB4617" w:rsidRDefault="00FB4617"/>
    <w:p w14:paraId="2B076FBB" w14:textId="57562A0B" w:rsidR="00FB4617" w:rsidRDefault="00FB4617"/>
    <w:p w14:paraId="1F97C6AC" w14:textId="1CAD680A" w:rsidR="00FB4617" w:rsidRDefault="00FB4617"/>
    <w:p w14:paraId="437CF9E9" w14:textId="2C8C34EA" w:rsidR="00FB4617" w:rsidRDefault="00FB4617"/>
    <w:p w14:paraId="19D6C39C" w14:textId="5F1AFFE7" w:rsidR="00FB4617" w:rsidRDefault="00FB4617"/>
    <w:p w14:paraId="29D81EA8" w14:textId="631CCF6C" w:rsidR="00FB4617" w:rsidRDefault="00FB4617"/>
    <w:p w14:paraId="634E4B82" w14:textId="4DB39BEF" w:rsidR="00FB4617" w:rsidRDefault="00FB4617"/>
    <w:p w14:paraId="7E71F444" w14:textId="74B4C9BD" w:rsidR="00FB4617" w:rsidRDefault="00FB4617"/>
    <w:p w14:paraId="56AC4D5F" w14:textId="2B211D24" w:rsidR="00FB4617" w:rsidRDefault="00FB4617"/>
    <w:p w14:paraId="262102C3" w14:textId="052E5A5C" w:rsidR="009E3FAA" w:rsidRDefault="002424B5">
      <w:r>
        <w:rPr>
          <w:noProof/>
        </w:rPr>
        <w:lastRenderedPageBreak/>
        <w:drawing>
          <wp:inline distT="0" distB="0" distL="0" distR="0" wp14:anchorId="1055202B" wp14:editId="6B507E92">
            <wp:extent cx="6188710" cy="6589749"/>
            <wp:effectExtent l="0" t="0" r="254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8710" cy="6589749"/>
                    </a:xfrm>
                    <a:prstGeom prst="rect">
                      <a:avLst/>
                    </a:prstGeom>
                    <a:noFill/>
                    <a:ln>
                      <a:noFill/>
                    </a:ln>
                  </pic:spPr>
                </pic:pic>
              </a:graphicData>
            </a:graphic>
          </wp:inline>
        </w:drawing>
      </w:r>
    </w:p>
    <w:p w14:paraId="77408877" w14:textId="77777777" w:rsidR="00FB4617" w:rsidRPr="00FB4617" w:rsidRDefault="00FB4617" w:rsidP="00FB4617">
      <w:pPr>
        <w:spacing w:line="360" w:lineRule="auto"/>
        <w:rPr>
          <w:rFonts w:ascii="Times New Roman" w:eastAsia="宋体" w:hAnsi="Times New Roman" w:cs="Times New Roman"/>
          <w:b/>
          <w:sz w:val="24"/>
          <w:szCs w:val="24"/>
        </w:rPr>
      </w:pPr>
      <w:r w:rsidRPr="00FB4617">
        <w:rPr>
          <w:rFonts w:ascii="Times New Roman" w:eastAsia="宋体" w:hAnsi="Times New Roman" w:cs="Times New Roman"/>
          <w:b/>
          <w:sz w:val="24"/>
          <w:szCs w:val="24"/>
        </w:rPr>
        <w:t>Figure S3 Interaction networks of SlbHLHs in tomato according to the orthologues in</w:t>
      </w:r>
      <w:r w:rsidRPr="00FB4617">
        <w:rPr>
          <w:rFonts w:ascii="Times New Roman" w:eastAsia="宋体" w:hAnsi="Times New Roman" w:cs="Times New Roman"/>
          <w:b/>
          <w:i/>
          <w:sz w:val="24"/>
          <w:szCs w:val="24"/>
        </w:rPr>
        <w:t xml:space="preserve"> Arabidopsis</w:t>
      </w:r>
      <w:r w:rsidRPr="00FB4617">
        <w:rPr>
          <w:rFonts w:ascii="Times New Roman" w:eastAsia="宋体" w:hAnsi="Times New Roman" w:cs="Times New Roman"/>
          <w:b/>
          <w:sz w:val="24"/>
          <w:szCs w:val="24"/>
        </w:rPr>
        <w:t xml:space="preserve">. </w:t>
      </w:r>
    </w:p>
    <w:p w14:paraId="01C025E9" w14:textId="77777777" w:rsidR="00FB4617" w:rsidRPr="00FB4617" w:rsidRDefault="00FB4617" w:rsidP="00FB4617">
      <w:pPr>
        <w:spacing w:line="360" w:lineRule="auto"/>
        <w:rPr>
          <w:rFonts w:ascii="Times New Roman" w:eastAsia="宋体" w:hAnsi="Times New Roman" w:cs="Times New Roman"/>
          <w:sz w:val="24"/>
          <w:szCs w:val="24"/>
        </w:rPr>
      </w:pPr>
      <w:r w:rsidRPr="00FB4617">
        <w:rPr>
          <w:rFonts w:ascii="Times New Roman" w:eastAsia="宋体" w:hAnsi="Times New Roman" w:cs="Times New Roman"/>
          <w:sz w:val="24"/>
          <w:szCs w:val="24"/>
        </w:rPr>
        <w:t>The amino acid sequences of SlbHLHs in tomato were employed to search the STRING database. Network node represents proteins, and edge represents protein-protein associations. The different colored lines between the nodes indicate the different kinds of interactions. The numbers (SlbHLH gene name) in brackets represent the corresponding orthologues in tomato. The filled and empty nodes delineate the proteins with known or predicted 3D structures and unknown 3D structures, respectively.</w:t>
      </w:r>
    </w:p>
    <w:p w14:paraId="3638BA13" w14:textId="2B711E9E" w:rsidR="00C7153D" w:rsidRDefault="00C7153D">
      <w:r>
        <w:rPr>
          <w:noProof/>
        </w:rPr>
        <w:lastRenderedPageBreak/>
        <w:drawing>
          <wp:inline distT="0" distB="0" distL="0" distR="0" wp14:anchorId="533D556C" wp14:editId="040627C0">
            <wp:extent cx="6188710" cy="3043390"/>
            <wp:effectExtent l="0" t="0" r="254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10" cy="3043390"/>
                    </a:xfrm>
                    <a:prstGeom prst="rect">
                      <a:avLst/>
                    </a:prstGeom>
                    <a:noFill/>
                    <a:ln>
                      <a:noFill/>
                    </a:ln>
                  </pic:spPr>
                </pic:pic>
              </a:graphicData>
            </a:graphic>
          </wp:inline>
        </w:drawing>
      </w:r>
    </w:p>
    <w:p w14:paraId="20317FF8" w14:textId="77777777" w:rsidR="003B0A3B" w:rsidRPr="003B0A3B" w:rsidRDefault="003B0A3B" w:rsidP="003B0A3B">
      <w:pPr>
        <w:spacing w:line="360" w:lineRule="auto"/>
        <w:rPr>
          <w:rFonts w:ascii="Times New Roman" w:eastAsia="宋体" w:hAnsi="Times New Roman" w:cs="Times New Roman"/>
          <w:sz w:val="24"/>
          <w:szCs w:val="24"/>
        </w:rPr>
      </w:pPr>
      <w:r w:rsidRPr="003B0A3B">
        <w:rPr>
          <w:rFonts w:ascii="Times New Roman" w:eastAsia="宋体" w:hAnsi="Times New Roman" w:cs="Times New Roman"/>
          <w:b/>
          <w:sz w:val="24"/>
          <w:szCs w:val="24"/>
        </w:rPr>
        <w:t xml:space="preserve">Figure S4 Correlation analysis and cluster analysis of DEGs. </w:t>
      </w:r>
    </w:p>
    <w:p w14:paraId="26070DC2" w14:textId="77777777" w:rsidR="003B0A3B" w:rsidRPr="003B0A3B" w:rsidRDefault="003B0A3B" w:rsidP="003B0A3B">
      <w:pPr>
        <w:spacing w:line="360" w:lineRule="auto"/>
        <w:rPr>
          <w:rFonts w:ascii="Times New Roman" w:eastAsia="宋体" w:hAnsi="Times New Roman" w:cs="Times New Roman"/>
          <w:sz w:val="24"/>
          <w:szCs w:val="24"/>
        </w:rPr>
      </w:pPr>
      <w:r w:rsidRPr="003B0A3B">
        <w:rPr>
          <w:rFonts w:ascii="Times New Roman" w:eastAsia="宋体" w:hAnsi="Times New Roman" w:cs="Times New Roman"/>
          <w:sz w:val="24"/>
          <w:szCs w:val="24"/>
        </w:rPr>
        <w:t>(A). Correlation analysis (through Pearson’s correlation coefficient) of RNA-seq data between two replicates. (B). Cluster analysis of DEGs using H-cluster method.</w:t>
      </w:r>
    </w:p>
    <w:p w14:paraId="77A79BF2" w14:textId="77777777" w:rsidR="003B0A3B" w:rsidRPr="003B0A3B" w:rsidRDefault="003B0A3B" w:rsidP="003B0A3B">
      <w:pPr>
        <w:spacing w:line="360" w:lineRule="auto"/>
        <w:rPr>
          <w:rFonts w:ascii="Times New Roman" w:eastAsia="宋体" w:hAnsi="Times New Roman" w:cs="Times New Roman"/>
          <w:sz w:val="24"/>
          <w:szCs w:val="24"/>
        </w:rPr>
      </w:pPr>
    </w:p>
    <w:p w14:paraId="7A482B2E" w14:textId="79709339" w:rsidR="00C7153D" w:rsidRDefault="00C7153D">
      <w:bookmarkStart w:id="0" w:name="_GoBack"/>
      <w:bookmarkEnd w:id="0"/>
    </w:p>
    <w:p w14:paraId="6ECCFD4C" w14:textId="491E35BC" w:rsidR="006C765F" w:rsidRDefault="006C765F"/>
    <w:p w14:paraId="27004125" w14:textId="77777777" w:rsidR="006C765F" w:rsidRDefault="006C765F"/>
    <w:sectPr w:rsidR="006C765F" w:rsidSect="0062248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CB8E0" w14:textId="77777777" w:rsidR="00A87163" w:rsidRDefault="00A87163" w:rsidP="001D3AA5">
      <w:r>
        <w:separator/>
      </w:r>
    </w:p>
  </w:endnote>
  <w:endnote w:type="continuationSeparator" w:id="0">
    <w:p w14:paraId="3027A3CF" w14:textId="77777777" w:rsidR="00A87163" w:rsidRDefault="00A87163" w:rsidP="001D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466F0" w14:textId="77777777" w:rsidR="00A87163" w:rsidRDefault="00A87163" w:rsidP="001D3AA5">
      <w:r>
        <w:separator/>
      </w:r>
    </w:p>
  </w:footnote>
  <w:footnote w:type="continuationSeparator" w:id="0">
    <w:p w14:paraId="09319AC1" w14:textId="77777777" w:rsidR="00A87163" w:rsidRDefault="00A87163" w:rsidP="001D3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D"/>
    <w:rsid w:val="000275B1"/>
    <w:rsid w:val="0008415F"/>
    <w:rsid w:val="001335A2"/>
    <w:rsid w:val="00134255"/>
    <w:rsid w:val="00173D3B"/>
    <w:rsid w:val="001A7808"/>
    <w:rsid w:val="001D3AA5"/>
    <w:rsid w:val="002424B5"/>
    <w:rsid w:val="002A17CA"/>
    <w:rsid w:val="00344F35"/>
    <w:rsid w:val="003B0A3B"/>
    <w:rsid w:val="003E048B"/>
    <w:rsid w:val="00477E7A"/>
    <w:rsid w:val="004D4BDE"/>
    <w:rsid w:val="004D5303"/>
    <w:rsid w:val="005C49AC"/>
    <w:rsid w:val="006136FD"/>
    <w:rsid w:val="00622480"/>
    <w:rsid w:val="0068770F"/>
    <w:rsid w:val="006C765F"/>
    <w:rsid w:val="007E5A42"/>
    <w:rsid w:val="00802065"/>
    <w:rsid w:val="00835BBC"/>
    <w:rsid w:val="00896E39"/>
    <w:rsid w:val="008F2627"/>
    <w:rsid w:val="009B6DBC"/>
    <w:rsid w:val="009D21C0"/>
    <w:rsid w:val="009D6FD6"/>
    <w:rsid w:val="009E3FAA"/>
    <w:rsid w:val="00A87163"/>
    <w:rsid w:val="00AA6EBB"/>
    <w:rsid w:val="00B01759"/>
    <w:rsid w:val="00B17585"/>
    <w:rsid w:val="00C7153D"/>
    <w:rsid w:val="00E42C7D"/>
    <w:rsid w:val="00EC28E4"/>
    <w:rsid w:val="00FB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1E6BA"/>
  <w15:chartTrackingRefBased/>
  <w15:docId w15:val="{4151B406-3B80-4A4E-9C33-EBC93BA7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3A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3AA5"/>
    <w:rPr>
      <w:sz w:val="18"/>
      <w:szCs w:val="18"/>
    </w:rPr>
  </w:style>
  <w:style w:type="paragraph" w:styleId="a5">
    <w:name w:val="footer"/>
    <w:basedOn w:val="a"/>
    <w:link w:val="a6"/>
    <w:uiPriority w:val="99"/>
    <w:unhideWhenUsed/>
    <w:rsid w:val="001D3AA5"/>
    <w:pPr>
      <w:tabs>
        <w:tab w:val="center" w:pos="4153"/>
        <w:tab w:val="right" w:pos="8306"/>
      </w:tabs>
      <w:snapToGrid w:val="0"/>
      <w:jc w:val="left"/>
    </w:pPr>
    <w:rPr>
      <w:sz w:val="18"/>
      <w:szCs w:val="18"/>
    </w:rPr>
  </w:style>
  <w:style w:type="character" w:customStyle="1" w:styleId="a6">
    <w:name w:val="页脚 字符"/>
    <w:basedOn w:val="a0"/>
    <w:link w:val="a5"/>
    <w:uiPriority w:val="99"/>
    <w:rsid w:val="001D3A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6618254">
      <w:bodyDiv w:val="1"/>
      <w:marLeft w:val="0"/>
      <w:marRight w:val="0"/>
      <w:marTop w:val="0"/>
      <w:marBottom w:val="0"/>
      <w:divBdr>
        <w:top w:val="none" w:sz="0" w:space="0" w:color="auto"/>
        <w:left w:val="none" w:sz="0" w:space="0" w:color="auto"/>
        <w:bottom w:val="none" w:sz="0" w:space="0" w:color="auto"/>
        <w:right w:val="none" w:sz="0" w:space="0" w:color="auto"/>
      </w:divBdr>
    </w:div>
    <w:div w:id="191931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dcterms:created xsi:type="dcterms:W3CDTF">2023-10-13T08:24:00Z</dcterms:created>
  <dcterms:modified xsi:type="dcterms:W3CDTF">2023-10-31T12:51:00Z</dcterms:modified>
</cp:coreProperties>
</file>