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line="480" w:lineRule="auto"/>
        <w:rPr/>
      </w:pPr>
      <w:bookmarkStart w:colFirst="0" w:colLast="0" w:name="_q63w05xnxi0n" w:id="0"/>
      <w:bookmarkEnd w:id="0"/>
      <w:r w:rsidDel="00000000" w:rsidR="00000000" w:rsidRPr="00000000">
        <w:rPr>
          <w:rFonts w:ascii="Times New Roman" w:cs="Times New Roman" w:eastAsia="Times New Roman" w:hAnsi="Times New Roman"/>
          <w:rtl w:val="0"/>
        </w:rPr>
        <w:t xml:space="preserve">Additional File </w:t>
      </w:r>
      <w:r w:rsidDel="00000000" w:rsidR="00000000" w:rsidRPr="00000000">
        <w:rPr>
          <w:rtl w:val="0"/>
        </w:rPr>
      </w:r>
    </w:p>
    <w:p w:rsidR="00000000" w:rsidDel="00000000" w:rsidP="00000000" w:rsidRDefault="00000000" w:rsidRPr="00000000" w14:paraId="00000002">
      <w:pPr>
        <w:pStyle w:val="Heading1"/>
        <w:spacing w:after="0" w:before="0" w:line="480" w:lineRule="auto"/>
        <w:jc w:val="both"/>
        <w:rPr>
          <w:rFonts w:ascii="Times New Roman" w:cs="Times New Roman" w:eastAsia="Times New Roman" w:hAnsi="Times New Roman"/>
          <w:sz w:val="32"/>
          <w:szCs w:val="32"/>
        </w:rPr>
      </w:pPr>
      <w:bookmarkStart w:colFirst="0" w:colLast="0" w:name="_70b4vihpddrg" w:id="1"/>
      <w:bookmarkEnd w:id="1"/>
      <w:r w:rsidDel="00000000" w:rsidR="00000000" w:rsidRPr="00000000">
        <w:rPr>
          <w:rFonts w:ascii="Times New Roman" w:cs="Times New Roman" w:eastAsia="Times New Roman" w:hAnsi="Times New Roman"/>
          <w:b w:val="1"/>
          <w:sz w:val="28"/>
          <w:szCs w:val="28"/>
          <w:rtl w:val="0"/>
        </w:rPr>
        <w:t xml:space="preserve">Converter for Generic Networks to SPIA analysis</w:t>
      </w:r>
      <w:r w:rsidDel="00000000" w:rsidR="00000000" w:rsidRPr="00000000">
        <w:rPr>
          <w:rtl w:val="0"/>
        </w:rPr>
      </w:r>
    </w:p>
    <w:p w:rsidR="00000000" w:rsidDel="00000000" w:rsidP="00000000" w:rsidRDefault="00000000" w:rsidRPr="00000000" w14:paraId="00000003">
      <w:pPr>
        <w:spacing w:after="200" w:before="0"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order to facilitate the use of other pathway databases in our workflow, we implemented a converter to SPIA that enables to conduct this analysis with generic pathway networks. This converter is a new module part of the </w:t>
      </w:r>
      <w:r w:rsidDel="00000000" w:rsidR="00000000" w:rsidRPr="00000000">
        <w:rPr>
          <w:rFonts w:ascii="Courier New" w:cs="Courier New" w:eastAsia="Courier New" w:hAnsi="Courier New"/>
          <w:sz w:val="20"/>
          <w:szCs w:val="20"/>
          <w:rtl w:val="0"/>
        </w:rPr>
        <w:t xml:space="preserve">PathMe</w:t>
      </w:r>
      <w:r w:rsidDel="00000000" w:rsidR="00000000" w:rsidRPr="00000000">
        <w:rPr>
          <w:rFonts w:ascii="Times New Roman" w:cs="Times New Roman" w:eastAsia="Times New Roman" w:hAnsi="Times New Roman"/>
          <w:sz w:val="20"/>
          <w:szCs w:val="20"/>
          <w:rtl w:val="0"/>
        </w:rPr>
        <w:t xml:space="preserve"> package (</w:t>
      </w:r>
      <w:hyperlink r:id="rId6">
        <w:r w:rsidDel="00000000" w:rsidR="00000000" w:rsidRPr="00000000">
          <w:rPr>
            <w:rFonts w:ascii="Times New Roman" w:cs="Times New Roman" w:eastAsia="Times New Roman" w:hAnsi="Times New Roman"/>
            <w:color w:val="1155cc"/>
            <w:sz w:val="20"/>
            <w:szCs w:val="20"/>
            <w:u w:val="single"/>
            <w:rtl w:val="0"/>
          </w:rPr>
          <w:t xml:space="preserve">https://github.com/PathwayMerger/PathMe</w:t>
        </w:r>
      </w:hyperlink>
      <w:r w:rsidDel="00000000" w:rsidR="00000000" w:rsidRPr="00000000">
        <w:rPr>
          <w:rFonts w:ascii="Times New Roman" w:cs="Times New Roman" w:eastAsia="Times New Roman" w:hAnsi="Times New Roman"/>
          <w:sz w:val="20"/>
          <w:szCs w:val="20"/>
          <w:rtl w:val="0"/>
        </w:rPr>
        <w:t xml:space="preserve">) that can create input files for SPIA by running a simple command: </w:t>
      </w:r>
      <w:r w:rsidDel="00000000" w:rsidR="00000000" w:rsidRPr="00000000">
        <w:rPr>
          <w:rFonts w:ascii="Times New Roman" w:cs="Times New Roman" w:eastAsia="Times New Roman" w:hAnsi="Times New Roman"/>
          <w:i w:val="1"/>
          <w:sz w:val="20"/>
          <w:szCs w:val="20"/>
          <w:u w:val="single"/>
          <w:rtl w:val="0"/>
        </w:rPr>
        <w:t xml:space="preserve">python -m pathme export spia</w:t>
      </w:r>
      <w:r w:rsidDel="00000000" w:rsidR="00000000" w:rsidRPr="00000000">
        <w:rPr>
          <w:rFonts w:ascii="Times New Roman" w:cs="Times New Roman" w:eastAsia="Times New Roman" w:hAnsi="Times New Roman"/>
          <w:sz w:val="20"/>
          <w:szCs w:val="20"/>
          <w:rtl w:val="0"/>
        </w:rPr>
        <w:t xml:space="preserve">. Similar to the graphite R package (</w:t>
      </w:r>
      <w:hyperlink r:id="rId7">
        <w:r w:rsidDel="00000000" w:rsidR="00000000" w:rsidRPr="00000000">
          <w:rPr>
            <w:rFonts w:ascii="Times New Roman" w:cs="Times New Roman" w:eastAsia="Times New Roman" w:hAnsi="Times New Roman"/>
            <w:color w:val="1155cc"/>
            <w:sz w:val="20"/>
            <w:szCs w:val="20"/>
            <w:u w:val="single"/>
            <w:rtl w:val="0"/>
          </w:rPr>
          <w:t xml:space="preserve">https://github.com/cran/graphite</w:t>
        </w:r>
      </w:hyperlink>
      <w:r w:rsidDel="00000000" w:rsidR="00000000" w:rsidRPr="00000000">
        <w:rPr>
          <w:rFonts w:ascii="Times New Roman" w:cs="Times New Roman" w:eastAsia="Times New Roman" w:hAnsi="Times New Roman"/>
          <w:sz w:val="20"/>
          <w:szCs w:val="20"/>
          <w:rtl w:val="0"/>
        </w:rPr>
        <w:t xml:space="preserve">), PathMe processes generic networks in a way that complex nodes (i.e., reactions and complexes) are flattened, protein and RNAs are collapsed to genes as well as variants (for more information we defer to the </w:t>
      </w:r>
      <w:r w:rsidDel="00000000" w:rsidR="00000000" w:rsidRPr="00000000">
        <w:rPr>
          <w:rFonts w:ascii="Courier New" w:cs="Courier New" w:eastAsia="Courier New" w:hAnsi="Courier New"/>
          <w:sz w:val="20"/>
          <w:szCs w:val="20"/>
          <w:rtl w:val="0"/>
        </w:rPr>
        <w:t xml:space="preserve">PathMe</w:t>
      </w:r>
      <w:r w:rsidDel="00000000" w:rsidR="00000000" w:rsidRPr="00000000">
        <w:rPr>
          <w:rFonts w:ascii="Times New Roman" w:cs="Times New Roman" w:eastAsia="Times New Roman" w:hAnsi="Times New Roman"/>
          <w:sz w:val="20"/>
          <w:szCs w:val="20"/>
          <w:rtl w:val="0"/>
        </w:rPr>
        <w:t xml:space="preserve"> publication). Ultimately, the networks are stored as SPIA input files, namely a connectivity matrix filled with 1s, in the case of a relationship between two nodes, or 0s otherwise. This connectivity matrix spans over multiple relationships (thus, has multiple dimensions) that can directly be mapped from the generic network to the SPIA custom format (see PyBEL-Tools SPIA module for more details; </w:t>
      </w:r>
      <w:hyperlink r:id="rId8">
        <w:r w:rsidDel="00000000" w:rsidR="00000000" w:rsidRPr="00000000">
          <w:rPr>
            <w:rFonts w:ascii="Times New Roman" w:cs="Times New Roman" w:eastAsia="Times New Roman" w:hAnsi="Times New Roman"/>
            <w:color w:val="1155cc"/>
            <w:sz w:val="20"/>
            <w:szCs w:val="20"/>
            <w:u w:val="single"/>
            <w:rtl w:val="0"/>
          </w:rPr>
          <w:t xml:space="preserve">https://pybel-tools.readthedocs.io/en/latest/algorithms/spia.html</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04">
      <w:pPr>
        <w:pStyle w:val="Heading1"/>
        <w:spacing w:after="0" w:before="200" w:line="480" w:lineRule="auto"/>
        <w:jc w:val="both"/>
        <w:rPr>
          <w:rFonts w:ascii="Times New Roman" w:cs="Times New Roman" w:eastAsia="Times New Roman" w:hAnsi="Times New Roman"/>
          <w:sz w:val="32"/>
          <w:szCs w:val="32"/>
        </w:rPr>
      </w:pPr>
      <w:bookmarkStart w:colFirst="0" w:colLast="0" w:name="_h7vrynv1iuuy" w:id="2"/>
      <w:bookmarkEnd w:id="2"/>
      <w:r w:rsidDel="00000000" w:rsidR="00000000" w:rsidRPr="00000000">
        <w:rPr>
          <w:rFonts w:ascii="Times New Roman" w:cs="Times New Roman" w:eastAsia="Times New Roman" w:hAnsi="Times New Roman"/>
          <w:b w:val="1"/>
          <w:sz w:val="28"/>
          <w:szCs w:val="28"/>
          <w:rtl w:val="0"/>
        </w:rPr>
        <w:t xml:space="preserve">Using other Pathway Enrichment Analysis in the Workflow</w:t>
      </w:r>
      <w:r w:rsidDel="00000000" w:rsidR="00000000" w:rsidRPr="00000000">
        <w:rPr>
          <w:rtl w:val="0"/>
        </w:rPr>
      </w:r>
    </w:p>
    <w:p w:rsidR="00000000" w:rsidDel="00000000" w:rsidP="00000000" w:rsidRDefault="00000000" w:rsidRPr="00000000" w14:paraId="00000005">
      <w:pPr>
        <w:spacing w:after="200" w:line="48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following Jupyter Notebook illustrates the use of GSEA in the workflow: </w:t>
      </w:r>
      <w:hyperlink r:id="rId9">
        <w:r w:rsidDel="00000000" w:rsidR="00000000" w:rsidRPr="00000000">
          <w:rPr>
            <w:rFonts w:ascii="Times New Roman" w:cs="Times New Roman" w:eastAsia="Times New Roman" w:hAnsi="Times New Roman"/>
            <w:color w:val="1155cc"/>
            <w:u w:val="single"/>
            <w:rtl w:val="0"/>
          </w:rPr>
          <w:t xml:space="preserve">https://github.com/ps4dr/ps4dr/blob/master/notebooks/gsea_alternative.ipynb</w:t>
        </w:r>
      </w:hyperlink>
      <w:r w:rsidDel="00000000" w:rsidR="00000000" w:rsidRPr="00000000">
        <w:rPr>
          <w:rFonts w:ascii="Times New Roman" w:cs="Times New Roman" w:eastAsia="Times New Roman" w:hAnsi="Times New Roman"/>
          <w:rtl w:val="0"/>
        </w:rPr>
        <w:t xml:space="preserve">. While we used SPIA as our main pathway enrichment analysis tool, any other pathway enrichment analysis could be applied to the workflow as shown in this notebook.</w:t>
      </w:r>
    </w:p>
    <w:tbl>
      <w:tblPr>
        <w:tblStyle w:val="Table1"/>
        <w:tblW w:w="9360.0"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37.142857142857"/>
        <w:gridCol w:w="1337.142857142857"/>
        <w:gridCol w:w="1337.142857142857"/>
        <w:gridCol w:w="1337.142857142857"/>
        <w:gridCol w:w="1337.142857142857"/>
        <w:gridCol w:w="1337.142857142857"/>
        <w:gridCol w:w="1337.142857142857"/>
        <w:tblGridChange w:id="0">
          <w:tblGrid>
            <w:gridCol w:w="1337.142857142857"/>
            <w:gridCol w:w="1337.142857142857"/>
            <w:gridCol w:w="1337.142857142857"/>
            <w:gridCol w:w="1337.142857142857"/>
            <w:gridCol w:w="1337.142857142857"/>
            <w:gridCol w:w="1337.142857142857"/>
            <w:gridCol w:w="1337.142857142857"/>
          </w:tblGrid>
        </w:tblGridChange>
      </w:tblGrid>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06">
            <w:pPr>
              <w:spacing w:line="480" w:lineRule="auto"/>
              <w:jc w:val="both"/>
              <w:rPr>
                <w:rFonts w:ascii="Times New Roman" w:cs="Times New Roman" w:eastAsia="Times New Roman" w:hAnsi="Times New Roman"/>
                <w:b w:val="1"/>
                <w:sz w:val="12"/>
                <w:szCs w:val="12"/>
              </w:rPr>
            </w:pPr>
            <w:r w:rsidDel="00000000" w:rsidR="00000000" w:rsidRPr="00000000">
              <w:rPr>
                <w:rFonts w:ascii="Times New Roman" w:cs="Times New Roman" w:eastAsia="Times New Roman" w:hAnsi="Times New Roman"/>
                <w:b w:val="1"/>
                <w:sz w:val="12"/>
                <w:szCs w:val="12"/>
                <w:rtl w:val="0"/>
              </w:rPr>
              <w:t xml:space="preserve">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07">
            <w:pPr>
              <w:spacing w:line="480" w:lineRule="auto"/>
              <w:jc w:val="both"/>
              <w:rPr>
                <w:rFonts w:ascii="Times New Roman" w:cs="Times New Roman" w:eastAsia="Times New Roman" w:hAnsi="Times New Roman"/>
                <w:b w:val="1"/>
                <w:sz w:val="12"/>
                <w:szCs w:val="12"/>
              </w:rPr>
            </w:pPr>
            <w:r w:rsidDel="00000000" w:rsidR="00000000" w:rsidRPr="00000000">
              <w:rPr>
                <w:rFonts w:ascii="Times New Roman" w:cs="Times New Roman" w:eastAsia="Times New Roman" w:hAnsi="Times New Roman"/>
                <w:b w:val="1"/>
                <w:sz w:val="12"/>
                <w:szCs w:val="12"/>
                <w:rtl w:val="0"/>
              </w:rPr>
              <w:t xml:space="preserve">Drug</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08">
            <w:pPr>
              <w:spacing w:line="480" w:lineRule="auto"/>
              <w:jc w:val="both"/>
              <w:rPr>
                <w:rFonts w:ascii="Times New Roman" w:cs="Times New Roman" w:eastAsia="Times New Roman" w:hAnsi="Times New Roman"/>
                <w:b w:val="1"/>
                <w:sz w:val="12"/>
                <w:szCs w:val="12"/>
              </w:rPr>
            </w:pPr>
            <w:r w:rsidDel="00000000" w:rsidR="00000000" w:rsidRPr="00000000">
              <w:rPr>
                <w:rFonts w:ascii="Times New Roman" w:cs="Times New Roman" w:eastAsia="Times New Roman" w:hAnsi="Times New Roman"/>
                <w:b w:val="1"/>
                <w:sz w:val="12"/>
                <w:szCs w:val="12"/>
                <w:rtl w:val="0"/>
              </w:rPr>
              <w:t xml:space="preserve">Correlation Coefficient Score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09">
            <w:pPr>
              <w:spacing w:line="480" w:lineRule="auto"/>
              <w:jc w:val="both"/>
              <w:rPr>
                <w:rFonts w:ascii="Times New Roman" w:cs="Times New Roman" w:eastAsia="Times New Roman" w:hAnsi="Times New Roman"/>
                <w:b w:val="1"/>
                <w:sz w:val="12"/>
                <w:szCs w:val="12"/>
              </w:rPr>
            </w:pPr>
            <w:r w:rsidDel="00000000" w:rsidR="00000000" w:rsidRPr="00000000">
              <w:rPr>
                <w:rFonts w:ascii="Times New Roman" w:cs="Times New Roman" w:eastAsia="Times New Roman" w:hAnsi="Times New Roman"/>
                <w:b w:val="1"/>
                <w:sz w:val="12"/>
                <w:szCs w:val="12"/>
                <w:rtl w:val="0"/>
              </w:rPr>
              <w:t xml:space="preserve">Dissimilarity Score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0A">
            <w:pPr>
              <w:spacing w:line="480" w:lineRule="auto"/>
              <w:jc w:val="both"/>
              <w:rPr>
                <w:rFonts w:ascii="Times New Roman" w:cs="Times New Roman" w:eastAsia="Times New Roman" w:hAnsi="Times New Roman"/>
                <w:b w:val="1"/>
                <w:sz w:val="12"/>
                <w:szCs w:val="12"/>
              </w:rPr>
            </w:pPr>
            <w:r w:rsidDel="00000000" w:rsidR="00000000" w:rsidRPr="00000000">
              <w:rPr>
                <w:rFonts w:ascii="Times New Roman" w:cs="Times New Roman" w:eastAsia="Times New Roman" w:hAnsi="Times New Roman"/>
                <w:b w:val="1"/>
                <w:sz w:val="12"/>
                <w:szCs w:val="12"/>
                <w:rtl w:val="0"/>
              </w:rPr>
              <w:t xml:space="preserve">Drug Influenced Pathways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0B">
            <w:pPr>
              <w:spacing w:line="480" w:lineRule="auto"/>
              <w:jc w:val="both"/>
              <w:rPr>
                <w:rFonts w:ascii="Times New Roman" w:cs="Times New Roman" w:eastAsia="Times New Roman" w:hAnsi="Times New Roman"/>
                <w:b w:val="1"/>
                <w:sz w:val="12"/>
                <w:szCs w:val="12"/>
              </w:rPr>
            </w:pPr>
            <w:r w:rsidDel="00000000" w:rsidR="00000000" w:rsidRPr="00000000">
              <w:rPr>
                <w:rFonts w:ascii="Times New Roman" w:cs="Times New Roman" w:eastAsia="Times New Roman" w:hAnsi="Times New Roman"/>
                <w:b w:val="1"/>
                <w:sz w:val="12"/>
                <w:szCs w:val="12"/>
                <w:rtl w:val="0"/>
              </w:rPr>
              <w:t xml:space="preserve">Disease Influenced Pathways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0C">
            <w:pPr>
              <w:spacing w:line="480" w:lineRule="auto"/>
              <w:jc w:val="both"/>
              <w:rPr>
                <w:rFonts w:ascii="Times New Roman" w:cs="Times New Roman" w:eastAsia="Times New Roman" w:hAnsi="Times New Roman"/>
                <w:b w:val="1"/>
                <w:sz w:val="12"/>
                <w:szCs w:val="12"/>
              </w:rPr>
            </w:pPr>
            <w:r w:rsidDel="00000000" w:rsidR="00000000" w:rsidRPr="00000000">
              <w:rPr>
                <w:rFonts w:ascii="Times New Roman" w:cs="Times New Roman" w:eastAsia="Times New Roman" w:hAnsi="Times New Roman"/>
                <w:b w:val="1"/>
                <w:sz w:val="12"/>
                <w:szCs w:val="12"/>
                <w:rtl w:val="0"/>
              </w:rPr>
              <w:t xml:space="preserve">Affected Pathways (%)</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0D">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Alzheimer's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0E">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Sirolimus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0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68.97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4">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Alzheimer's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5">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Promazinehydrochloride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78.95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65.52</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B">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Alzheimer's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C">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Terfenadine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82.35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58.62</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2">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Alzheimer's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3">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Halcinonide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81.25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55.17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9">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Alzheimer's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A">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Cinacalcet hydrochloride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80.95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72.41</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0">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Alzheimer's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1">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Methapyrilenehydrochloride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80.95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72.41</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7">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Alzheimer's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8">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Mosapride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77.78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62.07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E">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Alzheimer's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F">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Perphenazine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76.47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58.62</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5">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Alzheimer's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6">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Ritanserin</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76.47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58.62</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C">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Alzheimer's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D">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Betamethasone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78.95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65.52</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3">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Alzheimer's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4">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Doxylamine succinate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73.68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65.52</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A">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Alzheimer's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B">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Pimozide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70.59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58.62</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1">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Alzheimer's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2">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Pentobarbital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66.67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51.72</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8">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Breast Carcinoma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9">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At-7519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75.34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83.91</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F">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Celiac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0">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Acitretin</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69.23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59.09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6">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Celiac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7">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Albendazole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69.23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59.09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D">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Celiac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E">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Bms-777607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69.23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59.09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4">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Celiac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5">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Dequalinium</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69.23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59.09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B">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Celiac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C">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Donepezil hydrochloride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69.23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59.09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2">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Celiac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3">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Lexibulin</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69.23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59.09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9">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Celiac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A">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Linifanib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69.23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59.09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0">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Celiac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1">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Lovastatin</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69.23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59.09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7">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Celiac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8">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Maprotiline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69.23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59.09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E">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Celiac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F">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Mebendazole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69.23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59.09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5">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Celiac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6">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Pazopanibhydrochloride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69.23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59.09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C">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Celiac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D">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Quizartinib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B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69.23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59.09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3">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Celiac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4">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Sertraline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69.23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59.09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A">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Celiac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B">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Gsk-461364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68.75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72.73</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1">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Diabetes Mellitus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2">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Palbociclib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57.14</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8">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Diabetes Mellitus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9">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Ruxolitinib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57.14</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F">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Diabetes Mellitus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0">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Atomoxetinehydrochloride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71.43</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6">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Diabetes Mellitus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7">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Promazinehydrochloride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71.43</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D">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Glioblastoma Multiforme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E">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Etazolate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-0.84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95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74.07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4">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Glioblastoma Multiforme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5">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Hydroxychloroquine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84.21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70.37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B">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Glioblastoma Multiforme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C">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Ropinirole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84.21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70.37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2">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Lung Carcinoma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3">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Fedratinib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66.67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9">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Melanoma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A">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Crizotinib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-0.63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78.95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73.08</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0">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Melanoma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1">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Bortezomib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61.54</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7">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Melanoma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8">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Olmesartan</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71.43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53.85</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E">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Melanoma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F">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Sepantronium</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68.42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73.08</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5">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Melanoma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6">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Fluspirilene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66.67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57.69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C">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Melanoma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D">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Belinostat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64.29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53.85</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3">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Melanoma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4">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Azd-2014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62.5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61.54</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A">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Melanoma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B">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Olaparib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58.82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65.38</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1">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Melanoma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2">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Tivozanib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58.82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65.38</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8">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Multiple Sclerosis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9">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Pimozide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80.95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F">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Multiple Sclerosis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0">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Alvespimycin</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53.57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6">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Multiple Sclerosis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7">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Methylprednisolone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76.19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D">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Multiple Sclerosis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E">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Alvocidib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85.71</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4">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Multiple Sclerosis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5">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Lestaurtinib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71.43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50</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B">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Multiple Sclerosis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C">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Fluticasonepropionate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73.08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92.86</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2">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Multiple Sclerosis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3">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Calcipotriene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71.43</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9">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Multiple Sclerosis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A">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Clocortolonepivalate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73.33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53.57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0">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Multiple Sclerosis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1">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Digoxin</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71.43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7">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Multiple Sclerosis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8">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Disulfiram</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72.22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64.29</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E">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Obesity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F">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Carvedilol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66.67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5">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Obesity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6">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Mefenamicacid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66.67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C">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Obesity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D">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Ziprasidone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66.67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3">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Obesity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4">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Etazolate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53.33</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A">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Obesity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B">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Fenofibrate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63.64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73.33</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1">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Obesity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2">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Tipifarnib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63.64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73.33</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8">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Obesity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9">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Tizanidinehydrochloride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64.29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93.33</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F">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Obesity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0">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Verapamilhydrochloride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64.29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93.33</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6">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Osteoarthritis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7">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Canertinib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100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60</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D">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Osteoarthritis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E">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Cytarabine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100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60</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4">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Osteoarthritis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5">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Levocetirizine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100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60</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B">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Osteoarthritis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C">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Neratinib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100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60</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2">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Osteoarthritis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3">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Pimasertib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100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60</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9">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Pancreatic Carcinoma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A">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Methyldopa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50</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0">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Pancreatic Carcinoma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1">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Tianeptine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50</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7">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Pancreatic Carcinoma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8">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Azd-6482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62.5</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E">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Pancreatic Carcinoma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F">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Fenofibrate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62.5</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5">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Pancreatic Carcinoma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6">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Praziquantel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62.5</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C">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Parkinson's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D">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Amlodipine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71.43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58.33</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3">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Parkinson's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4">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Decitabine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71.43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58.33</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A">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Parkinson's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B">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Paroxetinehydrochloride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71.43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58.33</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1">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Parkinson's Disease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2">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Sulconazolenitrate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71.43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58.33</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8">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Rheumatoid Arthritis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9">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Enclomiphenecitrate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67.86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47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59.57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F">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Squamous Cell Carcinoma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0">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Gsk-1070916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100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66.67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6">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Squamous Cell Carcinoma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7">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Tozasertib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100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66.67</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D">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Systemic Lupus Erythematosus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E">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Diflorasone diacetate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-0.61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83.33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94.74</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4">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Systemic Lupus Erythematosus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5">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Atomoxetine hydrochloride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84.21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100</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B">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Systemic Lupus Erythematosus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C">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Mibefradil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83.33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94.74</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2">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Systemic Lupus Erythematosus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3">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Rigosertib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83.33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94.74</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9">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Type I Diabetes Mellitus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A">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Dasatinib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71.43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E">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F">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63.64</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0">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Type I Diabetes Mellitus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1">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Tinidazole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-0.45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66.67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5">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6">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54.55</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7">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Type II Diabetes Mellitus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8">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Ci-1040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100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C">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D">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E">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Type II Diabetes Mellitus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F">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Brinzolamide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0">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1">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66.67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2">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3">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4">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w:t>
            </w:r>
          </w:p>
        </w:tc>
      </w:tr>
      <w:t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5">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Type II Diabetes Mellitus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6">
            <w:pPr>
              <w:spacing w:line="480" w:lineRule="auto"/>
              <w:jc w:val="both"/>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Gsk-461364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7">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-0.5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8">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66.67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9">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A">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B">
            <w:pPr>
              <w:spacing w:line="480" w:lineRule="auto"/>
              <w:jc w:val="right"/>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75</w:t>
            </w:r>
          </w:p>
        </w:tc>
      </w:tr>
    </w:tbl>
    <w:p w:rsidR="00000000" w:rsidDel="00000000" w:rsidP="00000000" w:rsidRDefault="00000000" w:rsidRPr="00000000" w14:paraId="0000027C">
      <w:pPr>
        <w:spacing w:after="200" w:line="48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Table S1. </w:t>
      </w:r>
      <w:r w:rsidDel="00000000" w:rsidR="00000000" w:rsidRPr="00000000">
        <w:rPr>
          <w:rFonts w:ascii="Times New Roman" w:cs="Times New Roman" w:eastAsia="Times New Roman" w:hAnsi="Times New Roman"/>
          <w:sz w:val="18"/>
          <w:szCs w:val="18"/>
          <w:rtl w:val="0"/>
        </w:rPr>
        <w:t xml:space="preserve">All shortlisted drugs for 17 diseases which are predicted by our workflow which met our arbitrary correlation coefficient score thresholds of less than equal to - 0.4 and affected pathways (%) more than equal to 50.</w:t>
      </w:r>
    </w:p>
    <w:p w:rsidR="00000000" w:rsidDel="00000000" w:rsidP="00000000" w:rsidRDefault="00000000" w:rsidRPr="00000000" w14:paraId="0000027D">
      <w:pPr>
        <w:spacing w:after="200" w:line="480" w:lineRule="auto"/>
        <w:jc w:val="both"/>
        <w:rPr/>
      </w:pPr>
      <w:r w:rsidDel="00000000" w:rsidR="00000000" w:rsidRPr="00000000">
        <w:rPr>
          <w:rtl w:val="0"/>
        </w:rPr>
      </w:r>
    </w:p>
    <w:p w:rsidR="00000000" w:rsidDel="00000000" w:rsidP="00000000" w:rsidRDefault="00000000" w:rsidRPr="00000000" w14:paraId="0000027E">
      <w:pPr>
        <w:spacing w:after="200" w:line="48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4348163" cy="3264733"/>
            <wp:effectExtent b="0" l="0" r="0" t="0"/>
            <wp:docPr id="1"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4348163" cy="3264733"/>
                    </a:xfrm>
                    <a:prstGeom prst="rect"/>
                    <a:ln/>
                  </pic:spPr>
                </pic:pic>
              </a:graphicData>
            </a:graphic>
          </wp:inline>
        </w:drawing>
      </w:r>
      <w:r w:rsidDel="00000000" w:rsidR="00000000" w:rsidRPr="00000000">
        <w:rPr>
          <w:rtl w:val="0"/>
        </w:rPr>
      </w:r>
    </w:p>
    <w:p w:rsidR="00000000" w:rsidDel="00000000" w:rsidP="00000000" w:rsidRDefault="00000000" w:rsidRPr="00000000" w14:paraId="0000027F">
      <w:pPr>
        <w:spacing w:after="200" w:line="48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Figure S1. </w:t>
      </w:r>
      <w:r w:rsidDel="00000000" w:rsidR="00000000" w:rsidRPr="00000000">
        <w:rPr>
          <w:rFonts w:ascii="Times New Roman" w:cs="Times New Roman" w:eastAsia="Times New Roman" w:hAnsi="Times New Roman"/>
          <w:sz w:val="18"/>
          <w:szCs w:val="18"/>
          <w:rtl w:val="0"/>
        </w:rPr>
        <w:t xml:space="preserve">Distributions of the </w:t>
      </w:r>
      <w:r w:rsidDel="00000000" w:rsidR="00000000" w:rsidRPr="00000000">
        <w:rPr>
          <w:rFonts w:ascii="Times New Roman" w:cs="Times New Roman" w:eastAsia="Times New Roman" w:hAnsi="Times New Roman"/>
          <w:i w:val="1"/>
          <w:sz w:val="18"/>
          <w:szCs w:val="18"/>
          <w:rtl w:val="0"/>
        </w:rPr>
        <w:t xml:space="preserve">p</w:t>
      </w:r>
      <w:r w:rsidDel="00000000" w:rsidR="00000000" w:rsidRPr="00000000">
        <w:rPr>
          <w:rFonts w:ascii="Times New Roman" w:cs="Times New Roman" w:eastAsia="Times New Roman" w:hAnsi="Times New Roman"/>
          <w:sz w:val="18"/>
          <w:szCs w:val="18"/>
          <w:rtl w:val="0"/>
        </w:rPr>
        <w:t xml:space="preserve">-values of the gene sets from the same and different diseases represented as a boxplot. Mann-Whitney U test confirmed that the distributions are significantly different (</w:t>
      </w:r>
      <w:r w:rsidDel="00000000" w:rsidR="00000000" w:rsidRPr="00000000">
        <w:rPr>
          <w:rFonts w:ascii="Times New Roman" w:cs="Times New Roman" w:eastAsia="Times New Roman" w:hAnsi="Times New Roman"/>
          <w:i w:val="1"/>
          <w:sz w:val="18"/>
          <w:szCs w:val="18"/>
          <w:rtl w:val="0"/>
        </w:rPr>
        <w:t xml:space="preserve">p</w:t>
      </w:r>
      <w:r w:rsidDel="00000000" w:rsidR="00000000" w:rsidRPr="00000000">
        <w:rPr>
          <w:rFonts w:ascii="Times New Roman" w:cs="Times New Roman" w:eastAsia="Times New Roman" w:hAnsi="Times New Roman"/>
          <w:sz w:val="18"/>
          <w:szCs w:val="18"/>
          <w:rtl w:val="0"/>
        </w:rPr>
        <w:t xml:space="preserve">-value=5.15e</w:t>
      </w:r>
      <w:r w:rsidDel="00000000" w:rsidR="00000000" w:rsidRPr="00000000">
        <w:rPr>
          <w:rFonts w:ascii="Times New Roman" w:cs="Times New Roman" w:eastAsia="Times New Roman" w:hAnsi="Times New Roman"/>
          <w:sz w:val="18"/>
          <w:szCs w:val="18"/>
          <w:vertAlign w:val="superscript"/>
          <w:rtl w:val="0"/>
        </w:rPr>
        <w:t xml:space="preserve">-6</w:t>
      </w:r>
      <w:r w:rsidDel="00000000" w:rsidR="00000000" w:rsidRPr="00000000">
        <w:rPr>
          <w:rFonts w:ascii="Times New Roman" w:cs="Times New Roman" w:eastAsia="Times New Roman" w:hAnsi="Times New Roman"/>
          <w:sz w:val="18"/>
          <w:szCs w:val="18"/>
          <w:rtl w:val="0"/>
        </w:rPr>
        <w:t xml:space="preserve">). These results demonstrate that genes which are genetically associated with the disease (i.e., via GWAS) are more likely to be enriched for genes differentially expressed in the same disease, in concordance with Ferrero and Agarwal (2018).</w:t>
      </w:r>
      <w:r w:rsidDel="00000000" w:rsidR="00000000" w:rsidRPr="00000000">
        <w:rPr>
          <w:rtl w:val="0"/>
        </w:rPr>
      </w:r>
    </w:p>
    <w:p w:rsidR="00000000" w:rsidDel="00000000" w:rsidP="00000000" w:rsidRDefault="00000000" w:rsidRPr="00000000" w14:paraId="00000280">
      <w:pPr>
        <w:spacing w:line="480" w:lineRule="auto"/>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1.png"/><Relationship Id="rId9" Type="http://schemas.openxmlformats.org/officeDocument/2006/relationships/hyperlink" Target="https://github.com/ps4dr/ps4dr/blob/master/notebooks/gsea_alternative.ipynb" TargetMode="External"/><Relationship Id="rId5" Type="http://schemas.openxmlformats.org/officeDocument/2006/relationships/styles" Target="styles.xml"/><Relationship Id="rId6" Type="http://schemas.openxmlformats.org/officeDocument/2006/relationships/hyperlink" Target="https://github.com/PathwayMerger/PathMe" TargetMode="External"/><Relationship Id="rId7" Type="http://schemas.openxmlformats.org/officeDocument/2006/relationships/hyperlink" Target="https://github.com/cran/graphite" TargetMode="External"/><Relationship Id="rId8" Type="http://schemas.openxmlformats.org/officeDocument/2006/relationships/hyperlink" Target="https://pybel-tools.readthedocs.io/en/latest/algorithms/spi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