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C532E" w:rsidRDefault="00FC36D0" w:rsidP="00AF65DE">
      <w:pPr>
        <w:pStyle w:val="Heading1"/>
        <w:ind w:left="0" w:firstLine="720"/>
        <w:rPr>
          <w:b/>
          <w:sz w:val="30"/>
          <w:szCs w:val="30"/>
        </w:rPr>
      </w:pPr>
      <w:bookmarkStart w:id="0" w:name="_heading=h.gjdgxs" w:colFirst="0" w:colLast="0"/>
      <w:bookmarkEnd w:id="0"/>
      <w:r>
        <w:rPr>
          <w:b/>
          <w:sz w:val="30"/>
          <w:szCs w:val="30"/>
        </w:rPr>
        <w:t>Appendix A: Institutional Complexity Data and Methods</w:t>
      </w:r>
    </w:p>
    <w:p w14:paraId="00000002" w14:textId="77777777" w:rsidR="002C532E" w:rsidRDefault="00FC36D0" w:rsidP="00AF65DE">
      <w:pPr>
        <w:pStyle w:val="Heading2"/>
        <w:ind w:left="0" w:firstLine="720"/>
      </w:pPr>
      <w:bookmarkStart w:id="1" w:name="_heading=h.30j0zll" w:colFirst="0" w:colLast="0"/>
      <w:bookmarkEnd w:id="1"/>
      <w:r>
        <w:t>Sample Frame</w:t>
      </w:r>
    </w:p>
    <w:p w14:paraId="00000003" w14:textId="77777777" w:rsidR="002C532E" w:rsidRDefault="00FC36D0" w:rsidP="00AF65DE">
      <w:pPr>
        <w:ind w:left="0"/>
      </w:pPr>
      <w:r>
        <w:t xml:space="preserve">This dataset reflects the population of Type 1 and Type 2 wildfire incidents from 1999-2020 as identified in Federal 209 Incident Reports. We identified relevant wildfire incidents using St. Denis et </w:t>
      </w:r>
      <w:proofErr w:type="spellStart"/>
      <w:r>
        <w:t>al’s</w:t>
      </w:r>
      <w:proofErr w:type="spellEnd"/>
      <w:r>
        <w:t xml:space="preserve"> (2023) All Hazards Dataset which compiles Federal 209 data into incident level summaries.   Federal 209 reports are daily reports required of all Type 1 and 2 incidents and are submitted by the assigned incident management team.  The unit of analysis is a discrete incident.  We included incidents if they contained at least one 209 record as a Type 1 or 2 incident.  Wildfire complexes were included as a single unique incident rather than separated by their component fire perimeters.   This sampling strategy resulted in a population level dataset of 3,974 Type 1 or 2 wildfires.   However, the specific number of incidents used to analyze each variable varies based on data availability in the All-Hazards dataset and subsequent processing. </w:t>
      </w:r>
    </w:p>
    <w:p w14:paraId="00000004" w14:textId="77777777" w:rsidR="002C532E" w:rsidRDefault="00FC36D0" w:rsidP="00AF65DE">
      <w:pPr>
        <w:pStyle w:val="Heading2"/>
        <w:ind w:left="0" w:firstLine="720"/>
      </w:pPr>
      <w:bookmarkStart w:id="2" w:name="_heading=h.1fob9te" w:colFirst="0" w:colLast="0"/>
      <w:bookmarkEnd w:id="2"/>
      <w:r>
        <w:t>Trend Analysis</w:t>
      </w:r>
    </w:p>
    <w:p w14:paraId="00000005" w14:textId="77777777" w:rsidR="002C532E" w:rsidRDefault="00FC36D0" w:rsidP="00AF65DE">
      <w:pPr>
        <w:ind w:left="0"/>
      </w:pPr>
      <w:r>
        <w:t xml:space="preserve">We used the “START_YEAR” field in the St. Denis et al (2023) All Hazards Dataset to assign each wildfire to a year (1999-2020). We used ordinary least squares regression to measure trends through time for each variable; for a given variable, values for all incidents were averaged annually and trend lines fit to these averaged values. </w:t>
      </w:r>
    </w:p>
    <w:p w14:paraId="00000006" w14:textId="77777777" w:rsidR="002C532E" w:rsidRDefault="002C532E"/>
    <w:p w14:paraId="00000007" w14:textId="77777777" w:rsidR="002C532E" w:rsidRDefault="00FC36D0">
      <w:pPr>
        <w:ind w:firstLine="720"/>
        <w:rPr>
          <w:b/>
        </w:rPr>
      </w:pPr>
      <w:r>
        <w:rPr>
          <w:b/>
        </w:rPr>
        <w:t>Table A1.</w:t>
      </w:r>
      <w:r>
        <w:t xml:space="preserve"> National Trend Analysis for Indicators of Institutional Complexity.</w:t>
      </w:r>
    </w:p>
    <w:p w14:paraId="00000008" w14:textId="77777777" w:rsidR="002C532E" w:rsidRDefault="002C532E"/>
    <w:tbl>
      <w:tblPr>
        <w:tblStyle w:val="a1"/>
        <w:tblW w:w="9614"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91"/>
        <w:gridCol w:w="1161"/>
        <w:gridCol w:w="1160"/>
        <w:gridCol w:w="1160"/>
        <w:gridCol w:w="830"/>
        <w:gridCol w:w="728"/>
        <w:gridCol w:w="728"/>
        <w:gridCol w:w="728"/>
        <w:gridCol w:w="728"/>
      </w:tblGrid>
      <w:tr w:rsidR="002C532E" w14:paraId="4B5AFD5A" w14:textId="77777777" w:rsidTr="00503E4E">
        <w:tc>
          <w:tcPr>
            <w:tcW w:w="239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0000009" w14:textId="77777777" w:rsidR="002C532E" w:rsidRDefault="002C532E">
            <w:pPr>
              <w:widowControl w:val="0"/>
              <w:spacing w:line="240" w:lineRule="auto"/>
              <w:ind w:left="0"/>
              <w:rPr>
                <w:b/>
                <w:sz w:val="20"/>
                <w:szCs w:val="20"/>
              </w:rPr>
            </w:pPr>
          </w:p>
          <w:p w14:paraId="0000000A" w14:textId="77777777" w:rsidR="002C532E" w:rsidRDefault="00FC36D0">
            <w:pPr>
              <w:widowControl w:val="0"/>
              <w:spacing w:line="240" w:lineRule="auto"/>
              <w:ind w:left="0"/>
              <w:rPr>
                <w:b/>
                <w:sz w:val="20"/>
                <w:szCs w:val="20"/>
              </w:rPr>
            </w:pPr>
            <w:r>
              <w:rPr>
                <w:b/>
                <w:sz w:val="20"/>
                <w:szCs w:val="20"/>
              </w:rPr>
              <w:t>Variable</w:t>
            </w:r>
          </w:p>
        </w:tc>
        <w:tc>
          <w:tcPr>
            <w:tcW w:w="116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000000C" w14:textId="77777777" w:rsidR="002C532E" w:rsidRDefault="00FC36D0">
            <w:pPr>
              <w:widowControl w:val="0"/>
              <w:spacing w:line="240" w:lineRule="auto"/>
              <w:ind w:left="0"/>
              <w:jc w:val="center"/>
              <w:rPr>
                <w:b/>
                <w:sz w:val="20"/>
                <w:szCs w:val="20"/>
              </w:rPr>
            </w:pPr>
            <w:r>
              <w:rPr>
                <w:b/>
                <w:sz w:val="20"/>
                <w:szCs w:val="20"/>
              </w:rPr>
              <w:t>Variable Info</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000000D" w14:textId="77777777" w:rsidR="002C532E" w:rsidRDefault="00FC36D0">
            <w:pPr>
              <w:widowControl w:val="0"/>
              <w:spacing w:line="240" w:lineRule="auto"/>
              <w:ind w:left="0"/>
              <w:jc w:val="center"/>
              <w:rPr>
                <w:b/>
                <w:sz w:val="20"/>
                <w:szCs w:val="20"/>
              </w:rPr>
            </w:pPr>
            <w:r>
              <w:rPr>
                <w:b/>
                <w:sz w:val="20"/>
                <w:szCs w:val="20"/>
              </w:rPr>
              <w:t>N</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000000E" w14:textId="77777777" w:rsidR="002C532E" w:rsidRDefault="00FC36D0">
            <w:pPr>
              <w:widowControl w:val="0"/>
              <w:spacing w:line="240" w:lineRule="auto"/>
              <w:ind w:left="0"/>
              <w:jc w:val="center"/>
              <w:rPr>
                <w:b/>
                <w:sz w:val="20"/>
                <w:szCs w:val="20"/>
              </w:rPr>
            </w:pPr>
            <w:r>
              <w:rPr>
                <w:b/>
                <w:sz w:val="20"/>
                <w:szCs w:val="20"/>
              </w:rPr>
              <w:t>Slope*</w:t>
            </w:r>
          </w:p>
        </w:tc>
        <w:tc>
          <w:tcPr>
            <w:tcW w:w="83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000000F" w14:textId="77777777" w:rsidR="002C532E" w:rsidRDefault="00FC36D0">
            <w:pPr>
              <w:widowControl w:val="0"/>
              <w:spacing w:line="240" w:lineRule="auto"/>
              <w:ind w:left="0"/>
              <w:jc w:val="center"/>
              <w:rPr>
                <w:b/>
                <w:sz w:val="20"/>
                <w:szCs w:val="20"/>
              </w:rPr>
            </w:pPr>
            <w:r>
              <w:rPr>
                <w:b/>
                <w:sz w:val="20"/>
                <w:szCs w:val="20"/>
              </w:rPr>
              <w:t>R</w:t>
            </w:r>
            <w:r>
              <w:rPr>
                <w:b/>
                <w:sz w:val="20"/>
                <w:szCs w:val="20"/>
                <w:vertAlign w:val="superscript"/>
              </w:rPr>
              <w:t>2*</w:t>
            </w:r>
          </w:p>
          <w:p w14:paraId="00000010" w14:textId="77777777" w:rsidR="002C532E" w:rsidRDefault="002C532E">
            <w:pPr>
              <w:widowControl w:val="0"/>
              <w:spacing w:line="240" w:lineRule="auto"/>
              <w:ind w:left="0"/>
              <w:jc w:val="center"/>
              <w:rPr>
                <w:b/>
                <w:sz w:val="20"/>
                <w:szCs w:val="20"/>
              </w:rPr>
            </w:pP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0000011" w14:textId="77777777" w:rsidR="002C532E" w:rsidRDefault="00FC36D0">
            <w:pPr>
              <w:widowControl w:val="0"/>
              <w:spacing w:line="240" w:lineRule="auto"/>
              <w:ind w:left="0"/>
              <w:jc w:val="center"/>
              <w:rPr>
                <w:b/>
                <w:sz w:val="20"/>
                <w:szCs w:val="20"/>
              </w:rPr>
            </w:pPr>
            <w:r>
              <w:rPr>
                <w:b/>
                <w:sz w:val="20"/>
                <w:szCs w:val="20"/>
              </w:rPr>
              <w:t>Mean</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0000012" w14:textId="77777777" w:rsidR="002C532E" w:rsidRDefault="00FC36D0">
            <w:pPr>
              <w:widowControl w:val="0"/>
              <w:spacing w:line="240" w:lineRule="auto"/>
              <w:ind w:left="0"/>
              <w:jc w:val="center"/>
              <w:rPr>
                <w:b/>
                <w:sz w:val="20"/>
                <w:szCs w:val="20"/>
              </w:rPr>
            </w:pPr>
            <w:r>
              <w:rPr>
                <w:b/>
                <w:sz w:val="20"/>
                <w:szCs w:val="20"/>
              </w:rPr>
              <w:t>Max</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0000013" w14:textId="77777777" w:rsidR="002C532E" w:rsidRDefault="00FC36D0">
            <w:pPr>
              <w:widowControl w:val="0"/>
              <w:spacing w:line="240" w:lineRule="auto"/>
              <w:ind w:left="0"/>
              <w:jc w:val="center"/>
              <w:rPr>
                <w:b/>
                <w:sz w:val="20"/>
                <w:szCs w:val="20"/>
              </w:rPr>
            </w:pPr>
            <w:r>
              <w:rPr>
                <w:b/>
                <w:sz w:val="20"/>
                <w:szCs w:val="20"/>
              </w:rPr>
              <w:t>Min</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0000014" w14:textId="77777777" w:rsidR="002C532E" w:rsidRDefault="00FC36D0">
            <w:pPr>
              <w:widowControl w:val="0"/>
              <w:spacing w:line="240" w:lineRule="auto"/>
              <w:ind w:left="0"/>
              <w:jc w:val="center"/>
              <w:rPr>
                <w:b/>
                <w:sz w:val="20"/>
                <w:szCs w:val="20"/>
              </w:rPr>
            </w:pPr>
            <w:r>
              <w:rPr>
                <w:b/>
                <w:sz w:val="20"/>
                <w:szCs w:val="20"/>
              </w:rPr>
              <w:t>Std</w:t>
            </w:r>
          </w:p>
          <w:p w14:paraId="00000015" w14:textId="77777777" w:rsidR="002C532E" w:rsidRDefault="00FC36D0">
            <w:pPr>
              <w:widowControl w:val="0"/>
              <w:spacing w:line="240" w:lineRule="auto"/>
              <w:ind w:left="0"/>
              <w:jc w:val="center"/>
              <w:rPr>
                <w:b/>
                <w:sz w:val="20"/>
                <w:szCs w:val="20"/>
              </w:rPr>
            </w:pPr>
            <w:r>
              <w:rPr>
                <w:b/>
                <w:sz w:val="20"/>
                <w:szCs w:val="20"/>
              </w:rPr>
              <w:t>dev</w:t>
            </w:r>
          </w:p>
        </w:tc>
      </w:tr>
      <w:tr w:rsidR="002C532E" w14:paraId="7CB641B4" w14:textId="77777777" w:rsidTr="00503E4E">
        <w:trPr>
          <w:trHeight w:val="257"/>
        </w:trPr>
        <w:tc>
          <w:tcPr>
            <w:tcW w:w="239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16" w14:textId="77777777" w:rsidR="002C532E" w:rsidRDefault="00FC36D0">
            <w:pPr>
              <w:widowControl w:val="0"/>
              <w:spacing w:line="240" w:lineRule="auto"/>
              <w:ind w:left="0"/>
              <w:rPr>
                <w:sz w:val="20"/>
                <w:szCs w:val="20"/>
              </w:rPr>
            </w:pPr>
            <w:r>
              <w:rPr>
                <w:sz w:val="20"/>
                <w:szCs w:val="20"/>
              </w:rPr>
              <w:t>Incident prevalence</w:t>
            </w:r>
          </w:p>
        </w:tc>
        <w:tc>
          <w:tcPr>
            <w:tcW w:w="116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18" w14:textId="77777777" w:rsidR="002C532E" w:rsidRDefault="00FC36D0">
            <w:pPr>
              <w:widowControl w:val="0"/>
              <w:spacing w:line="240" w:lineRule="auto"/>
              <w:ind w:left="0"/>
              <w:jc w:val="center"/>
              <w:rPr>
                <w:sz w:val="20"/>
                <w:szCs w:val="20"/>
              </w:rPr>
            </w:pPr>
            <w:r>
              <w:rPr>
                <w:sz w:val="20"/>
                <w:szCs w:val="20"/>
              </w:rPr>
              <w:t>Counted number of incidents in each year.</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19" w14:textId="77777777" w:rsidR="002C532E" w:rsidRDefault="00FC36D0">
            <w:pPr>
              <w:widowControl w:val="0"/>
              <w:spacing w:line="240" w:lineRule="auto"/>
              <w:ind w:left="0"/>
              <w:jc w:val="center"/>
              <w:rPr>
                <w:sz w:val="20"/>
                <w:szCs w:val="20"/>
              </w:rPr>
            </w:pPr>
            <w:r>
              <w:rPr>
                <w:sz w:val="20"/>
                <w:szCs w:val="20"/>
              </w:rPr>
              <w:t>3974</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1A" w14:textId="77777777" w:rsidR="002C532E" w:rsidRDefault="00FC36D0">
            <w:pPr>
              <w:widowControl w:val="0"/>
              <w:spacing w:line="240" w:lineRule="auto"/>
              <w:ind w:left="0"/>
              <w:jc w:val="center"/>
              <w:rPr>
                <w:sz w:val="20"/>
                <w:szCs w:val="20"/>
              </w:rPr>
            </w:pPr>
            <w:r>
              <w:rPr>
                <w:sz w:val="20"/>
                <w:szCs w:val="20"/>
              </w:rPr>
              <w:t>-3.34</w:t>
            </w:r>
          </w:p>
        </w:tc>
        <w:tc>
          <w:tcPr>
            <w:tcW w:w="83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1B" w14:textId="77777777" w:rsidR="002C532E" w:rsidRDefault="00FC36D0">
            <w:pPr>
              <w:widowControl w:val="0"/>
              <w:spacing w:line="240" w:lineRule="auto"/>
              <w:ind w:left="0"/>
              <w:jc w:val="center"/>
              <w:rPr>
                <w:sz w:val="20"/>
                <w:szCs w:val="20"/>
              </w:rPr>
            </w:pPr>
            <w:r>
              <w:rPr>
                <w:sz w:val="20"/>
                <w:szCs w:val="20"/>
              </w:rPr>
              <w:t>0.075</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1C" w14:textId="77777777" w:rsidR="002C532E" w:rsidRDefault="00FC36D0">
            <w:pPr>
              <w:widowControl w:val="0"/>
              <w:spacing w:line="240" w:lineRule="auto"/>
              <w:ind w:left="0"/>
              <w:jc w:val="center"/>
              <w:rPr>
                <w:sz w:val="20"/>
                <w:szCs w:val="20"/>
              </w:rPr>
            </w:pPr>
            <w:r>
              <w:rPr>
                <w:sz w:val="20"/>
                <w:szCs w:val="20"/>
              </w:rPr>
              <w:t>180.636</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1D" w14:textId="77777777" w:rsidR="002C532E" w:rsidRDefault="00FC36D0">
            <w:pPr>
              <w:widowControl w:val="0"/>
              <w:spacing w:line="240" w:lineRule="auto"/>
              <w:ind w:left="0"/>
              <w:jc w:val="center"/>
              <w:rPr>
                <w:sz w:val="20"/>
                <w:szCs w:val="20"/>
              </w:rPr>
            </w:pPr>
            <w:r>
              <w:rPr>
                <w:sz w:val="20"/>
                <w:szCs w:val="20"/>
              </w:rPr>
              <w:t>425</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1E" w14:textId="77777777" w:rsidR="002C532E" w:rsidRDefault="00FC36D0">
            <w:pPr>
              <w:widowControl w:val="0"/>
              <w:spacing w:line="240" w:lineRule="auto"/>
              <w:ind w:left="0"/>
              <w:jc w:val="center"/>
              <w:rPr>
                <w:sz w:val="20"/>
                <w:szCs w:val="20"/>
              </w:rPr>
            </w:pPr>
            <w:r>
              <w:rPr>
                <w:sz w:val="20"/>
                <w:szCs w:val="20"/>
              </w:rPr>
              <w:t>63</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1F" w14:textId="77777777" w:rsidR="002C532E" w:rsidRDefault="00FC36D0">
            <w:pPr>
              <w:widowControl w:val="0"/>
              <w:spacing w:line="240" w:lineRule="auto"/>
              <w:ind w:left="0"/>
              <w:jc w:val="center"/>
              <w:rPr>
                <w:sz w:val="20"/>
                <w:szCs w:val="20"/>
              </w:rPr>
            </w:pPr>
            <w:r>
              <w:rPr>
                <w:sz w:val="20"/>
                <w:szCs w:val="20"/>
              </w:rPr>
              <w:t>79.04</w:t>
            </w:r>
          </w:p>
        </w:tc>
      </w:tr>
      <w:tr w:rsidR="00503E4E" w14:paraId="16B278AE" w14:textId="77777777" w:rsidTr="00742191">
        <w:tc>
          <w:tcPr>
            <w:tcW w:w="239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2C" w14:textId="06621855" w:rsidR="00503E4E" w:rsidRDefault="00503E4E" w:rsidP="00503E4E">
            <w:pPr>
              <w:widowControl w:val="0"/>
              <w:spacing w:line="240" w:lineRule="auto"/>
              <w:ind w:left="0"/>
              <w:rPr>
                <w:sz w:val="20"/>
                <w:szCs w:val="20"/>
              </w:rPr>
            </w:pPr>
            <w:r>
              <w:rPr>
                <w:sz w:val="20"/>
                <w:szCs w:val="20"/>
              </w:rPr>
              <w:t xml:space="preserve"> Count of </w:t>
            </w:r>
            <w:proofErr w:type="gramStart"/>
            <w:r>
              <w:rPr>
                <w:sz w:val="20"/>
                <w:szCs w:val="20"/>
              </w:rPr>
              <w:t>engaged  jurisdictions</w:t>
            </w:r>
            <w:proofErr w:type="gramEnd"/>
            <w:r>
              <w:rPr>
                <w:sz w:val="20"/>
                <w:szCs w:val="20"/>
              </w:rPr>
              <w:t xml:space="preserve"> </w:t>
            </w:r>
          </w:p>
        </w:tc>
        <w:tc>
          <w:tcPr>
            <w:tcW w:w="116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2D" w14:textId="77777777" w:rsidR="00503E4E" w:rsidRDefault="00503E4E">
            <w:pPr>
              <w:widowControl w:val="0"/>
              <w:spacing w:line="240" w:lineRule="auto"/>
              <w:ind w:left="0"/>
              <w:jc w:val="center"/>
              <w:rPr>
                <w:sz w:val="20"/>
                <w:szCs w:val="20"/>
              </w:rPr>
            </w:pPr>
            <w:r>
              <w:rPr>
                <w:sz w:val="20"/>
                <w:szCs w:val="20"/>
              </w:rPr>
              <w:t>Averaged engaged jurisdictions for all incidents in each year.</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2E" w14:textId="77777777" w:rsidR="00503E4E" w:rsidRDefault="00503E4E">
            <w:pPr>
              <w:widowControl w:val="0"/>
              <w:spacing w:line="240" w:lineRule="auto"/>
              <w:ind w:left="0"/>
              <w:jc w:val="center"/>
              <w:rPr>
                <w:sz w:val="20"/>
                <w:szCs w:val="20"/>
              </w:rPr>
            </w:pPr>
            <w:r>
              <w:rPr>
                <w:sz w:val="20"/>
                <w:szCs w:val="20"/>
              </w:rPr>
              <w:t>2679</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2F" w14:textId="77777777" w:rsidR="00503E4E" w:rsidRDefault="00503E4E">
            <w:pPr>
              <w:widowControl w:val="0"/>
              <w:spacing w:line="240" w:lineRule="auto"/>
              <w:ind w:left="0"/>
              <w:jc w:val="center"/>
              <w:rPr>
                <w:sz w:val="20"/>
                <w:szCs w:val="20"/>
              </w:rPr>
            </w:pPr>
            <w:r>
              <w:rPr>
                <w:sz w:val="20"/>
                <w:szCs w:val="20"/>
              </w:rPr>
              <w:t>0.02</w:t>
            </w:r>
          </w:p>
        </w:tc>
        <w:tc>
          <w:tcPr>
            <w:tcW w:w="83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0" w14:textId="77777777" w:rsidR="00503E4E" w:rsidRDefault="00503E4E">
            <w:pPr>
              <w:widowControl w:val="0"/>
              <w:spacing w:line="240" w:lineRule="auto"/>
              <w:ind w:left="0"/>
              <w:jc w:val="center"/>
              <w:rPr>
                <w:sz w:val="20"/>
                <w:szCs w:val="20"/>
              </w:rPr>
            </w:pPr>
            <w:r>
              <w:rPr>
                <w:sz w:val="20"/>
                <w:szCs w:val="20"/>
              </w:rPr>
              <w:t>0.05</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1" w14:textId="77777777" w:rsidR="00503E4E" w:rsidRDefault="00503E4E">
            <w:pPr>
              <w:widowControl w:val="0"/>
              <w:spacing w:line="240" w:lineRule="auto"/>
              <w:ind w:left="0"/>
              <w:jc w:val="center"/>
              <w:rPr>
                <w:sz w:val="20"/>
                <w:szCs w:val="20"/>
              </w:rPr>
            </w:pPr>
            <w:r>
              <w:rPr>
                <w:sz w:val="20"/>
                <w:szCs w:val="20"/>
              </w:rPr>
              <w:t>5.76</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2" w14:textId="77777777" w:rsidR="00503E4E" w:rsidRDefault="00503E4E">
            <w:pPr>
              <w:widowControl w:val="0"/>
              <w:spacing w:line="240" w:lineRule="auto"/>
              <w:ind w:left="0"/>
              <w:jc w:val="center"/>
              <w:rPr>
                <w:sz w:val="20"/>
                <w:szCs w:val="20"/>
              </w:rPr>
            </w:pPr>
            <w:r>
              <w:rPr>
                <w:sz w:val="20"/>
                <w:szCs w:val="20"/>
              </w:rPr>
              <w:t>38</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3" w14:textId="77777777" w:rsidR="00503E4E" w:rsidRDefault="00503E4E">
            <w:pPr>
              <w:widowControl w:val="0"/>
              <w:spacing w:line="240" w:lineRule="auto"/>
              <w:ind w:left="0"/>
              <w:jc w:val="center"/>
              <w:rPr>
                <w:sz w:val="20"/>
                <w:szCs w:val="20"/>
              </w:rPr>
            </w:pPr>
            <w:r>
              <w:rPr>
                <w:sz w:val="20"/>
                <w:szCs w:val="20"/>
              </w:rPr>
              <w:t>1</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4" w14:textId="77777777" w:rsidR="00503E4E" w:rsidRDefault="00503E4E">
            <w:pPr>
              <w:widowControl w:val="0"/>
              <w:spacing w:line="240" w:lineRule="auto"/>
              <w:ind w:left="0"/>
              <w:jc w:val="center"/>
              <w:rPr>
                <w:sz w:val="20"/>
                <w:szCs w:val="20"/>
              </w:rPr>
            </w:pPr>
            <w:r>
              <w:rPr>
                <w:sz w:val="20"/>
                <w:szCs w:val="20"/>
              </w:rPr>
              <w:t>2.69</w:t>
            </w:r>
          </w:p>
        </w:tc>
      </w:tr>
      <w:tr w:rsidR="002C532E" w14:paraId="76E3FBF2" w14:textId="77777777" w:rsidTr="00503E4E">
        <w:tc>
          <w:tcPr>
            <w:tcW w:w="239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5" w14:textId="77777777" w:rsidR="002C532E" w:rsidRDefault="00FC36D0">
            <w:pPr>
              <w:widowControl w:val="0"/>
              <w:spacing w:line="240" w:lineRule="auto"/>
              <w:ind w:left="0"/>
              <w:rPr>
                <w:sz w:val="20"/>
                <w:szCs w:val="20"/>
              </w:rPr>
            </w:pPr>
            <w:r>
              <w:rPr>
                <w:sz w:val="20"/>
                <w:szCs w:val="20"/>
              </w:rPr>
              <w:t>Incident size</w:t>
            </w:r>
          </w:p>
        </w:tc>
        <w:tc>
          <w:tcPr>
            <w:tcW w:w="116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7" w14:textId="77777777" w:rsidR="002C532E" w:rsidRDefault="00FC36D0">
            <w:pPr>
              <w:widowControl w:val="0"/>
              <w:spacing w:line="240" w:lineRule="auto"/>
              <w:ind w:left="0"/>
              <w:jc w:val="center"/>
              <w:rPr>
                <w:sz w:val="20"/>
                <w:szCs w:val="20"/>
              </w:rPr>
            </w:pPr>
            <w:r>
              <w:rPr>
                <w:sz w:val="20"/>
                <w:szCs w:val="20"/>
              </w:rPr>
              <w:t>Averaged all fire sizes for each year.</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8" w14:textId="77777777" w:rsidR="002C532E" w:rsidRDefault="00FD42D9">
            <w:pPr>
              <w:widowControl w:val="0"/>
              <w:spacing w:line="240" w:lineRule="auto"/>
              <w:ind w:left="0"/>
              <w:jc w:val="center"/>
              <w:rPr>
                <w:sz w:val="20"/>
                <w:szCs w:val="20"/>
              </w:rPr>
            </w:pPr>
            <w:sdt>
              <w:sdtPr>
                <w:tag w:val="goog_rdk_1"/>
                <w:id w:val="-1348948165"/>
              </w:sdtPr>
              <w:sdtEndPr/>
              <w:sdtContent/>
            </w:sdt>
            <w:r w:rsidR="00FC36D0">
              <w:rPr>
                <w:sz w:val="20"/>
                <w:szCs w:val="20"/>
              </w:rPr>
              <w:t>3974</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9" w14:textId="77777777" w:rsidR="002C532E" w:rsidRDefault="00FC36D0">
            <w:pPr>
              <w:widowControl w:val="0"/>
              <w:spacing w:line="240" w:lineRule="auto"/>
              <w:ind w:left="0"/>
              <w:jc w:val="center"/>
              <w:rPr>
                <w:sz w:val="20"/>
                <w:szCs w:val="20"/>
              </w:rPr>
            </w:pPr>
            <w:r>
              <w:rPr>
                <w:sz w:val="20"/>
                <w:szCs w:val="20"/>
              </w:rPr>
              <w:t>789.62</w:t>
            </w:r>
          </w:p>
        </w:tc>
        <w:tc>
          <w:tcPr>
            <w:tcW w:w="83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A" w14:textId="77777777" w:rsidR="002C532E" w:rsidRDefault="00FC36D0">
            <w:pPr>
              <w:widowControl w:val="0"/>
              <w:spacing w:line="240" w:lineRule="auto"/>
              <w:ind w:left="0"/>
              <w:jc w:val="center"/>
              <w:rPr>
                <w:sz w:val="20"/>
                <w:szCs w:val="20"/>
              </w:rPr>
            </w:pPr>
            <w:r>
              <w:rPr>
                <w:sz w:val="20"/>
                <w:szCs w:val="20"/>
              </w:rPr>
              <w:t>0.26</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B" w14:textId="77777777" w:rsidR="002C532E" w:rsidRDefault="00FC36D0">
            <w:pPr>
              <w:widowControl w:val="0"/>
              <w:spacing w:line="240" w:lineRule="auto"/>
              <w:ind w:left="0"/>
              <w:jc w:val="center"/>
              <w:rPr>
                <w:sz w:val="20"/>
                <w:szCs w:val="20"/>
              </w:rPr>
            </w:pPr>
            <w:r>
              <w:rPr>
                <w:sz w:val="20"/>
                <w:szCs w:val="20"/>
              </w:rPr>
              <w:t>19,880.86</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C" w14:textId="77777777" w:rsidR="002C532E" w:rsidRDefault="00FC36D0">
            <w:pPr>
              <w:widowControl w:val="0"/>
              <w:spacing w:line="240" w:lineRule="auto"/>
              <w:ind w:left="0"/>
              <w:jc w:val="center"/>
              <w:rPr>
                <w:sz w:val="20"/>
                <w:szCs w:val="20"/>
              </w:rPr>
            </w:pPr>
            <w:r>
              <w:rPr>
                <w:sz w:val="20"/>
                <w:szCs w:val="20"/>
              </w:rPr>
              <w:t>1,305,592.00</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D" w14:textId="77777777" w:rsidR="002C532E" w:rsidRDefault="00FC36D0">
            <w:pPr>
              <w:widowControl w:val="0"/>
              <w:spacing w:line="240" w:lineRule="auto"/>
              <w:ind w:left="0"/>
              <w:jc w:val="center"/>
              <w:rPr>
                <w:sz w:val="20"/>
                <w:szCs w:val="20"/>
              </w:rPr>
            </w:pPr>
            <w:r>
              <w:rPr>
                <w:sz w:val="20"/>
                <w:szCs w:val="20"/>
              </w:rPr>
              <w:t>0</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E" w14:textId="77777777" w:rsidR="002C532E" w:rsidRDefault="00FC36D0">
            <w:pPr>
              <w:widowControl w:val="0"/>
              <w:spacing w:line="240" w:lineRule="auto"/>
              <w:ind w:left="0"/>
              <w:jc w:val="center"/>
              <w:rPr>
                <w:sz w:val="20"/>
                <w:szCs w:val="20"/>
              </w:rPr>
            </w:pPr>
            <w:r>
              <w:rPr>
                <w:sz w:val="20"/>
                <w:szCs w:val="20"/>
              </w:rPr>
              <w:t>60283.52</w:t>
            </w:r>
          </w:p>
        </w:tc>
      </w:tr>
      <w:tr w:rsidR="002C532E" w14:paraId="23457D15" w14:textId="77777777" w:rsidTr="00503E4E">
        <w:tc>
          <w:tcPr>
            <w:tcW w:w="239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3F" w14:textId="77777777" w:rsidR="002C532E" w:rsidRDefault="00FC36D0">
            <w:pPr>
              <w:widowControl w:val="0"/>
              <w:spacing w:line="240" w:lineRule="auto"/>
              <w:ind w:left="0"/>
              <w:rPr>
                <w:sz w:val="20"/>
                <w:szCs w:val="20"/>
              </w:rPr>
            </w:pPr>
            <w:r>
              <w:rPr>
                <w:sz w:val="20"/>
                <w:szCs w:val="20"/>
              </w:rPr>
              <w:t>Incident days at PL 4 or 5</w:t>
            </w:r>
          </w:p>
        </w:tc>
        <w:tc>
          <w:tcPr>
            <w:tcW w:w="116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1" w14:textId="77777777" w:rsidR="002C532E" w:rsidRDefault="00FC36D0">
            <w:pPr>
              <w:widowControl w:val="0"/>
              <w:spacing w:line="240" w:lineRule="auto"/>
              <w:ind w:left="0"/>
              <w:jc w:val="center"/>
              <w:rPr>
                <w:sz w:val="20"/>
                <w:szCs w:val="20"/>
              </w:rPr>
            </w:pPr>
            <w:r>
              <w:rPr>
                <w:sz w:val="20"/>
                <w:szCs w:val="20"/>
              </w:rPr>
              <w:t>Averaged all incident days at NPL 4 &amp; 5 for each year.</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2" w14:textId="77777777" w:rsidR="002C532E" w:rsidRDefault="00FC36D0">
            <w:pPr>
              <w:widowControl w:val="0"/>
              <w:spacing w:line="240" w:lineRule="auto"/>
              <w:ind w:left="0"/>
              <w:jc w:val="center"/>
              <w:rPr>
                <w:sz w:val="20"/>
                <w:szCs w:val="20"/>
              </w:rPr>
            </w:pPr>
            <w:r>
              <w:rPr>
                <w:sz w:val="20"/>
                <w:szCs w:val="20"/>
              </w:rPr>
              <w:t>3974</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3" w14:textId="77777777" w:rsidR="002C532E" w:rsidRDefault="00FC36D0">
            <w:pPr>
              <w:widowControl w:val="0"/>
              <w:spacing w:line="240" w:lineRule="auto"/>
              <w:ind w:left="0"/>
              <w:jc w:val="center"/>
              <w:rPr>
                <w:sz w:val="20"/>
                <w:szCs w:val="20"/>
              </w:rPr>
            </w:pPr>
            <w:r>
              <w:rPr>
                <w:sz w:val="20"/>
                <w:szCs w:val="20"/>
              </w:rPr>
              <w:t>0.19</w:t>
            </w:r>
          </w:p>
        </w:tc>
        <w:tc>
          <w:tcPr>
            <w:tcW w:w="83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4" w14:textId="77777777" w:rsidR="002C532E" w:rsidRDefault="00FC36D0">
            <w:pPr>
              <w:widowControl w:val="0"/>
              <w:spacing w:line="240" w:lineRule="auto"/>
              <w:ind w:left="0"/>
              <w:jc w:val="center"/>
              <w:rPr>
                <w:sz w:val="20"/>
                <w:szCs w:val="20"/>
              </w:rPr>
            </w:pPr>
            <w:r>
              <w:rPr>
                <w:sz w:val="20"/>
                <w:szCs w:val="20"/>
              </w:rPr>
              <w:t>0.03</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5" w14:textId="77777777" w:rsidR="002C532E" w:rsidRDefault="00FC36D0">
            <w:pPr>
              <w:widowControl w:val="0"/>
              <w:spacing w:line="240" w:lineRule="auto"/>
              <w:ind w:left="0"/>
              <w:jc w:val="center"/>
              <w:rPr>
                <w:sz w:val="20"/>
                <w:szCs w:val="20"/>
              </w:rPr>
            </w:pPr>
            <w:r>
              <w:rPr>
                <w:sz w:val="20"/>
                <w:szCs w:val="20"/>
              </w:rPr>
              <w:t>10.03</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6" w14:textId="77777777" w:rsidR="002C532E" w:rsidRDefault="00FC36D0">
            <w:pPr>
              <w:widowControl w:val="0"/>
              <w:spacing w:line="240" w:lineRule="auto"/>
              <w:ind w:left="0"/>
              <w:jc w:val="center"/>
              <w:rPr>
                <w:sz w:val="20"/>
                <w:szCs w:val="20"/>
              </w:rPr>
            </w:pPr>
            <w:r>
              <w:rPr>
                <w:sz w:val="20"/>
                <w:szCs w:val="20"/>
              </w:rPr>
              <w:t>88</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7" w14:textId="77777777" w:rsidR="002C532E" w:rsidRDefault="00FC36D0">
            <w:pPr>
              <w:widowControl w:val="0"/>
              <w:spacing w:line="240" w:lineRule="auto"/>
              <w:ind w:left="0"/>
              <w:jc w:val="center"/>
              <w:rPr>
                <w:sz w:val="20"/>
                <w:szCs w:val="20"/>
              </w:rPr>
            </w:pPr>
            <w:r>
              <w:rPr>
                <w:sz w:val="20"/>
                <w:szCs w:val="20"/>
              </w:rPr>
              <w:t>0</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8" w14:textId="77777777" w:rsidR="002C532E" w:rsidRDefault="00FC36D0">
            <w:pPr>
              <w:widowControl w:val="0"/>
              <w:spacing w:line="240" w:lineRule="auto"/>
              <w:ind w:left="0"/>
              <w:jc w:val="center"/>
              <w:rPr>
                <w:sz w:val="20"/>
                <w:szCs w:val="20"/>
              </w:rPr>
            </w:pPr>
            <w:r>
              <w:rPr>
                <w:sz w:val="20"/>
                <w:szCs w:val="20"/>
              </w:rPr>
              <w:t>15.73</w:t>
            </w:r>
          </w:p>
        </w:tc>
      </w:tr>
      <w:tr w:rsidR="002C532E" w14:paraId="3BDC665F" w14:textId="77777777" w:rsidTr="00503E4E">
        <w:tc>
          <w:tcPr>
            <w:tcW w:w="239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9" w14:textId="77777777" w:rsidR="002C532E" w:rsidRDefault="00FC36D0">
            <w:pPr>
              <w:widowControl w:val="0"/>
              <w:spacing w:line="240" w:lineRule="auto"/>
              <w:ind w:left="0"/>
              <w:rPr>
                <w:sz w:val="20"/>
                <w:szCs w:val="20"/>
              </w:rPr>
            </w:pPr>
            <w:r>
              <w:rPr>
                <w:sz w:val="20"/>
                <w:szCs w:val="20"/>
              </w:rPr>
              <w:t xml:space="preserve">Structures threatened, </w:t>
            </w:r>
            <w:proofErr w:type="gramStart"/>
            <w:r>
              <w:rPr>
                <w:sz w:val="20"/>
                <w:szCs w:val="20"/>
              </w:rPr>
              <w:lastRenderedPageBreak/>
              <w:t>damaged</w:t>
            </w:r>
            <w:proofErr w:type="gramEnd"/>
            <w:r>
              <w:rPr>
                <w:sz w:val="20"/>
                <w:szCs w:val="20"/>
              </w:rPr>
              <w:t xml:space="preserve"> or destroyed</w:t>
            </w:r>
          </w:p>
        </w:tc>
        <w:tc>
          <w:tcPr>
            <w:tcW w:w="116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B" w14:textId="77777777" w:rsidR="002C532E" w:rsidRDefault="00FC36D0">
            <w:pPr>
              <w:widowControl w:val="0"/>
              <w:spacing w:line="240" w:lineRule="auto"/>
              <w:ind w:left="0"/>
              <w:jc w:val="center"/>
              <w:rPr>
                <w:sz w:val="20"/>
                <w:szCs w:val="20"/>
              </w:rPr>
            </w:pPr>
            <w:r>
              <w:rPr>
                <w:sz w:val="20"/>
                <w:szCs w:val="20"/>
              </w:rPr>
              <w:lastRenderedPageBreak/>
              <w:t xml:space="preserve">Averaged </w:t>
            </w:r>
            <w:r>
              <w:rPr>
                <w:sz w:val="20"/>
                <w:szCs w:val="20"/>
              </w:rPr>
              <w:lastRenderedPageBreak/>
              <w:t>all incidents values at risk for each year.</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C" w14:textId="77777777" w:rsidR="002C532E" w:rsidRDefault="00FC36D0">
            <w:pPr>
              <w:widowControl w:val="0"/>
              <w:spacing w:line="240" w:lineRule="auto"/>
              <w:ind w:left="0"/>
              <w:jc w:val="center"/>
              <w:rPr>
                <w:sz w:val="20"/>
                <w:szCs w:val="20"/>
              </w:rPr>
            </w:pPr>
            <w:r>
              <w:rPr>
                <w:sz w:val="20"/>
                <w:szCs w:val="20"/>
              </w:rPr>
              <w:lastRenderedPageBreak/>
              <w:t>3974</w:t>
            </w:r>
          </w:p>
        </w:tc>
        <w:tc>
          <w:tcPr>
            <w:tcW w:w="116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D" w14:textId="77777777" w:rsidR="002C532E" w:rsidRDefault="00FC36D0">
            <w:pPr>
              <w:widowControl w:val="0"/>
              <w:spacing w:line="240" w:lineRule="auto"/>
              <w:ind w:left="0"/>
              <w:jc w:val="center"/>
              <w:rPr>
                <w:sz w:val="20"/>
                <w:szCs w:val="20"/>
              </w:rPr>
            </w:pPr>
            <w:r>
              <w:rPr>
                <w:sz w:val="20"/>
                <w:szCs w:val="20"/>
              </w:rPr>
              <w:t>147.72</w:t>
            </w:r>
          </w:p>
        </w:tc>
        <w:tc>
          <w:tcPr>
            <w:tcW w:w="83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E" w14:textId="77777777" w:rsidR="002C532E" w:rsidRDefault="00FC36D0">
            <w:pPr>
              <w:widowControl w:val="0"/>
              <w:spacing w:line="240" w:lineRule="auto"/>
              <w:ind w:left="0"/>
              <w:jc w:val="center"/>
              <w:rPr>
                <w:sz w:val="20"/>
                <w:szCs w:val="20"/>
              </w:rPr>
            </w:pPr>
            <w:r>
              <w:rPr>
                <w:sz w:val="20"/>
                <w:szCs w:val="20"/>
              </w:rPr>
              <w:t>0.33</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4F" w14:textId="77777777" w:rsidR="002C532E" w:rsidRDefault="00FC36D0">
            <w:pPr>
              <w:widowControl w:val="0"/>
              <w:spacing w:line="240" w:lineRule="auto"/>
              <w:ind w:left="0"/>
              <w:jc w:val="center"/>
              <w:rPr>
                <w:sz w:val="20"/>
                <w:szCs w:val="20"/>
              </w:rPr>
            </w:pPr>
            <w:r>
              <w:rPr>
                <w:sz w:val="20"/>
                <w:szCs w:val="20"/>
              </w:rPr>
              <w:t>892.17</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50" w14:textId="77777777" w:rsidR="002C532E" w:rsidRDefault="00FC36D0">
            <w:pPr>
              <w:widowControl w:val="0"/>
              <w:spacing w:line="240" w:lineRule="auto"/>
              <w:ind w:left="0"/>
              <w:jc w:val="center"/>
              <w:rPr>
                <w:sz w:val="20"/>
                <w:szCs w:val="20"/>
              </w:rPr>
            </w:pPr>
            <w:r>
              <w:rPr>
                <w:sz w:val="20"/>
                <w:szCs w:val="20"/>
              </w:rPr>
              <w:t>200713</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51" w14:textId="77777777" w:rsidR="002C532E" w:rsidRDefault="00FC36D0">
            <w:pPr>
              <w:widowControl w:val="0"/>
              <w:spacing w:line="240" w:lineRule="auto"/>
              <w:ind w:left="0"/>
              <w:jc w:val="center"/>
              <w:rPr>
                <w:sz w:val="20"/>
                <w:szCs w:val="20"/>
              </w:rPr>
            </w:pPr>
            <w:r>
              <w:rPr>
                <w:sz w:val="20"/>
                <w:szCs w:val="20"/>
              </w:rPr>
              <w:t>1</w:t>
            </w:r>
          </w:p>
        </w:tc>
        <w:tc>
          <w:tcPr>
            <w:tcW w:w="72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00052" w14:textId="77777777" w:rsidR="002C532E" w:rsidRDefault="00FC36D0">
            <w:pPr>
              <w:widowControl w:val="0"/>
              <w:spacing w:line="240" w:lineRule="auto"/>
              <w:ind w:left="0"/>
              <w:jc w:val="center"/>
              <w:rPr>
                <w:sz w:val="20"/>
                <w:szCs w:val="20"/>
              </w:rPr>
            </w:pPr>
            <w:r>
              <w:rPr>
                <w:sz w:val="20"/>
                <w:szCs w:val="20"/>
              </w:rPr>
              <w:t>6342.7</w:t>
            </w:r>
            <w:r>
              <w:rPr>
                <w:sz w:val="20"/>
                <w:szCs w:val="20"/>
              </w:rPr>
              <w:lastRenderedPageBreak/>
              <w:t>4</w:t>
            </w:r>
          </w:p>
        </w:tc>
      </w:tr>
    </w:tbl>
    <w:p w14:paraId="00000053" w14:textId="73064FA0" w:rsidR="002C532E" w:rsidRDefault="00FC36D0">
      <w:r>
        <w:lastRenderedPageBreak/>
        <w:t xml:space="preserve">*Slopes based on annual aggregated values (n=22).  </w:t>
      </w:r>
    </w:p>
    <w:p w14:paraId="00000054" w14:textId="77777777" w:rsidR="002C532E" w:rsidRDefault="00FC36D0">
      <w:pPr>
        <w:pStyle w:val="Heading2"/>
        <w:ind w:left="0"/>
      </w:pPr>
      <w:bookmarkStart w:id="3" w:name="_heading=h.3znysh7" w:colFirst="0" w:colLast="0"/>
      <w:bookmarkEnd w:id="3"/>
      <w:r>
        <w:t>Regional Analysis</w:t>
      </w:r>
    </w:p>
    <w:p w14:paraId="00000055" w14:textId="77777777" w:rsidR="002C532E" w:rsidRDefault="00FC36D0">
      <w:pPr>
        <w:ind w:left="0"/>
      </w:pPr>
      <w:r>
        <w:t xml:space="preserve">We relied on the Geographic Area Coordinating Center (GACC) boundaries to delineate the regional analyses.  GACCs were selected </w:t>
      </w:r>
      <w:proofErr w:type="gramStart"/>
      <w:r>
        <w:t>because  they</w:t>
      </w:r>
      <w:proofErr w:type="gramEnd"/>
      <w:r>
        <w:t xml:space="preserve"> are a central administrative entity for coordinating incident support. GACC delineations are </w:t>
      </w:r>
      <w:proofErr w:type="gramStart"/>
      <w:r>
        <w:t>governed  by</w:t>
      </w:r>
      <w:proofErr w:type="gramEnd"/>
      <w:r>
        <w:t xml:space="preserve"> the National Interagency Fire Center (NIFC) and the National Coordination Center (NCC).  Currently, there are ten GACC regions:  1) Northwest, 2) Northern California, 3) Southern California, 4) Northern Rockies, 5) Great Basin, 6) Southwest, 7) Rocky Mountain, 8) Eastern, 9) Southern, and 10) Alaska. GACC boundaries changed in 2001, so we assigned fires that occurred between 1999-2001 to their current day GACC(s) for consistency through time. See</w:t>
      </w:r>
      <w:hyperlink r:id="rId8">
        <w:r>
          <w:rPr>
            <w:color w:val="1155CC"/>
            <w:u w:val="single"/>
          </w:rPr>
          <w:t xml:space="preserve"> https://gacc.nifc.gov/</w:t>
        </w:r>
      </w:hyperlink>
      <w:r>
        <w:t xml:space="preserve"> for more information. </w:t>
      </w:r>
    </w:p>
    <w:p w14:paraId="00000056" w14:textId="77777777" w:rsidR="002C532E" w:rsidRDefault="002C532E">
      <w:pPr>
        <w:ind w:firstLine="720"/>
        <w:rPr>
          <w:shd w:val="clear" w:color="auto" w:fill="FF9900"/>
        </w:rPr>
      </w:pPr>
    </w:p>
    <w:p w14:paraId="00000057" w14:textId="77777777" w:rsidR="002C532E" w:rsidRDefault="00FC36D0">
      <w:pPr>
        <w:ind w:left="0"/>
      </w:pPr>
      <w:r>
        <w:t xml:space="preserve">GACC boundaries were identified using a GACC </w:t>
      </w:r>
      <w:sdt>
        <w:sdtPr>
          <w:tag w:val="goog_rdk_3"/>
          <w:id w:val="-43292926"/>
        </w:sdtPr>
        <w:sdtEndPr/>
        <w:sdtContent/>
      </w:sdt>
      <w:r>
        <w:t xml:space="preserve">shapefile (National GACC Boundaries, 2023). We used the point of origin (latitude and longitude) to assign wildfires to individual GACCs. Eighty-four incidents did not have a Point of Origin to assign to a region. The total number of incidents assigned to the 10 regions is 3,890 instead of 3,974. </w:t>
      </w:r>
    </w:p>
    <w:p w14:paraId="00000058" w14:textId="77777777" w:rsidR="002C532E" w:rsidRDefault="002C532E">
      <w:pPr>
        <w:ind w:left="0"/>
      </w:pPr>
    </w:p>
    <w:p w14:paraId="00000059" w14:textId="77777777" w:rsidR="002C532E" w:rsidRDefault="00FC36D0">
      <w:pPr>
        <w:ind w:hanging="720"/>
      </w:pPr>
      <w:r>
        <w:tab/>
      </w:r>
      <w:r>
        <w:rPr>
          <w:b/>
        </w:rPr>
        <w:t>Table A2.</w:t>
      </w:r>
      <w:r>
        <w:t xml:space="preserve"> Incident Count by Region. </w:t>
      </w:r>
    </w:p>
    <w:p w14:paraId="0000005A" w14:textId="77777777" w:rsidR="002C532E" w:rsidRDefault="002C532E">
      <w:pPr>
        <w:ind w:hanging="720"/>
      </w:pPr>
    </w:p>
    <w:tbl>
      <w:tblPr>
        <w:tblStyle w:val="a2"/>
        <w:tblW w:w="36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1725"/>
      </w:tblGrid>
      <w:tr w:rsidR="002C532E" w14:paraId="05909D26" w14:textId="77777777">
        <w:trPr>
          <w:jc w:val="center"/>
        </w:trPr>
        <w:tc>
          <w:tcPr>
            <w:tcW w:w="1965" w:type="dxa"/>
            <w:shd w:val="clear" w:color="auto" w:fill="auto"/>
            <w:tcMar>
              <w:top w:w="28" w:type="dxa"/>
              <w:left w:w="28" w:type="dxa"/>
              <w:bottom w:w="28" w:type="dxa"/>
              <w:right w:w="28" w:type="dxa"/>
            </w:tcMar>
            <w:vAlign w:val="center"/>
          </w:tcPr>
          <w:p w14:paraId="0000005B" w14:textId="77777777" w:rsidR="002C532E" w:rsidRDefault="00FC36D0">
            <w:pPr>
              <w:widowControl w:val="0"/>
              <w:pBdr>
                <w:top w:val="nil"/>
                <w:left w:val="nil"/>
                <w:bottom w:val="nil"/>
                <w:right w:val="nil"/>
                <w:between w:val="nil"/>
              </w:pBdr>
              <w:spacing w:line="240" w:lineRule="auto"/>
              <w:ind w:left="0"/>
              <w:rPr>
                <w:b/>
                <w:sz w:val="18"/>
                <w:szCs w:val="18"/>
              </w:rPr>
            </w:pPr>
            <w:r>
              <w:rPr>
                <w:b/>
                <w:sz w:val="18"/>
                <w:szCs w:val="18"/>
              </w:rPr>
              <w:t>Regions</w:t>
            </w:r>
          </w:p>
        </w:tc>
        <w:tc>
          <w:tcPr>
            <w:tcW w:w="1725" w:type="dxa"/>
            <w:shd w:val="clear" w:color="auto" w:fill="auto"/>
            <w:tcMar>
              <w:top w:w="28" w:type="dxa"/>
              <w:left w:w="28" w:type="dxa"/>
              <w:bottom w:w="28" w:type="dxa"/>
              <w:right w:w="28" w:type="dxa"/>
            </w:tcMar>
            <w:vAlign w:val="center"/>
          </w:tcPr>
          <w:p w14:paraId="0000005C" w14:textId="77777777" w:rsidR="002C532E" w:rsidRDefault="00FC36D0">
            <w:pPr>
              <w:widowControl w:val="0"/>
              <w:pBdr>
                <w:top w:val="nil"/>
                <w:left w:val="nil"/>
                <w:bottom w:val="nil"/>
                <w:right w:val="nil"/>
                <w:between w:val="nil"/>
              </w:pBdr>
              <w:spacing w:line="240" w:lineRule="auto"/>
              <w:ind w:left="0"/>
              <w:rPr>
                <w:b/>
                <w:sz w:val="18"/>
                <w:szCs w:val="18"/>
              </w:rPr>
            </w:pPr>
            <w:r>
              <w:rPr>
                <w:b/>
                <w:sz w:val="18"/>
                <w:szCs w:val="18"/>
              </w:rPr>
              <w:t>Incident Count</w:t>
            </w:r>
          </w:p>
        </w:tc>
      </w:tr>
      <w:tr w:rsidR="002C532E" w14:paraId="17E96957" w14:textId="77777777">
        <w:trPr>
          <w:jc w:val="center"/>
        </w:trPr>
        <w:tc>
          <w:tcPr>
            <w:tcW w:w="1965" w:type="dxa"/>
            <w:shd w:val="clear" w:color="auto" w:fill="auto"/>
            <w:tcMar>
              <w:top w:w="28" w:type="dxa"/>
              <w:left w:w="28" w:type="dxa"/>
              <w:bottom w:w="28" w:type="dxa"/>
              <w:right w:w="28" w:type="dxa"/>
            </w:tcMar>
          </w:tcPr>
          <w:p w14:paraId="0000005D" w14:textId="77777777" w:rsidR="002C532E" w:rsidRDefault="00FC36D0">
            <w:pPr>
              <w:ind w:left="0"/>
              <w:rPr>
                <w:sz w:val="18"/>
                <w:szCs w:val="18"/>
              </w:rPr>
            </w:pPr>
            <w:r>
              <w:rPr>
                <w:sz w:val="18"/>
                <w:szCs w:val="18"/>
              </w:rPr>
              <w:t>Alaska</w:t>
            </w:r>
          </w:p>
        </w:tc>
        <w:tc>
          <w:tcPr>
            <w:tcW w:w="1725" w:type="dxa"/>
            <w:shd w:val="clear" w:color="auto" w:fill="auto"/>
            <w:tcMar>
              <w:top w:w="28" w:type="dxa"/>
              <w:left w:w="28" w:type="dxa"/>
              <w:bottom w:w="28" w:type="dxa"/>
              <w:right w:w="28" w:type="dxa"/>
            </w:tcMar>
          </w:tcPr>
          <w:p w14:paraId="0000005E" w14:textId="77777777" w:rsidR="002C532E" w:rsidRDefault="00FC36D0">
            <w:pPr>
              <w:ind w:left="0"/>
              <w:rPr>
                <w:sz w:val="18"/>
                <w:szCs w:val="18"/>
              </w:rPr>
            </w:pPr>
            <w:r>
              <w:rPr>
                <w:sz w:val="18"/>
                <w:szCs w:val="18"/>
              </w:rPr>
              <w:t>105</w:t>
            </w:r>
          </w:p>
        </w:tc>
      </w:tr>
      <w:tr w:rsidR="002C532E" w14:paraId="707ADA5C" w14:textId="77777777">
        <w:trPr>
          <w:jc w:val="center"/>
        </w:trPr>
        <w:tc>
          <w:tcPr>
            <w:tcW w:w="1965" w:type="dxa"/>
            <w:shd w:val="clear" w:color="auto" w:fill="auto"/>
            <w:tcMar>
              <w:top w:w="28" w:type="dxa"/>
              <w:left w:w="28" w:type="dxa"/>
              <w:bottom w:w="28" w:type="dxa"/>
              <w:right w:w="28" w:type="dxa"/>
            </w:tcMar>
          </w:tcPr>
          <w:p w14:paraId="0000005F" w14:textId="77777777" w:rsidR="002C532E" w:rsidRDefault="00FC36D0">
            <w:pPr>
              <w:ind w:left="0"/>
              <w:rPr>
                <w:sz w:val="18"/>
                <w:szCs w:val="18"/>
              </w:rPr>
            </w:pPr>
            <w:r>
              <w:rPr>
                <w:sz w:val="18"/>
                <w:szCs w:val="18"/>
              </w:rPr>
              <w:t>Eastern Area</w:t>
            </w:r>
          </w:p>
        </w:tc>
        <w:tc>
          <w:tcPr>
            <w:tcW w:w="1725" w:type="dxa"/>
            <w:shd w:val="clear" w:color="auto" w:fill="auto"/>
            <w:tcMar>
              <w:top w:w="28" w:type="dxa"/>
              <w:left w:w="28" w:type="dxa"/>
              <w:bottom w:w="28" w:type="dxa"/>
              <w:right w:w="28" w:type="dxa"/>
            </w:tcMar>
          </w:tcPr>
          <w:p w14:paraId="00000060" w14:textId="77777777" w:rsidR="002C532E" w:rsidRDefault="00FC36D0">
            <w:pPr>
              <w:widowControl w:val="0"/>
              <w:pBdr>
                <w:top w:val="nil"/>
                <w:left w:val="nil"/>
                <w:bottom w:val="nil"/>
                <w:right w:val="nil"/>
                <w:between w:val="nil"/>
              </w:pBdr>
              <w:spacing w:line="240" w:lineRule="auto"/>
              <w:ind w:left="0"/>
              <w:rPr>
                <w:sz w:val="18"/>
                <w:szCs w:val="18"/>
              </w:rPr>
            </w:pPr>
            <w:r>
              <w:rPr>
                <w:sz w:val="18"/>
                <w:szCs w:val="18"/>
              </w:rPr>
              <w:t>54</w:t>
            </w:r>
          </w:p>
        </w:tc>
      </w:tr>
      <w:tr w:rsidR="002C532E" w14:paraId="3417FE9F" w14:textId="77777777">
        <w:trPr>
          <w:jc w:val="center"/>
        </w:trPr>
        <w:tc>
          <w:tcPr>
            <w:tcW w:w="1965" w:type="dxa"/>
            <w:shd w:val="clear" w:color="auto" w:fill="auto"/>
            <w:tcMar>
              <w:top w:w="28" w:type="dxa"/>
              <w:left w:w="28" w:type="dxa"/>
              <w:bottom w:w="28" w:type="dxa"/>
              <w:right w:w="28" w:type="dxa"/>
            </w:tcMar>
          </w:tcPr>
          <w:p w14:paraId="00000061" w14:textId="77777777" w:rsidR="002C532E" w:rsidRDefault="00FC36D0">
            <w:pPr>
              <w:ind w:left="0"/>
              <w:rPr>
                <w:sz w:val="18"/>
                <w:szCs w:val="18"/>
              </w:rPr>
            </w:pPr>
            <w:r>
              <w:rPr>
                <w:sz w:val="18"/>
                <w:szCs w:val="18"/>
              </w:rPr>
              <w:t>Great Basin</w:t>
            </w:r>
          </w:p>
        </w:tc>
        <w:tc>
          <w:tcPr>
            <w:tcW w:w="1725" w:type="dxa"/>
            <w:shd w:val="clear" w:color="auto" w:fill="auto"/>
            <w:tcMar>
              <w:top w:w="28" w:type="dxa"/>
              <w:left w:w="28" w:type="dxa"/>
              <w:bottom w:w="28" w:type="dxa"/>
              <w:right w:w="28" w:type="dxa"/>
            </w:tcMar>
          </w:tcPr>
          <w:p w14:paraId="00000062" w14:textId="77777777" w:rsidR="002C532E" w:rsidRDefault="00FC36D0">
            <w:pPr>
              <w:widowControl w:val="0"/>
              <w:pBdr>
                <w:top w:val="nil"/>
                <w:left w:val="nil"/>
                <w:bottom w:val="nil"/>
                <w:right w:val="nil"/>
                <w:between w:val="nil"/>
              </w:pBdr>
              <w:spacing w:line="240" w:lineRule="auto"/>
              <w:ind w:left="0"/>
              <w:rPr>
                <w:sz w:val="18"/>
                <w:szCs w:val="18"/>
              </w:rPr>
            </w:pPr>
            <w:r>
              <w:rPr>
                <w:sz w:val="18"/>
                <w:szCs w:val="18"/>
              </w:rPr>
              <w:t>499</w:t>
            </w:r>
          </w:p>
        </w:tc>
      </w:tr>
      <w:tr w:rsidR="002C532E" w14:paraId="178FF5B4" w14:textId="77777777">
        <w:trPr>
          <w:jc w:val="center"/>
        </w:trPr>
        <w:tc>
          <w:tcPr>
            <w:tcW w:w="1965" w:type="dxa"/>
            <w:shd w:val="clear" w:color="auto" w:fill="auto"/>
            <w:tcMar>
              <w:top w:w="28" w:type="dxa"/>
              <w:left w:w="28" w:type="dxa"/>
              <w:bottom w:w="28" w:type="dxa"/>
              <w:right w:w="28" w:type="dxa"/>
            </w:tcMar>
          </w:tcPr>
          <w:p w14:paraId="00000063" w14:textId="77777777" w:rsidR="002C532E" w:rsidRDefault="00FC36D0">
            <w:pPr>
              <w:ind w:left="0"/>
              <w:rPr>
                <w:sz w:val="18"/>
                <w:szCs w:val="18"/>
              </w:rPr>
            </w:pPr>
            <w:r>
              <w:rPr>
                <w:sz w:val="18"/>
                <w:szCs w:val="18"/>
              </w:rPr>
              <w:t>Northern Rockies</w:t>
            </w:r>
          </w:p>
        </w:tc>
        <w:tc>
          <w:tcPr>
            <w:tcW w:w="1725" w:type="dxa"/>
            <w:shd w:val="clear" w:color="auto" w:fill="auto"/>
            <w:tcMar>
              <w:top w:w="28" w:type="dxa"/>
              <w:left w:w="28" w:type="dxa"/>
              <w:bottom w:w="28" w:type="dxa"/>
              <w:right w:w="28" w:type="dxa"/>
            </w:tcMar>
          </w:tcPr>
          <w:p w14:paraId="00000064" w14:textId="77777777" w:rsidR="002C532E" w:rsidRDefault="00FC36D0">
            <w:pPr>
              <w:widowControl w:val="0"/>
              <w:pBdr>
                <w:top w:val="nil"/>
                <w:left w:val="nil"/>
                <w:bottom w:val="nil"/>
                <w:right w:val="nil"/>
                <w:between w:val="nil"/>
              </w:pBdr>
              <w:spacing w:line="240" w:lineRule="auto"/>
              <w:ind w:left="0"/>
              <w:rPr>
                <w:sz w:val="18"/>
                <w:szCs w:val="18"/>
              </w:rPr>
            </w:pPr>
            <w:r>
              <w:rPr>
                <w:sz w:val="18"/>
                <w:szCs w:val="18"/>
              </w:rPr>
              <w:t>437</w:t>
            </w:r>
          </w:p>
        </w:tc>
      </w:tr>
      <w:tr w:rsidR="002C532E" w14:paraId="08D1A900" w14:textId="77777777">
        <w:trPr>
          <w:jc w:val="center"/>
        </w:trPr>
        <w:tc>
          <w:tcPr>
            <w:tcW w:w="1965" w:type="dxa"/>
            <w:shd w:val="clear" w:color="auto" w:fill="auto"/>
            <w:tcMar>
              <w:top w:w="28" w:type="dxa"/>
              <w:left w:w="28" w:type="dxa"/>
              <w:bottom w:w="28" w:type="dxa"/>
              <w:right w:w="28" w:type="dxa"/>
            </w:tcMar>
          </w:tcPr>
          <w:p w14:paraId="00000065" w14:textId="77777777" w:rsidR="002C532E" w:rsidRDefault="00FC36D0">
            <w:pPr>
              <w:ind w:left="0"/>
              <w:rPr>
                <w:sz w:val="18"/>
                <w:szCs w:val="18"/>
              </w:rPr>
            </w:pPr>
            <w:r>
              <w:rPr>
                <w:sz w:val="18"/>
                <w:szCs w:val="18"/>
              </w:rPr>
              <w:t>Northwest</w:t>
            </w:r>
          </w:p>
        </w:tc>
        <w:tc>
          <w:tcPr>
            <w:tcW w:w="1725" w:type="dxa"/>
            <w:shd w:val="clear" w:color="auto" w:fill="auto"/>
            <w:tcMar>
              <w:top w:w="28" w:type="dxa"/>
              <w:left w:w="28" w:type="dxa"/>
              <w:bottom w:w="28" w:type="dxa"/>
              <w:right w:w="28" w:type="dxa"/>
            </w:tcMar>
          </w:tcPr>
          <w:p w14:paraId="00000066" w14:textId="77777777" w:rsidR="002C532E" w:rsidRDefault="00FC36D0">
            <w:pPr>
              <w:widowControl w:val="0"/>
              <w:pBdr>
                <w:top w:val="nil"/>
                <w:left w:val="nil"/>
                <w:bottom w:val="nil"/>
                <w:right w:val="nil"/>
                <w:between w:val="nil"/>
              </w:pBdr>
              <w:spacing w:line="240" w:lineRule="auto"/>
              <w:ind w:left="0"/>
              <w:rPr>
                <w:sz w:val="18"/>
                <w:szCs w:val="18"/>
              </w:rPr>
            </w:pPr>
            <w:r>
              <w:rPr>
                <w:sz w:val="18"/>
                <w:szCs w:val="18"/>
              </w:rPr>
              <w:t>650</w:t>
            </w:r>
          </w:p>
        </w:tc>
      </w:tr>
      <w:tr w:rsidR="002C532E" w14:paraId="6E4D17B9" w14:textId="77777777">
        <w:trPr>
          <w:jc w:val="center"/>
        </w:trPr>
        <w:tc>
          <w:tcPr>
            <w:tcW w:w="1965" w:type="dxa"/>
            <w:shd w:val="clear" w:color="auto" w:fill="auto"/>
            <w:tcMar>
              <w:top w:w="28" w:type="dxa"/>
              <w:left w:w="28" w:type="dxa"/>
              <w:bottom w:w="28" w:type="dxa"/>
              <w:right w:w="28" w:type="dxa"/>
            </w:tcMar>
          </w:tcPr>
          <w:p w14:paraId="00000067" w14:textId="77777777" w:rsidR="002C532E" w:rsidRDefault="00FC36D0">
            <w:pPr>
              <w:ind w:left="0"/>
              <w:rPr>
                <w:sz w:val="18"/>
                <w:szCs w:val="18"/>
              </w:rPr>
            </w:pPr>
            <w:r>
              <w:rPr>
                <w:sz w:val="18"/>
                <w:szCs w:val="18"/>
              </w:rPr>
              <w:t>Northern California</w:t>
            </w:r>
          </w:p>
        </w:tc>
        <w:tc>
          <w:tcPr>
            <w:tcW w:w="1725" w:type="dxa"/>
            <w:shd w:val="clear" w:color="auto" w:fill="auto"/>
            <w:tcMar>
              <w:top w:w="28" w:type="dxa"/>
              <w:left w:w="28" w:type="dxa"/>
              <w:bottom w:w="28" w:type="dxa"/>
              <w:right w:w="28" w:type="dxa"/>
            </w:tcMar>
          </w:tcPr>
          <w:p w14:paraId="00000068" w14:textId="77777777" w:rsidR="002C532E" w:rsidRDefault="00FC36D0">
            <w:pPr>
              <w:widowControl w:val="0"/>
              <w:pBdr>
                <w:top w:val="nil"/>
                <w:left w:val="nil"/>
                <w:bottom w:val="nil"/>
                <w:right w:val="nil"/>
                <w:between w:val="nil"/>
              </w:pBdr>
              <w:spacing w:line="240" w:lineRule="auto"/>
              <w:ind w:left="0"/>
              <w:rPr>
                <w:sz w:val="18"/>
                <w:szCs w:val="18"/>
              </w:rPr>
            </w:pPr>
            <w:r>
              <w:rPr>
                <w:sz w:val="18"/>
                <w:szCs w:val="18"/>
              </w:rPr>
              <w:t>385</w:t>
            </w:r>
          </w:p>
        </w:tc>
      </w:tr>
      <w:tr w:rsidR="002C532E" w14:paraId="1E94134A" w14:textId="77777777">
        <w:trPr>
          <w:jc w:val="center"/>
        </w:trPr>
        <w:tc>
          <w:tcPr>
            <w:tcW w:w="1965" w:type="dxa"/>
            <w:shd w:val="clear" w:color="auto" w:fill="auto"/>
            <w:tcMar>
              <w:top w:w="28" w:type="dxa"/>
              <w:left w:w="28" w:type="dxa"/>
              <w:bottom w:w="28" w:type="dxa"/>
              <w:right w:w="28" w:type="dxa"/>
            </w:tcMar>
          </w:tcPr>
          <w:p w14:paraId="00000069" w14:textId="77777777" w:rsidR="002C532E" w:rsidRDefault="00FC36D0">
            <w:pPr>
              <w:ind w:left="0"/>
              <w:rPr>
                <w:sz w:val="18"/>
                <w:szCs w:val="18"/>
              </w:rPr>
            </w:pPr>
            <w:r>
              <w:rPr>
                <w:sz w:val="18"/>
                <w:szCs w:val="18"/>
              </w:rPr>
              <w:t>Southern California</w:t>
            </w:r>
          </w:p>
        </w:tc>
        <w:tc>
          <w:tcPr>
            <w:tcW w:w="1725" w:type="dxa"/>
            <w:shd w:val="clear" w:color="auto" w:fill="auto"/>
            <w:tcMar>
              <w:top w:w="28" w:type="dxa"/>
              <w:left w:w="28" w:type="dxa"/>
              <w:bottom w:w="28" w:type="dxa"/>
              <w:right w:w="28" w:type="dxa"/>
            </w:tcMar>
          </w:tcPr>
          <w:p w14:paraId="0000006A" w14:textId="77777777" w:rsidR="002C532E" w:rsidRDefault="00FC36D0">
            <w:pPr>
              <w:widowControl w:val="0"/>
              <w:pBdr>
                <w:top w:val="nil"/>
                <w:left w:val="nil"/>
                <w:bottom w:val="nil"/>
                <w:right w:val="nil"/>
                <w:between w:val="nil"/>
              </w:pBdr>
              <w:spacing w:line="240" w:lineRule="auto"/>
              <w:ind w:left="0"/>
              <w:rPr>
                <w:sz w:val="18"/>
                <w:szCs w:val="18"/>
              </w:rPr>
            </w:pPr>
            <w:r>
              <w:rPr>
                <w:sz w:val="18"/>
                <w:szCs w:val="18"/>
              </w:rPr>
              <w:t>413</w:t>
            </w:r>
          </w:p>
        </w:tc>
      </w:tr>
      <w:tr w:rsidR="002C532E" w14:paraId="31B4B3C2" w14:textId="77777777">
        <w:trPr>
          <w:jc w:val="center"/>
        </w:trPr>
        <w:tc>
          <w:tcPr>
            <w:tcW w:w="1965" w:type="dxa"/>
            <w:shd w:val="clear" w:color="auto" w:fill="auto"/>
            <w:tcMar>
              <w:top w:w="28" w:type="dxa"/>
              <w:left w:w="28" w:type="dxa"/>
              <w:bottom w:w="28" w:type="dxa"/>
              <w:right w:w="28" w:type="dxa"/>
            </w:tcMar>
          </w:tcPr>
          <w:p w14:paraId="0000006B" w14:textId="77777777" w:rsidR="002C532E" w:rsidRDefault="00FC36D0">
            <w:pPr>
              <w:ind w:left="0"/>
              <w:rPr>
                <w:sz w:val="18"/>
                <w:szCs w:val="18"/>
              </w:rPr>
            </w:pPr>
            <w:r>
              <w:rPr>
                <w:sz w:val="18"/>
                <w:szCs w:val="18"/>
              </w:rPr>
              <w:t>Rocky Mountain</w:t>
            </w:r>
          </w:p>
        </w:tc>
        <w:tc>
          <w:tcPr>
            <w:tcW w:w="1725" w:type="dxa"/>
            <w:shd w:val="clear" w:color="auto" w:fill="auto"/>
            <w:tcMar>
              <w:top w:w="28" w:type="dxa"/>
              <w:left w:w="28" w:type="dxa"/>
              <w:bottom w:w="28" w:type="dxa"/>
              <w:right w:w="28" w:type="dxa"/>
            </w:tcMar>
          </w:tcPr>
          <w:p w14:paraId="0000006C" w14:textId="77777777" w:rsidR="002C532E" w:rsidRDefault="00FC36D0">
            <w:pPr>
              <w:widowControl w:val="0"/>
              <w:pBdr>
                <w:top w:val="nil"/>
                <w:left w:val="nil"/>
                <w:bottom w:val="nil"/>
                <w:right w:val="nil"/>
                <w:between w:val="nil"/>
              </w:pBdr>
              <w:spacing w:line="240" w:lineRule="auto"/>
              <w:ind w:left="0"/>
              <w:rPr>
                <w:sz w:val="18"/>
                <w:szCs w:val="18"/>
              </w:rPr>
            </w:pPr>
            <w:r>
              <w:rPr>
                <w:sz w:val="18"/>
                <w:szCs w:val="18"/>
              </w:rPr>
              <w:t>259</w:t>
            </w:r>
          </w:p>
        </w:tc>
      </w:tr>
      <w:tr w:rsidR="002C532E" w14:paraId="7C60E3F4" w14:textId="77777777">
        <w:trPr>
          <w:jc w:val="center"/>
        </w:trPr>
        <w:tc>
          <w:tcPr>
            <w:tcW w:w="1965" w:type="dxa"/>
            <w:shd w:val="clear" w:color="auto" w:fill="auto"/>
            <w:tcMar>
              <w:top w:w="28" w:type="dxa"/>
              <w:left w:w="28" w:type="dxa"/>
              <w:bottom w:w="28" w:type="dxa"/>
              <w:right w:w="28" w:type="dxa"/>
            </w:tcMar>
          </w:tcPr>
          <w:p w14:paraId="0000006D" w14:textId="77777777" w:rsidR="002C532E" w:rsidRDefault="00FC36D0">
            <w:pPr>
              <w:ind w:left="0"/>
              <w:rPr>
                <w:sz w:val="18"/>
                <w:szCs w:val="18"/>
              </w:rPr>
            </w:pPr>
            <w:r>
              <w:rPr>
                <w:sz w:val="18"/>
                <w:szCs w:val="18"/>
              </w:rPr>
              <w:t>Southern Area</w:t>
            </w:r>
          </w:p>
        </w:tc>
        <w:tc>
          <w:tcPr>
            <w:tcW w:w="1725" w:type="dxa"/>
            <w:shd w:val="clear" w:color="auto" w:fill="auto"/>
            <w:tcMar>
              <w:top w:w="28" w:type="dxa"/>
              <w:left w:w="28" w:type="dxa"/>
              <w:bottom w:w="28" w:type="dxa"/>
              <w:right w:w="28" w:type="dxa"/>
            </w:tcMar>
          </w:tcPr>
          <w:p w14:paraId="0000006E" w14:textId="77777777" w:rsidR="002C532E" w:rsidRDefault="00FC36D0">
            <w:pPr>
              <w:widowControl w:val="0"/>
              <w:pBdr>
                <w:top w:val="nil"/>
                <w:left w:val="nil"/>
                <w:bottom w:val="nil"/>
                <w:right w:val="nil"/>
                <w:between w:val="nil"/>
              </w:pBdr>
              <w:spacing w:line="240" w:lineRule="auto"/>
              <w:ind w:left="0"/>
              <w:rPr>
                <w:sz w:val="18"/>
                <w:szCs w:val="18"/>
              </w:rPr>
            </w:pPr>
            <w:r>
              <w:rPr>
                <w:sz w:val="18"/>
                <w:szCs w:val="18"/>
              </w:rPr>
              <w:t>542</w:t>
            </w:r>
          </w:p>
        </w:tc>
      </w:tr>
      <w:tr w:rsidR="002C532E" w14:paraId="2C15F69C" w14:textId="77777777">
        <w:trPr>
          <w:jc w:val="center"/>
        </w:trPr>
        <w:tc>
          <w:tcPr>
            <w:tcW w:w="1965" w:type="dxa"/>
            <w:shd w:val="clear" w:color="auto" w:fill="auto"/>
            <w:tcMar>
              <w:top w:w="28" w:type="dxa"/>
              <w:left w:w="28" w:type="dxa"/>
              <w:bottom w:w="28" w:type="dxa"/>
              <w:right w:w="28" w:type="dxa"/>
            </w:tcMar>
          </w:tcPr>
          <w:p w14:paraId="0000006F" w14:textId="77777777" w:rsidR="002C532E" w:rsidRDefault="00FC36D0">
            <w:pPr>
              <w:ind w:left="0"/>
              <w:rPr>
                <w:sz w:val="18"/>
                <w:szCs w:val="18"/>
              </w:rPr>
            </w:pPr>
            <w:r>
              <w:rPr>
                <w:sz w:val="18"/>
                <w:szCs w:val="18"/>
              </w:rPr>
              <w:t>Southwest</w:t>
            </w:r>
          </w:p>
        </w:tc>
        <w:tc>
          <w:tcPr>
            <w:tcW w:w="1725" w:type="dxa"/>
            <w:shd w:val="clear" w:color="auto" w:fill="auto"/>
            <w:tcMar>
              <w:top w:w="28" w:type="dxa"/>
              <w:left w:w="28" w:type="dxa"/>
              <w:bottom w:w="28" w:type="dxa"/>
              <w:right w:w="28" w:type="dxa"/>
            </w:tcMar>
          </w:tcPr>
          <w:p w14:paraId="00000070" w14:textId="77777777" w:rsidR="002C532E" w:rsidRDefault="00FC36D0">
            <w:pPr>
              <w:widowControl w:val="0"/>
              <w:pBdr>
                <w:top w:val="nil"/>
                <w:left w:val="nil"/>
                <w:bottom w:val="nil"/>
                <w:right w:val="nil"/>
                <w:between w:val="nil"/>
              </w:pBdr>
              <w:spacing w:line="240" w:lineRule="auto"/>
              <w:ind w:left="0"/>
              <w:rPr>
                <w:sz w:val="18"/>
                <w:szCs w:val="18"/>
              </w:rPr>
            </w:pPr>
            <w:r>
              <w:rPr>
                <w:sz w:val="18"/>
                <w:szCs w:val="18"/>
              </w:rPr>
              <w:t>546</w:t>
            </w:r>
          </w:p>
        </w:tc>
      </w:tr>
      <w:tr w:rsidR="002C532E" w14:paraId="61A298F5" w14:textId="77777777">
        <w:trPr>
          <w:jc w:val="center"/>
        </w:trPr>
        <w:tc>
          <w:tcPr>
            <w:tcW w:w="1965" w:type="dxa"/>
            <w:shd w:val="clear" w:color="auto" w:fill="auto"/>
            <w:tcMar>
              <w:top w:w="28" w:type="dxa"/>
              <w:left w:w="28" w:type="dxa"/>
              <w:bottom w:w="28" w:type="dxa"/>
              <w:right w:w="28" w:type="dxa"/>
            </w:tcMar>
          </w:tcPr>
          <w:p w14:paraId="00000071" w14:textId="77777777" w:rsidR="002C532E" w:rsidRDefault="00FC36D0">
            <w:pPr>
              <w:ind w:left="0"/>
              <w:rPr>
                <w:b/>
                <w:sz w:val="18"/>
                <w:szCs w:val="18"/>
              </w:rPr>
            </w:pPr>
            <w:r>
              <w:rPr>
                <w:b/>
                <w:sz w:val="18"/>
                <w:szCs w:val="18"/>
              </w:rPr>
              <w:t>Total</w:t>
            </w:r>
          </w:p>
        </w:tc>
        <w:tc>
          <w:tcPr>
            <w:tcW w:w="1725" w:type="dxa"/>
            <w:shd w:val="clear" w:color="auto" w:fill="auto"/>
            <w:tcMar>
              <w:top w:w="28" w:type="dxa"/>
              <w:left w:w="28" w:type="dxa"/>
              <w:bottom w:w="28" w:type="dxa"/>
              <w:right w:w="28" w:type="dxa"/>
            </w:tcMar>
          </w:tcPr>
          <w:p w14:paraId="00000072" w14:textId="77777777" w:rsidR="002C532E" w:rsidRDefault="00FC36D0">
            <w:pPr>
              <w:widowControl w:val="0"/>
              <w:pBdr>
                <w:top w:val="nil"/>
                <w:left w:val="nil"/>
                <w:bottom w:val="nil"/>
                <w:right w:val="nil"/>
                <w:between w:val="nil"/>
              </w:pBdr>
              <w:spacing w:line="240" w:lineRule="auto"/>
              <w:ind w:left="0"/>
              <w:rPr>
                <w:b/>
                <w:sz w:val="18"/>
                <w:szCs w:val="18"/>
              </w:rPr>
            </w:pPr>
            <w:r>
              <w:rPr>
                <w:b/>
                <w:sz w:val="18"/>
                <w:szCs w:val="18"/>
              </w:rPr>
              <w:t>3,890</w:t>
            </w:r>
          </w:p>
        </w:tc>
      </w:tr>
    </w:tbl>
    <w:p w14:paraId="00000073" w14:textId="77777777" w:rsidR="002C532E" w:rsidRDefault="00FC36D0">
      <w:pPr>
        <w:pStyle w:val="Heading2"/>
        <w:ind w:left="0"/>
      </w:pPr>
      <w:bookmarkStart w:id="4" w:name="_heading=h.2et92p0" w:colFirst="0" w:colLast="0"/>
      <w:bookmarkEnd w:id="4"/>
      <w:r>
        <w:lastRenderedPageBreak/>
        <w:t>Data Descriptions by Variable</w:t>
      </w:r>
    </w:p>
    <w:p w14:paraId="00000074" w14:textId="77777777" w:rsidR="002C532E" w:rsidRDefault="00FC36D0">
      <w:pPr>
        <w:pStyle w:val="Heading3"/>
        <w:numPr>
          <w:ilvl w:val="0"/>
          <w:numId w:val="1"/>
        </w:numPr>
        <w:ind w:left="630" w:hanging="270"/>
      </w:pPr>
      <w:bookmarkStart w:id="5" w:name="_heading=h.tyjcwt" w:colFirst="0" w:colLast="0"/>
      <w:bookmarkEnd w:id="5"/>
      <w:r>
        <w:t>Prevalence of Significant Wildfire Events</w:t>
      </w:r>
    </w:p>
    <w:p w14:paraId="00000075" w14:textId="77777777" w:rsidR="002C532E" w:rsidRDefault="00FC36D0">
      <w:pPr>
        <w:pStyle w:val="Heading4"/>
      </w:pPr>
      <w:bookmarkStart w:id="6" w:name="_heading=h.3dy6vkm" w:colFirst="0" w:colLast="0"/>
      <w:bookmarkEnd w:id="6"/>
      <w:r>
        <w:t xml:space="preserve">Data </w:t>
      </w:r>
    </w:p>
    <w:p w14:paraId="00000076" w14:textId="77777777" w:rsidR="002C532E" w:rsidRDefault="00FC36D0">
      <w:pPr>
        <w:ind w:left="1440"/>
      </w:pPr>
      <w:r>
        <w:t>Data for calculating this measure was based on counts of incidents identified within St. Denis et al (2023) All-Hazards Dataset.</w:t>
      </w:r>
    </w:p>
    <w:p w14:paraId="00000077" w14:textId="77777777" w:rsidR="002C532E" w:rsidRDefault="00FC36D0">
      <w:pPr>
        <w:pStyle w:val="Heading4"/>
      </w:pPr>
      <w:bookmarkStart w:id="7" w:name="_heading=h.1t3h5sf" w:colFirst="0" w:colLast="0"/>
      <w:bookmarkEnd w:id="7"/>
      <w:r>
        <w:t>Processing</w:t>
      </w:r>
    </w:p>
    <w:p w14:paraId="00000078" w14:textId="77777777" w:rsidR="002C532E" w:rsidRDefault="00FC36D0">
      <w:pPr>
        <w:ind w:firstLine="720"/>
      </w:pPr>
      <w:r>
        <w:t>No additional processing was required beyond identifying and counting incidents.</w:t>
      </w:r>
    </w:p>
    <w:p w14:paraId="00000079" w14:textId="77777777" w:rsidR="002C532E" w:rsidRDefault="002C532E">
      <w:pPr>
        <w:ind w:firstLine="720"/>
        <w:rPr>
          <w:color w:val="CC0000"/>
        </w:rPr>
      </w:pPr>
    </w:p>
    <w:p w14:paraId="0000007A" w14:textId="77777777" w:rsidR="002C532E" w:rsidRDefault="00FC36D0">
      <w:pPr>
        <w:pStyle w:val="Heading3"/>
      </w:pPr>
      <w:bookmarkStart w:id="8" w:name="_heading=h.4d34og8" w:colFirst="0" w:colLast="0"/>
      <w:bookmarkEnd w:id="8"/>
      <w:r>
        <w:t>2.  Engaged Jurisdiction Complexity Score</w:t>
      </w:r>
    </w:p>
    <w:p w14:paraId="0000007B" w14:textId="77777777" w:rsidR="002C532E" w:rsidRDefault="00FC36D0">
      <w:pPr>
        <w:pStyle w:val="Heading4"/>
      </w:pPr>
      <w:bookmarkStart w:id="9" w:name="_heading=h.2s8eyo1" w:colFirst="0" w:colLast="0"/>
      <w:bookmarkEnd w:id="9"/>
      <w:r>
        <w:t>Data</w:t>
      </w:r>
    </w:p>
    <w:p w14:paraId="0000007C" w14:textId="77777777" w:rsidR="002C532E" w:rsidRDefault="00FD42D9">
      <w:sdt>
        <w:sdtPr>
          <w:tag w:val="goog_rdk_4"/>
          <w:id w:val="1806036724"/>
        </w:sdtPr>
        <w:sdtEndPr/>
        <w:sdtContent/>
      </w:sdt>
      <w:r w:rsidR="00FC36D0">
        <w:t xml:space="preserve">Seven spatial data layers and one tabular dataset were used in the creation of our jurisdictional complexity composite scores. These included 1) St. Denis et </w:t>
      </w:r>
      <w:proofErr w:type="spellStart"/>
      <w:r w:rsidR="00FC36D0">
        <w:t>al’s</w:t>
      </w:r>
      <w:proofErr w:type="spellEnd"/>
      <w:r w:rsidR="00FC36D0">
        <w:t xml:space="preserve"> (2023) All Hazards Dataset, 2) Monitoring Trends in Burn Severity (MTBS) spatial vector layer  (Monitoring Trends in Burn Severity, 2017), 3) The National Interagency Fire Center Wildland Fire Decision Support System (WFDSS) 4) US </w:t>
      </w:r>
      <w:hyperlink r:id="rId9">
        <w:r w:rsidR="00FC36D0">
          <w:rPr>
            <w:color w:val="1155CC"/>
            <w:u w:val="single"/>
          </w:rPr>
          <w:t>Topologically Integrated Geographic Encoding and Referencing (TIGER)</w:t>
        </w:r>
      </w:hyperlink>
      <w:r w:rsidR="00FC36D0">
        <w:t xml:space="preserve">/Line state boundaries, 5) US TIGER/Line County boundaries, 6) US TIGER/Line Census place boundaries, 7) Bureau of Indian Affairs (BIA) Regional boundaries, and 8) Bureau of Land Management (BLM) boundaries. </w:t>
      </w:r>
    </w:p>
    <w:p w14:paraId="0000007D" w14:textId="77777777" w:rsidR="002C532E" w:rsidRDefault="00FC36D0">
      <w:pPr>
        <w:pStyle w:val="Heading4"/>
      </w:pPr>
      <w:bookmarkStart w:id="10" w:name="_heading=h.17dp8vu" w:colFirst="0" w:colLast="0"/>
      <w:bookmarkEnd w:id="10"/>
      <w:r>
        <w:t>Processing</w:t>
      </w:r>
    </w:p>
    <w:p w14:paraId="0000007E" w14:textId="77777777" w:rsidR="002C532E" w:rsidRDefault="00FC36D0">
      <w:r>
        <w:t xml:space="preserve">We conceptualized a ‘jurisdiction’ as a unique administrative unit of land ownership or government administration.   Our focus was to identify the jurisdictional entity who had authority and responsibility to represent their jurisdiction's interests in the management of a wildfire that was either threatening or actively burning on their land.  Because state fire agencies generally have authority and responsibility for fire management on private lands, counts of private landownership were not included separately in our jurisdictional complexity counts.  We consider trends in the impact of wildfire on human settlements separately in our structures threatened, damaged, or destroyed analysis. </w:t>
      </w:r>
    </w:p>
    <w:p w14:paraId="0000007F" w14:textId="77777777" w:rsidR="002C532E" w:rsidRDefault="002C532E"/>
    <w:p w14:paraId="00000080" w14:textId="77777777" w:rsidR="002C532E" w:rsidRDefault="00FC36D0">
      <w:r>
        <w:t xml:space="preserve">Only wildfires with MTBS fire footprints were suitable for the jurisdictional complexity analysis.  The Incident Management All-Hazards tabular dataset uses the Fire Occurrence Database to assign MTBS fire footprints to wildfire incidents; the geospatial boundary for a wildfire incident includes all associated MTBS fire footprints. Five hundred acres is the minimum size for MTBS-recorded fires, except in the western United States where the minimum is 1,000 acres (Short 2021). We assessed jurisdictional complexity only for wildfire incidents in the Incident Management All-Hazards tabular dataset that were designated Type 1 or 2 and assigned one or more MTBS fire footprints (n = 2679). </w:t>
      </w:r>
      <w:r>
        <w:lastRenderedPageBreak/>
        <w:t xml:space="preserve">The geospatial boundary for a wildfire incident includes all associated MTBS fire footprints.   </w:t>
      </w:r>
    </w:p>
    <w:p w14:paraId="00000081" w14:textId="77777777" w:rsidR="002C532E" w:rsidRDefault="002C532E"/>
    <w:p w14:paraId="00000082" w14:textId="77777777" w:rsidR="002C532E" w:rsidRDefault="00FC36D0">
      <w:r>
        <w:t>Jurisdictional counts included all jurisdictions administratively burned or engaged in the co-management of the wildfire.   To create the “engaged” co-management boundary, we added a 5-mile buffer to the MTBS fire footprints. Five miles was considered the institutionally recognized distance at which a threatened jurisdiction would become involved in the governance of an active wildfire (</w:t>
      </w:r>
      <w:r>
        <w:rPr>
          <w:sz w:val="20"/>
          <w:szCs w:val="20"/>
        </w:rPr>
        <w:t>Authors, under review</w:t>
      </w:r>
      <w:r>
        <w:t xml:space="preserve">, Nowell and </w:t>
      </w:r>
      <w:proofErr w:type="spellStart"/>
      <w:r>
        <w:t>Stutler</w:t>
      </w:r>
      <w:proofErr w:type="spellEnd"/>
      <w:r>
        <w:t xml:space="preserve"> 2020).  The count of engaged jurisdictions includes burned jurisdictions, but a unique jurisdiction can only be counted once, so no jurisdiction is counted twice as both burned and engaged. The lowest order jurisdiction we considered was census place.  Private entities were not counted separately for this analysis. </w:t>
      </w:r>
    </w:p>
    <w:p w14:paraId="00000083" w14:textId="77777777" w:rsidR="002C532E" w:rsidRDefault="002C532E"/>
    <w:p w14:paraId="00000084" w14:textId="77777777" w:rsidR="002C532E" w:rsidRDefault="00FC36D0">
      <w:r>
        <w:t>A framework of decision rules was used to calculate jurisdictional counts.  These decision rules are summarized in detail by (Jones et al, under review) and were used to process the combined jurisdictional data to identify and count jurisdictions engaged in the incident.  Key elements of the decision framework included: 1) burned and engaged federal administrative entities including National Forests, National Parks and Monuments, US Fish and Wildlife Reserves, Department of Defense military installations, Department of Energy installations, and Bureau of Land Management Districts were counted as separate jurisdictional entities, 2) all Bureau of Indian Affairs regions and Indian Reservation lands were counted as separate jurisdictions 3) states and counties were counted as independent jurisdictions when non-federal lands were burned/engaged within their boundaries</w:t>
      </w:r>
    </w:p>
    <w:p w14:paraId="00000085" w14:textId="77777777" w:rsidR="002C532E" w:rsidRDefault="002C532E"/>
    <w:p w14:paraId="00000086" w14:textId="77777777" w:rsidR="002C532E" w:rsidRDefault="00FC36D0">
      <w:pPr>
        <w:pStyle w:val="Heading4"/>
      </w:pPr>
      <w:bookmarkStart w:id="11" w:name="_heading=h.3rdcrjn" w:colFirst="0" w:colLast="0"/>
      <w:bookmarkEnd w:id="11"/>
      <w:r>
        <w:t>Analysis</w:t>
      </w:r>
    </w:p>
    <w:p w14:paraId="00000087" w14:textId="77777777" w:rsidR="002C532E" w:rsidRDefault="002C532E">
      <w:pPr>
        <w:ind w:left="0"/>
      </w:pPr>
    </w:p>
    <w:p w14:paraId="00000088" w14:textId="77777777" w:rsidR="002C532E" w:rsidRDefault="00FC36D0">
      <w:r>
        <w:t>We counted engaged jurisdictions and the number of government levels engaged for each incident. The jurisdictional count was multiplied by the number of government levels engaged on that incident to yield a jurisdictional complexity score. Levels of government/ownership</w:t>
      </w:r>
      <w:r>
        <w:rPr>
          <w:vertAlign w:val="superscript"/>
        </w:rPr>
        <w:footnoteReference w:id="1"/>
      </w:r>
      <w:r>
        <w:t xml:space="preserve"> were operationalized as federal, tribal, state, local, and private.  This was done to account for findings from past research suggesting that governing across levels of government is more complex than collaborations within the same level of government (Fleming et al, 2015, Nowell et al, 2023). For regional analysis, the jurisdictional complexity score for each GACC was normalized by the cumulative GACC average jurisdictional complexity score. Linear regression analysis was used to calculate the slopes for the national dataset as well as the 10 regions.</w:t>
      </w:r>
    </w:p>
    <w:p w14:paraId="00000089" w14:textId="77777777" w:rsidR="002C532E" w:rsidRDefault="00FC36D0">
      <w:pPr>
        <w:pStyle w:val="Heading3"/>
      </w:pPr>
      <w:bookmarkStart w:id="12" w:name="_heading=h.26in1rg" w:colFirst="0" w:colLast="0"/>
      <w:bookmarkEnd w:id="12"/>
      <w:r>
        <w:lastRenderedPageBreak/>
        <w:t>3. Acreage of Significant Wildfires</w:t>
      </w:r>
    </w:p>
    <w:p w14:paraId="0000008A" w14:textId="77777777" w:rsidR="002C532E" w:rsidRDefault="00FC36D0">
      <w:pPr>
        <w:pStyle w:val="Heading4"/>
      </w:pPr>
      <w:bookmarkStart w:id="13" w:name="_heading=h.lnxbz9" w:colFirst="0" w:colLast="0"/>
      <w:bookmarkEnd w:id="13"/>
      <w:r>
        <w:t>Data</w:t>
      </w:r>
    </w:p>
    <w:p w14:paraId="0000008B" w14:textId="77777777" w:rsidR="002C532E" w:rsidRDefault="00FC36D0">
      <w:r>
        <w:t xml:space="preserve">We used fire size (in acres) from the “FINAL_ACRES” field in St. Denis et </w:t>
      </w:r>
      <w:proofErr w:type="spellStart"/>
      <w:r>
        <w:t>al’s</w:t>
      </w:r>
      <w:proofErr w:type="spellEnd"/>
      <w:r>
        <w:t xml:space="preserve"> (2023) All-Hazards dataset.</w:t>
      </w:r>
    </w:p>
    <w:p w14:paraId="0000008C" w14:textId="77777777" w:rsidR="002C532E" w:rsidRDefault="00FC36D0">
      <w:pPr>
        <w:pStyle w:val="Heading4"/>
      </w:pPr>
      <w:bookmarkStart w:id="14" w:name="_heading=h.35nkun2" w:colFirst="0" w:colLast="0"/>
      <w:bookmarkEnd w:id="14"/>
      <w:r>
        <w:t>Processing</w:t>
      </w:r>
    </w:p>
    <w:p w14:paraId="0000008D" w14:textId="77777777" w:rsidR="002C532E" w:rsidRDefault="00FC36D0">
      <w:r>
        <w:t>No additional processing was required to analyze fire size.</w:t>
      </w:r>
    </w:p>
    <w:p w14:paraId="0000008E" w14:textId="77777777" w:rsidR="002C532E" w:rsidRDefault="00FC36D0">
      <w:pPr>
        <w:pStyle w:val="Heading4"/>
      </w:pPr>
      <w:bookmarkStart w:id="15" w:name="_heading=h.1ksv4uv" w:colFirst="0" w:colLast="0"/>
      <w:bookmarkEnd w:id="15"/>
      <w:r>
        <w:t>Analysis</w:t>
      </w:r>
    </w:p>
    <w:p w14:paraId="0000008F" w14:textId="77777777" w:rsidR="002C532E" w:rsidRDefault="00FC36D0">
      <w:r>
        <w:t xml:space="preserve">We averaged wildfire size by year for both the national dataset and within each region.  For individual GACCs, we computed an average fire size for </w:t>
      </w:r>
      <w:r>
        <w:rPr>
          <w:i/>
        </w:rPr>
        <w:t>all</w:t>
      </w:r>
      <w:r>
        <w:t xml:space="preserve"> wildfires within that GACC from 1999-2020. We then normalized each annual averaged fire size for the GACC by the cumulative average fire size for that GACC over the 21-year period.  Linear regression analysis was used to calculate the slopes for the national dataset as well as the 10 regions.   </w:t>
      </w:r>
    </w:p>
    <w:p w14:paraId="00000090" w14:textId="77777777" w:rsidR="002C532E" w:rsidRDefault="00FC36D0">
      <w:pPr>
        <w:pStyle w:val="Heading3"/>
        <w:ind w:left="450" w:firstLine="0"/>
      </w:pPr>
      <w:bookmarkStart w:id="16" w:name="_heading=h.44sinio" w:colFirst="0" w:colLast="0"/>
      <w:bookmarkEnd w:id="16"/>
      <w:r>
        <w:t>4. Number of Preparedness Level Days</w:t>
      </w:r>
    </w:p>
    <w:p w14:paraId="00000091" w14:textId="77777777" w:rsidR="002C532E" w:rsidRDefault="00FC36D0">
      <w:pPr>
        <w:pStyle w:val="Heading4"/>
      </w:pPr>
      <w:bookmarkStart w:id="17" w:name="_heading=h.2jxsxqh" w:colFirst="0" w:colLast="0"/>
      <w:bookmarkEnd w:id="17"/>
      <w:r>
        <w:t>Data</w:t>
      </w:r>
    </w:p>
    <w:p w14:paraId="00000092" w14:textId="77777777" w:rsidR="002C532E" w:rsidRDefault="00FC36D0">
      <w:r>
        <w:t xml:space="preserve">The National Interagency Fire Center provided daily National Preparedness level data from 1999-2020.  This data was then combined with St. Denis et </w:t>
      </w:r>
      <w:proofErr w:type="spellStart"/>
      <w:r>
        <w:t>al’s</w:t>
      </w:r>
      <w:proofErr w:type="spellEnd"/>
      <w:r>
        <w:t xml:space="preserve"> (2023) All Hazards Dataset. </w:t>
      </w:r>
    </w:p>
    <w:p w14:paraId="00000093" w14:textId="77777777" w:rsidR="002C532E" w:rsidRDefault="00FC36D0">
      <w:pPr>
        <w:pStyle w:val="Heading4"/>
      </w:pPr>
      <w:bookmarkStart w:id="18" w:name="_heading=h.z337ya" w:colFirst="0" w:colLast="0"/>
      <w:bookmarkEnd w:id="18"/>
      <w:r>
        <w:t>Processing</w:t>
      </w:r>
    </w:p>
    <w:p w14:paraId="00000094" w14:textId="77777777" w:rsidR="002C532E" w:rsidRDefault="00FC36D0">
      <w:r>
        <w:t xml:space="preserve">We used the St. Denis et </w:t>
      </w:r>
      <w:proofErr w:type="spellStart"/>
      <w:r>
        <w:t>al’s</w:t>
      </w:r>
      <w:proofErr w:type="spellEnd"/>
      <w:r>
        <w:t xml:space="preserve"> (2023) All Hazards data “DISCOVERY_DATE” field to identify the start date of the incident and the “REPORT_TO” column to identify the end date of the incident. We selected these columns to identify days the incident was considered active because these columns had the most complete and consistent reporting when compared to other data columns that could provide similar information. We then used the National Preparedness Level data to assign a preparedness level (PL) value to all days the incident was active; we then summed all days the incident was assigned a PL 4 or 5.</w:t>
      </w:r>
    </w:p>
    <w:p w14:paraId="00000095" w14:textId="77777777" w:rsidR="002C532E" w:rsidRDefault="00FC36D0">
      <w:pPr>
        <w:pStyle w:val="Heading4"/>
      </w:pPr>
      <w:bookmarkStart w:id="19" w:name="_heading=h.3j2qqm3" w:colFirst="0" w:colLast="0"/>
      <w:bookmarkEnd w:id="19"/>
      <w:r>
        <w:t>Analysis</w:t>
      </w:r>
    </w:p>
    <w:p w14:paraId="00000096" w14:textId="77777777" w:rsidR="002C532E" w:rsidRDefault="00FC36D0">
      <w:r>
        <w:t xml:space="preserve">For each GACC, we computed the annual average of days spent at NPL 4 and 5. We then fit an OLS regression.   </w:t>
      </w:r>
    </w:p>
    <w:p w14:paraId="00000097" w14:textId="77777777" w:rsidR="002C532E" w:rsidRDefault="00FC36D0">
      <w:pPr>
        <w:pStyle w:val="Heading3"/>
      </w:pPr>
      <w:bookmarkStart w:id="20" w:name="_heading=h.1y810tw" w:colFirst="0" w:colLast="0"/>
      <w:bookmarkEnd w:id="20"/>
      <w:r>
        <w:lastRenderedPageBreak/>
        <w:t>5. Structures Threatened, Damaged or Destroyed</w:t>
      </w:r>
    </w:p>
    <w:p w14:paraId="00000098" w14:textId="77777777" w:rsidR="002C532E" w:rsidRDefault="00FC36D0">
      <w:pPr>
        <w:pStyle w:val="Heading4"/>
      </w:pPr>
      <w:bookmarkStart w:id="21" w:name="_heading=h.4i7ojhp" w:colFirst="0" w:colLast="0"/>
      <w:bookmarkEnd w:id="21"/>
      <w:r>
        <w:t>Data</w:t>
      </w:r>
    </w:p>
    <w:p w14:paraId="00000099" w14:textId="77777777" w:rsidR="002C532E" w:rsidRDefault="00FC36D0">
      <w:r>
        <w:t xml:space="preserve">Structures threatened, damaged, and destroyed were extracted from St. Denis et </w:t>
      </w:r>
      <w:proofErr w:type="spellStart"/>
      <w:r>
        <w:t>al’s</w:t>
      </w:r>
      <w:proofErr w:type="spellEnd"/>
      <w:r>
        <w:t xml:space="preserve"> (2023) All-Hazards dataset fields “STR_THREATENED_MAX”, “STR_DAMAGED_TOTAL”, “STR_DESTROYED_TOTAL” respectively.</w:t>
      </w:r>
    </w:p>
    <w:p w14:paraId="0000009A" w14:textId="77777777" w:rsidR="002C532E" w:rsidRDefault="00FC36D0">
      <w:pPr>
        <w:pStyle w:val="Heading4"/>
      </w:pPr>
      <w:bookmarkStart w:id="22" w:name="_heading=h.2xcytpi" w:colFirst="0" w:colLast="0"/>
      <w:bookmarkEnd w:id="22"/>
      <w:r>
        <w:t>Processing</w:t>
      </w:r>
    </w:p>
    <w:p w14:paraId="0000009B" w14:textId="77777777" w:rsidR="002C532E" w:rsidRDefault="00FC36D0">
      <w:r>
        <w:t>For each incident, we summed the “STR_THREATENED_MAX”, “STR_DAMAGED_TOTAL”, “STR_DESTROYED_TOTAL” to yield a total of structures impacted or almost impacted by the incident.</w:t>
      </w:r>
    </w:p>
    <w:p w14:paraId="0000009C" w14:textId="77777777" w:rsidR="002C532E" w:rsidRDefault="00FC36D0">
      <w:pPr>
        <w:pStyle w:val="Heading4"/>
      </w:pPr>
      <w:bookmarkStart w:id="23" w:name="_heading=h.1ci93xb" w:colFirst="0" w:colLast="0"/>
      <w:bookmarkEnd w:id="23"/>
      <w:r>
        <w:t>Analysis</w:t>
      </w:r>
    </w:p>
    <w:p w14:paraId="0000009D" w14:textId="77777777" w:rsidR="002C532E" w:rsidRDefault="00FC36D0">
      <w:r>
        <w:t xml:space="preserve">For each </w:t>
      </w:r>
      <w:sdt>
        <w:sdtPr>
          <w:tag w:val="goog_rdk_5"/>
          <w:id w:val="1600986523"/>
        </w:sdtPr>
        <w:sdtEndPr/>
        <w:sdtContent/>
      </w:sdt>
      <w:r>
        <w:t>GACC, we averaged the incident-level structures impacted or almost impacted for each year. We then fit an OLS regression to the yearly averages.</w:t>
      </w:r>
    </w:p>
    <w:p w14:paraId="0000009E" w14:textId="77777777" w:rsidR="002C532E" w:rsidRDefault="002C532E"/>
    <w:p w14:paraId="0000009F" w14:textId="77777777" w:rsidR="002C532E" w:rsidRDefault="002C532E"/>
    <w:p w14:paraId="000000A0" w14:textId="77777777" w:rsidR="002C532E" w:rsidRDefault="002C532E"/>
    <w:p w14:paraId="000000A1" w14:textId="2E743E81" w:rsidR="00551A0F" w:rsidRDefault="00551A0F">
      <w:r>
        <w:br w:type="page"/>
      </w:r>
    </w:p>
    <w:p w14:paraId="3C8E9947" w14:textId="6863BE76" w:rsidR="002C532E" w:rsidRDefault="00551A0F">
      <w:r w:rsidRPr="00551A0F">
        <w:rPr>
          <w:noProof/>
          <w:lang w:val="en-US"/>
        </w:rPr>
        <w:lastRenderedPageBreak/>
        <w:drawing>
          <wp:inline distT="0" distB="0" distL="0" distR="0" wp14:anchorId="2661A062" wp14:editId="1F09B984">
            <wp:extent cx="5654796" cy="8642350"/>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3019" cy="8654918"/>
                    </a:xfrm>
                    <a:prstGeom prst="rect">
                      <a:avLst/>
                    </a:prstGeom>
                    <a:noFill/>
                    <a:ln>
                      <a:noFill/>
                    </a:ln>
                  </pic:spPr>
                </pic:pic>
              </a:graphicData>
            </a:graphic>
          </wp:inline>
        </w:drawing>
      </w:r>
    </w:p>
    <w:p w14:paraId="000000A2" w14:textId="68C09498" w:rsidR="002C532E" w:rsidRDefault="00FD42D9" w:rsidP="00551A0F">
      <w:pPr>
        <w:ind w:left="0"/>
      </w:pPr>
      <w:sdt>
        <w:sdtPr>
          <w:tag w:val="goog_rdk_6"/>
          <w:id w:val="1286311811"/>
        </w:sdtPr>
        <w:sdtEndPr/>
        <w:sdtContent/>
      </w:sdt>
    </w:p>
    <w:p w14:paraId="32576753" w14:textId="254AF044" w:rsidR="00632797" w:rsidRDefault="00632797">
      <w:pPr>
        <w:ind w:firstLine="720"/>
        <w:rPr>
          <w:b/>
        </w:rPr>
      </w:pPr>
      <w:r>
        <w:rPr>
          <w:b/>
        </w:rPr>
        <w:t>Data Availability</w:t>
      </w:r>
    </w:p>
    <w:p w14:paraId="46F0305A" w14:textId="077BC9C3" w:rsidR="00632797" w:rsidRDefault="00632797">
      <w:pPr>
        <w:ind w:firstLine="720"/>
        <w:rPr>
          <w:b/>
        </w:rPr>
      </w:pPr>
    </w:p>
    <w:p w14:paraId="32F7E1E2" w14:textId="63BF91AA" w:rsidR="00632797" w:rsidRPr="00632797" w:rsidRDefault="00632797">
      <w:pPr>
        <w:ind w:firstLine="720"/>
      </w:pPr>
      <w:r>
        <w:t>All data used in this manu</w:t>
      </w:r>
      <w:r w:rsidR="00263CEF">
        <w:t>script was sourced from public</w:t>
      </w:r>
      <w:r>
        <w:t xml:space="preserve">ly available datasets.  Source data sets and associated access links as of 10/25/2023 are appended below. </w:t>
      </w:r>
    </w:p>
    <w:p w14:paraId="000000A4" w14:textId="77777777" w:rsidR="002C532E" w:rsidRDefault="002C532E">
      <w:pPr>
        <w:ind w:firstLine="720"/>
        <w:rPr>
          <w:b/>
        </w:rPr>
      </w:pPr>
    </w:p>
    <w:p w14:paraId="000000A5" w14:textId="13C76CEB" w:rsidR="002C532E" w:rsidRDefault="00FC36D0" w:rsidP="008A261C">
      <w:pPr>
        <w:pStyle w:val="ListParagraph"/>
        <w:numPr>
          <w:ilvl w:val="0"/>
          <w:numId w:val="2"/>
        </w:numPr>
      </w:pPr>
      <w:r>
        <w:t xml:space="preserve">MTBS Data Access: Fire Level Geospatial Data. (2023, January - last revised). MTBS Project (USDA Forest Service/U.S. Geological Survey). </w:t>
      </w:r>
      <w:hyperlink r:id="rId11">
        <w:r>
          <w:t>http://mtbs.gov/direct-download</w:t>
        </w:r>
      </w:hyperlink>
    </w:p>
    <w:p w14:paraId="000000A6" w14:textId="77777777" w:rsidR="002C532E" w:rsidRDefault="002C532E"/>
    <w:p w14:paraId="000000A7" w14:textId="52A639C8" w:rsidR="002C532E" w:rsidRDefault="00FC36D0" w:rsidP="00632797">
      <w:pPr>
        <w:pStyle w:val="ListParagraph"/>
        <w:numPr>
          <w:ilvl w:val="0"/>
          <w:numId w:val="2"/>
        </w:numPr>
      </w:pPr>
      <w:r>
        <w:t xml:space="preserve">National GACC Boundaries. (2023 - last revised). National Interagency Fire Center. </w:t>
      </w:r>
      <w:hyperlink r:id="rId12" w:history="1">
        <w:r w:rsidRPr="00632797">
          <w:rPr>
            <w:rStyle w:val="Hyperlink"/>
          </w:rPr>
          <w:t>https://hub.arcgis.com/datasets/nifc::national-gacc-boundaries</w:t>
        </w:r>
      </w:hyperlink>
    </w:p>
    <w:p w14:paraId="000000A8" w14:textId="77777777" w:rsidR="002C532E" w:rsidRDefault="002C532E"/>
    <w:p w14:paraId="000000A9" w14:textId="77777777" w:rsidR="002C532E" w:rsidRDefault="00FC36D0" w:rsidP="00632797">
      <w:pPr>
        <w:pStyle w:val="ListParagraph"/>
        <w:numPr>
          <w:ilvl w:val="0"/>
          <w:numId w:val="2"/>
        </w:numPr>
      </w:pPr>
      <w:r>
        <w:t xml:space="preserve">National Interagency Fire Center (2022- last revised). Wildland Fire Decision Support System - Jurisdictional Agencies. </w:t>
      </w:r>
      <w:hyperlink r:id="rId13">
        <w:r w:rsidRPr="00632797">
          <w:rPr>
            <w:color w:val="1155CC"/>
            <w:u w:val="single"/>
          </w:rPr>
          <w:t>https://data-nifc.opendata.arcgis.com/datasets/jurisdictional-unit-public/explore</w:t>
        </w:r>
      </w:hyperlink>
      <w:r>
        <w:t>.</w:t>
      </w:r>
    </w:p>
    <w:p w14:paraId="000000AA" w14:textId="77777777" w:rsidR="002C532E" w:rsidRDefault="002C532E"/>
    <w:p w14:paraId="000000AB" w14:textId="77777777" w:rsidR="002C532E" w:rsidRDefault="00FC36D0" w:rsidP="00632797">
      <w:pPr>
        <w:pStyle w:val="Heading2"/>
        <w:numPr>
          <w:ilvl w:val="0"/>
          <w:numId w:val="2"/>
        </w:numPr>
        <w:spacing w:before="0"/>
      </w:pPr>
      <w:bookmarkStart w:id="24" w:name="_heading=h.3whwml4" w:colFirst="0" w:colLast="0"/>
      <w:bookmarkEnd w:id="24"/>
      <w:r>
        <w:rPr>
          <w:b w:val="0"/>
          <w:sz w:val="22"/>
          <w:szCs w:val="22"/>
        </w:rPr>
        <w:t xml:space="preserve">St. Denis, L. A., Short, K. C., McConnell, K., Cook, M. C., </w:t>
      </w:r>
      <w:proofErr w:type="spellStart"/>
      <w:r>
        <w:rPr>
          <w:b w:val="0"/>
          <w:sz w:val="22"/>
          <w:szCs w:val="22"/>
        </w:rPr>
        <w:t>Mietkiewicz</w:t>
      </w:r>
      <w:proofErr w:type="spellEnd"/>
      <w:r>
        <w:rPr>
          <w:b w:val="0"/>
          <w:sz w:val="22"/>
          <w:szCs w:val="22"/>
        </w:rPr>
        <w:t xml:space="preserve">, N. P., Buckland, M., &amp; Balch, J. K. (2023). 2-. </w:t>
      </w:r>
      <w:r>
        <w:rPr>
          <w:b w:val="0"/>
          <w:i/>
          <w:sz w:val="22"/>
          <w:szCs w:val="22"/>
        </w:rPr>
        <w:t>Scientific data</w:t>
      </w:r>
      <w:r>
        <w:rPr>
          <w:b w:val="0"/>
          <w:sz w:val="22"/>
          <w:szCs w:val="22"/>
        </w:rPr>
        <w:t xml:space="preserve">, </w:t>
      </w:r>
      <w:r>
        <w:rPr>
          <w:b w:val="0"/>
          <w:i/>
          <w:sz w:val="22"/>
          <w:szCs w:val="22"/>
        </w:rPr>
        <w:t>10</w:t>
      </w:r>
      <w:r>
        <w:rPr>
          <w:b w:val="0"/>
          <w:sz w:val="22"/>
          <w:szCs w:val="22"/>
        </w:rPr>
        <w:t>(1), 112.</w:t>
      </w:r>
    </w:p>
    <w:p w14:paraId="000000AC" w14:textId="7E3E4137" w:rsidR="002C532E" w:rsidRDefault="00FC36D0" w:rsidP="00632797">
      <w:pPr>
        <w:pStyle w:val="Heading5"/>
        <w:keepNext w:val="0"/>
        <w:keepLines w:val="0"/>
        <w:numPr>
          <w:ilvl w:val="0"/>
          <w:numId w:val="2"/>
        </w:numPr>
        <w:shd w:val="clear" w:color="auto" w:fill="FFFFFF"/>
        <w:spacing w:before="160" w:after="160" w:line="240" w:lineRule="auto"/>
      </w:pPr>
      <w:bookmarkStart w:id="25" w:name="_heading=h.2bn6wsx" w:colFirst="0" w:colLast="0"/>
      <w:bookmarkEnd w:id="25"/>
      <w:r>
        <w:rPr>
          <w:color w:val="000000"/>
        </w:rPr>
        <w:t xml:space="preserve">U.S. Bureau of Indian Affairs. BIA Regions. BIA Branch of Geospatial Support (2020). </w:t>
      </w:r>
      <w:hyperlink r:id="rId14" w:history="1">
        <w:r w:rsidRPr="00632797">
          <w:rPr>
            <w:rStyle w:val="Hyperlink"/>
          </w:rPr>
          <w:t>https://bia-geospatial-internal.geoplatform.gov/datadownload.html</w:t>
        </w:r>
      </w:hyperlink>
      <w:r>
        <w:rPr>
          <w:color w:val="000000"/>
        </w:rPr>
        <w:t>.</w:t>
      </w:r>
    </w:p>
    <w:p w14:paraId="000000AD" w14:textId="77777777" w:rsidR="002C532E" w:rsidRDefault="00FC36D0" w:rsidP="00632797">
      <w:pPr>
        <w:pStyle w:val="ListParagraph"/>
        <w:numPr>
          <w:ilvl w:val="0"/>
          <w:numId w:val="2"/>
        </w:numPr>
      </w:pPr>
      <w:r>
        <w:t>U.S. Bureau of Land Management. BLM Administrative Unit District Boundary. BLM Geospatial Gateway (2021). https://www.arcgis.com/home/webmap/viewer.html?url=https%3A%2F%2Fgis.blm.gov%2Farcgis%2Frest%2Fservices%2Fadmin_boundaries%2FBLM_Natl_AdminUnit%2FMapServer&amp;source=sd.</w:t>
      </w:r>
    </w:p>
    <w:p w14:paraId="000000AE" w14:textId="77777777" w:rsidR="002C532E" w:rsidRDefault="002C532E"/>
    <w:p w14:paraId="000000AF" w14:textId="77777777" w:rsidR="002C532E" w:rsidRDefault="00FC36D0" w:rsidP="00632797">
      <w:pPr>
        <w:pStyle w:val="ListParagraph"/>
        <w:numPr>
          <w:ilvl w:val="0"/>
          <w:numId w:val="2"/>
        </w:numPr>
      </w:pPr>
      <w:r>
        <w:t xml:space="preserve">U.S. Census Bureau (2019). US Census Place Boundaries. </w:t>
      </w:r>
      <w:hyperlink r:id="rId15">
        <w:r w:rsidRPr="00632797">
          <w:rPr>
            <w:color w:val="1155CC"/>
            <w:u w:val="single"/>
          </w:rPr>
          <w:t>https://www2.census.gov/geo/tiger/TIGER_RD18/LAYER/</w:t>
        </w:r>
      </w:hyperlink>
      <w:r>
        <w:t>.</w:t>
      </w:r>
    </w:p>
    <w:p w14:paraId="000000B0" w14:textId="77777777" w:rsidR="002C532E" w:rsidRDefault="002C532E"/>
    <w:p w14:paraId="000000B1" w14:textId="77777777" w:rsidR="002C532E" w:rsidRDefault="00FC36D0" w:rsidP="00632797">
      <w:pPr>
        <w:pStyle w:val="ListParagraph"/>
        <w:numPr>
          <w:ilvl w:val="0"/>
          <w:numId w:val="2"/>
        </w:numPr>
      </w:pPr>
      <w:r>
        <w:t xml:space="preserve">U.S. Census Bureau (2019). US County Boundaries. </w:t>
      </w:r>
      <w:hyperlink r:id="rId16">
        <w:r w:rsidRPr="00632797">
          <w:rPr>
            <w:color w:val="1155CC"/>
            <w:u w:val="single"/>
          </w:rPr>
          <w:t>https://www2.census.gov/geo/tiger/TIGER_RD18/LAYER/COUNTY/tl_rd22_us_county.zip</w:t>
        </w:r>
      </w:hyperlink>
    </w:p>
    <w:p w14:paraId="000000B2" w14:textId="77777777" w:rsidR="002C532E" w:rsidRDefault="002C532E"/>
    <w:p w14:paraId="000000B3" w14:textId="015DAE80" w:rsidR="002C532E" w:rsidRDefault="00FC36D0" w:rsidP="00632797">
      <w:pPr>
        <w:pStyle w:val="ListParagraph"/>
        <w:numPr>
          <w:ilvl w:val="0"/>
          <w:numId w:val="2"/>
        </w:numPr>
      </w:pPr>
      <w:r>
        <w:t xml:space="preserve">U.S. Census Bureau (2019). US State Boundaries. </w:t>
      </w:r>
      <w:hyperlink r:id="rId17" w:history="1">
        <w:r w:rsidRPr="00632797">
          <w:rPr>
            <w:rStyle w:val="Hyperlink"/>
          </w:rPr>
          <w:t>https://www2.census.gov/geo/tiger/TIGER_RD18/LAYER/STATE/tl_rd22_us_state.zip</w:t>
        </w:r>
      </w:hyperlink>
    </w:p>
    <w:p w14:paraId="000000B4" w14:textId="77777777" w:rsidR="002C532E" w:rsidRDefault="002C532E"/>
    <w:p w14:paraId="000000B5" w14:textId="77777777" w:rsidR="002C532E" w:rsidRDefault="002C532E"/>
    <w:p w14:paraId="000000B6" w14:textId="77777777" w:rsidR="002C532E" w:rsidRDefault="002C532E"/>
    <w:p w14:paraId="000000B7" w14:textId="19D20638" w:rsidR="002C532E" w:rsidRPr="006F5B75" w:rsidRDefault="00632797">
      <w:pPr>
        <w:rPr>
          <w:b/>
        </w:rPr>
      </w:pPr>
      <w:r w:rsidRPr="006F5B75">
        <w:rPr>
          <w:b/>
        </w:rPr>
        <w:t>Code</w:t>
      </w:r>
      <w:r w:rsidR="006F5B75">
        <w:rPr>
          <w:b/>
        </w:rPr>
        <w:t xml:space="preserve"> Availability</w:t>
      </w:r>
    </w:p>
    <w:p w14:paraId="000000B8" w14:textId="2CEE88A6" w:rsidR="002C532E" w:rsidRDefault="006F5B75">
      <w:r>
        <w:t>A GitHub</w:t>
      </w:r>
      <w:r w:rsidR="00632797">
        <w:t xml:space="preserve"> repository of all code will be included upon acceptance of publication</w:t>
      </w:r>
      <w:r>
        <w:t xml:space="preserve"> as it contains author identifying information.</w:t>
      </w:r>
    </w:p>
    <w:p w14:paraId="000000B9" w14:textId="77777777" w:rsidR="002C532E" w:rsidRDefault="002C532E"/>
    <w:p w14:paraId="000000BA" w14:textId="77777777" w:rsidR="002C532E" w:rsidRDefault="002C532E">
      <w:bookmarkStart w:id="26" w:name="_heading=h.qsh70q" w:colFirst="0" w:colLast="0"/>
      <w:bookmarkEnd w:id="26"/>
    </w:p>
    <w:sectPr w:rsidR="002C532E" w:rsidSect="00AF65DE">
      <w:pgSz w:w="12240" w:h="15840"/>
      <w:pgMar w:top="1440" w:right="1440" w:bottom="1440" w:left="13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4BB6D" w14:textId="77777777" w:rsidR="00FD42D9" w:rsidRDefault="00FD42D9">
      <w:pPr>
        <w:spacing w:line="240" w:lineRule="auto"/>
      </w:pPr>
      <w:r>
        <w:separator/>
      </w:r>
    </w:p>
  </w:endnote>
  <w:endnote w:type="continuationSeparator" w:id="0">
    <w:p w14:paraId="1088D477" w14:textId="77777777" w:rsidR="00FD42D9" w:rsidRDefault="00FD4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3905A" w14:textId="77777777" w:rsidR="00FD42D9" w:rsidRDefault="00FD42D9">
      <w:pPr>
        <w:spacing w:line="240" w:lineRule="auto"/>
      </w:pPr>
      <w:r>
        <w:separator/>
      </w:r>
    </w:p>
  </w:footnote>
  <w:footnote w:type="continuationSeparator" w:id="0">
    <w:p w14:paraId="21C08444" w14:textId="77777777" w:rsidR="00FD42D9" w:rsidRDefault="00FD42D9">
      <w:pPr>
        <w:spacing w:line="240" w:lineRule="auto"/>
      </w:pPr>
      <w:r>
        <w:continuationSeparator/>
      </w:r>
    </w:p>
  </w:footnote>
  <w:footnote w:id="1">
    <w:p w14:paraId="000000BB" w14:textId="77777777" w:rsidR="002C532E" w:rsidRDefault="00FC36D0">
      <w:pPr>
        <w:spacing w:line="240" w:lineRule="auto"/>
        <w:ind w:firstLine="720"/>
        <w:rPr>
          <w:sz w:val="20"/>
          <w:szCs w:val="20"/>
        </w:rPr>
      </w:pPr>
      <w:r>
        <w:rPr>
          <w:vertAlign w:val="superscript"/>
        </w:rPr>
        <w:footnoteRef/>
      </w:r>
      <w:r>
        <w:rPr>
          <w:sz w:val="20"/>
          <w:szCs w:val="20"/>
        </w:rPr>
        <w:t xml:space="preserve"> Also referred to as land tenure (authors, under review).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72AAC"/>
    <w:multiLevelType w:val="hybridMultilevel"/>
    <w:tmpl w:val="8E7EE5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BFE6399"/>
    <w:multiLevelType w:val="multilevel"/>
    <w:tmpl w:val="7FD69D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2E"/>
    <w:rsid w:val="002254E4"/>
    <w:rsid w:val="00263CEF"/>
    <w:rsid w:val="002C532E"/>
    <w:rsid w:val="00331AE8"/>
    <w:rsid w:val="00503E4E"/>
    <w:rsid w:val="00551A0F"/>
    <w:rsid w:val="005B522D"/>
    <w:rsid w:val="00632797"/>
    <w:rsid w:val="006F5B75"/>
    <w:rsid w:val="00767E91"/>
    <w:rsid w:val="00A63F07"/>
    <w:rsid w:val="00AF65DE"/>
    <w:rsid w:val="00BA4587"/>
    <w:rsid w:val="00FC36D0"/>
    <w:rsid w:val="00FD4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6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28"/>
      <w:szCs w:val="28"/>
    </w:rPr>
  </w:style>
  <w:style w:type="paragraph" w:styleId="Heading2">
    <w:name w:val="heading 2"/>
    <w:basedOn w:val="Normal"/>
    <w:next w:val="Normal"/>
    <w:pPr>
      <w:keepNext/>
      <w:keepLines/>
      <w:spacing w:before="360" w:after="120"/>
      <w:outlineLvl w:val="1"/>
    </w:pPr>
    <w:rPr>
      <w:b/>
      <w:sz w:val="24"/>
      <w:szCs w:val="24"/>
    </w:rPr>
  </w:style>
  <w:style w:type="paragraph" w:styleId="Heading3">
    <w:name w:val="heading 3"/>
    <w:basedOn w:val="Normal"/>
    <w:next w:val="Normal"/>
    <w:pPr>
      <w:keepNext/>
      <w:keepLines/>
      <w:spacing w:before="320" w:after="80"/>
      <w:ind w:hanging="360"/>
      <w:outlineLvl w:val="2"/>
    </w:pPr>
    <w:rPr>
      <w:b/>
    </w:rPr>
  </w:style>
  <w:style w:type="paragraph" w:styleId="Heading4">
    <w:name w:val="heading 4"/>
    <w:basedOn w:val="Normal"/>
    <w:next w:val="Normal"/>
    <w:pPr>
      <w:keepNext/>
      <w:keepLines/>
      <w:spacing w:before="280" w:after="80"/>
      <w:ind w:firstLine="72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066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66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06666"/>
    <w:rPr>
      <w:b/>
      <w:bCs/>
    </w:rPr>
  </w:style>
  <w:style w:type="character" w:customStyle="1" w:styleId="CommentSubjectChar">
    <w:name w:val="Comment Subject Char"/>
    <w:basedOn w:val="CommentTextChar"/>
    <w:link w:val="CommentSubject"/>
    <w:uiPriority w:val="99"/>
    <w:semiHidden/>
    <w:rsid w:val="00606666"/>
    <w:rPr>
      <w:b/>
      <w:bCs/>
      <w:sz w:val="20"/>
      <w:szCs w:val="20"/>
    </w:rPr>
  </w:style>
  <w:style w:type="paragraph" w:styleId="Revision">
    <w:name w:val="Revision"/>
    <w:hidden/>
    <w:uiPriority w:val="99"/>
    <w:semiHidden/>
    <w:rsid w:val="005878F6"/>
    <w:pPr>
      <w:spacing w:line="240" w:lineRule="auto"/>
      <w:ind w:left="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32797"/>
    <w:pPr>
      <w:contextualSpacing/>
    </w:pPr>
  </w:style>
  <w:style w:type="character" w:styleId="Hyperlink">
    <w:name w:val="Hyperlink"/>
    <w:basedOn w:val="DefaultParagraphFont"/>
    <w:uiPriority w:val="99"/>
    <w:unhideWhenUsed/>
    <w:rsid w:val="00632797"/>
    <w:rPr>
      <w:color w:val="0000FF" w:themeColor="hyperlink"/>
      <w:u w:val="single"/>
    </w:rPr>
  </w:style>
  <w:style w:type="paragraph" w:styleId="Header">
    <w:name w:val="header"/>
    <w:basedOn w:val="Normal"/>
    <w:link w:val="HeaderChar"/>
    <w:uiPriority w:val="99"/>
    <w:unhideWhenUsed/>
    <w:rsid w:val="00767E91"/>
    <w:pPr>
      <w:tabs>
        <w:tab w:val="center" w:pos="4513"/>
        <w:tab w:val="right" w:pos="9026"/>
      </w:tabs>
      <w:spacing w:line="240" w:lineRule="auto"/>
    </w:pPr>
  </w:style>
  <w:style w:type="character" w:customStyle="1" w:styleId="HeaderChar">
    <w:name w:val="Header Char"/>
    <w:basedOn w:val="DefaultParagraphFont"/>
    <w:link w:val="Header"/>
    <w:uiPriority w:val="99"/>
    <w:rsid w:val="00767E91"/>
  </w:style>
  <w:style w:type="paragraph" w:styleId="Footer">
    <w:name w:val="footer"/>
    <w:basedOn w:val="Normal"/>
    <w:link w:val="FooterChar"/>
    <w:uiPriority w:val="99"/>
    <w:unhideWhenUsed/>
    <w:rsid w:val="00767E91"/>
    <w:pPr>
      <w:tabs>
        <w:tab w:val="center" w:pos="4513"/>
        <w:tab w:val="right" w:pos="9026"/>
      </w:tabs>
      <w:spacing w:line="240" w:lineRule="auto"/>
    </w:pPr>
  </w:style>
  <w:style w:type="character" w:customStyle="1" w:styleId="FooterChar">
    <w:name w:val="Footer Char"/>
    <w:basedOn w:val="DefaultParagraphFont"/>
    <w:link w:val="Footer"/>
    <w:uiPriority w:val="99"/>
    <w:rsid w:val="00767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gacc.nifc.gov/" TargetMode="External"/><Relationship Id="rId13" Type="http://schemas.openxmlformats.org/officeDocument/2006/relationships/hyperlink" Target="https://data-nifc.opendata.arcgis.com/datasets/jurisdictional-unit-public/explor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b.arcgis.com/datasets/nifc::national-gacc-boundaries" TargetMode="External"/><Relationship Id="rId17" Type="http://schemas.openxmlformats.org/officeDocument/2006/relationships/hyperlink" Target="https://www2.census.gov/geo/tiger/TIGER_RD18/LAYER/STATE/tl_rd22_us_state.zip" TargetMode="External"/><Relationship Id="rId2" Type="http://schemas.openxmlformats.org/officeDocument/2006/relationships/numbering" Target="numbering.xml"/><Relationship Id="rId16" Type="http://schemas.openxmlformats.org/officeDocument/2006/relationships/hyperlink" Target="https://www2.census.gov/geo/tiger/TIGER_RD18/LAYER/COUNTY/tl_rd22_us_county.z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tbs.gov/direct-download" TargetMode="External"/><Relationship Id="rId5" Type="http://schemas.openxmlformats.org/officeDocument/2006/relationships/webSettings" Target="webSettings.xml"/><Relationship Id="rId15" Type="http://schemas.openxmlformats.org/officeDocument/2006/relationships/hyperlink" Target="https://www2.census.gov/geo/tiger/TIGER_RD18/LAYER/" TargetMode="Externa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ensus.gov/geo/maps-data/data/tiger.html" TargetMode="External"/><Relationship Id="rId14" Type="http://schemas.openxmlformats.org/officeDocument/2006/relationships/hyperlink" Target="https://bia-geospatial-internal.geoplatform.gov/datadownloa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XI2dLizJpolPNNo2Dv+E4r3K+g==">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gAciExVk5iUVQzVXVjRW5xend6SVl2OGZRRHlRWHZzTE00X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1977</Words>
  <Characters>11271</Characters>
  <Application>Microsoft Office Word</Application>
  <DocSecurity>0</DocSecurity>
  <Lines>93</Lines>
  <Paragraphs>26</Paragraphs>
  <ScaleCrop>false</ScaleCrop>
  <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2023-11-23T09:52:00Z</dcterms:created>
  <dcterms:modified xsi:type="dcterms:W3CDTF">2023-11-23T09:52:00Z</dcterms:modified>
</cp:coreProperties>
</file>