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1DF08" w14:textId="3D46957A" w:rsidR="00A6548D" w:rsidRPr="0068179A" w:rsidRDefault="000260D5">
      <w:pPr>
        <w:rPr>
          <w:rFonts w:ascii="Times New Roman" w:hAnsi="Times New Roman" w:cs="Times New Roman"/>
          <w:sz w:val="15"/>
          <w:szCs w:val="15"/>
        </w:rPr>
      </w:pPr>
      <w:r w:rsidRPr="0068179A">
        <w:rPr>
          <w:rFonts w:ascii="Times New Roman" w:hAnsi="Times New Roman" w:cs="Times New Roman" w:hint="eastAsia"/>
          <w:b/>
          <w:bCs/>
          <w:color w:val="0D0D0D" w:themeColor="text1" w:themeTint="F2"/>
          <w:sz w:val="15"/>
          <w:szCs w:val="15"/>
        </w:rPr>
        <w:t>Table S4</w:t>
      </w:r>
      <w:r w:rsidR="0068179A" w:rsidRPr="0068179A">
        <w:rPr>
          <w:rFonts w:ascii="Times New Roman" w:hAnsi="Times New Roman" w:cs="Times New Roman"/>
          <w:b/>
          <w:bCs/>
          <w:color w:val="0D0D0D" w:themeColor="text1" w:themeTint="F2"/>
          <w:sz w:val="15"/>
          <w:szCs w:val="15"/>
        </w:rPr>
        <w:t>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="00A6548D" w:rsidRPr="00A47989">
        <w:rPr>
          <w:rFonts w:ascii="Times New Roman" w:hAnsi="Times New Roman" w:cs="Times New Roman"/>
          <w:sz w:val="15"/>
          <w:szCs w:val="15"/>
        </w:rPr>
        <w:t>Statistics for seed setting r</w:t>
      </w:r>
      <w:r w:rsidR="00A6548D" w:rsidRPr="0068179A">
        <w:rPr>
          <w:rFonts w:ascii="Times New Roman" w:hAnsi="Times New Roman" w:cs="Times New Roman"/>
          <w:sz w:val="15"/>
          <w:szCs w:val="15"/>
        </w:rPr>
        <w:t>at</w:t>
      </w:r>
      <w:r w:rsidR="00A6548D" w:rsidRPr="0068179A">
        <w:rPr>
          <w:rFonts w:ascii="Times New Roman" w:hAnsi="Times New Roman" w:cs="Times New Roman"/>
          <w:color w:val="0D0D0D" w:themeColor="text1" w:themeTint="F2"/>
          <w:sz w:val="15"/>
          <w:szCs w:val="15"/>
        </w:rPr>
        <w:t xml:space="preserve">e </w:t>
      </w:r>
      <w:r w:rsidR="00305973" w:rsidRPr="0068179A">
        <w:rPr>
          <w:rFonts w:ascii="Times New Roman" w:hAnsi="Times New Roman" w:cs="Times New Roman"/>
          <w:color w:val="0D0D0D" w:themeColor="text1" w:themeTint="F2"/>
          <w:sz w:val="15"/>
          <w:szCs w:val="15"/>
        </w:rPr>
        <w:t>between</w:t>
      </w:r>
      <w:r w:rsidR="00305973" w:rsidRPr="0068179A">
        <w:rPr>
          <w:rFonts w:ascii="Times New Roman" w:hAnsi="Times New Roman" w:cs="Times New Roman" w:hint="eastAsia"/>
          <w:color w:val="0D0D0D" w:themeColor="text1" w:themeTint="F2"/>
          <w:sz w:val="15"/>
          <w:szCs w:val="15"/>
        </w:rPr>
        <w:t xml:space="preserve"> </w:t>
      </w:r>
      <w:r w:rsidR="00A6548D" w:rsidRPr="0068179A">
        <w:rPr>
          <w:rFonts w:ascii="Times New Roman" w:hAnsi="Times New Roman" w:cs="Times New Roman"/>
          <w:color w:val="0D0D0D" w:themeColor="text1" w:themeTint="F2"/>
          <w:sz w:val="15"/>
          <w:szCs w:val="15"/>
        </w:rPr>
        <w:t xml:space="preserve">control and </w:t>
      </w:r>
      <w:r w:rsidR="00A6548D" w:rsidRPr="0068179A">
        <w:rPr>
          <w:rFonts w:ascii="Times New Roman" w:hAnsi="Times New Roman" w:cs="Times New Roman"/>
          <w:i/>
          <w:iCs/>
          <w:color w:val="0D0D0D" w:themeColor="text1" w:themeTint="F2"/>
          <w:sz w:val="15"/>
          <w:szCs w:val="15"/>
        </w:rPr>
        <w:t>Sl-Te</w:t>
      </w:r>
      <w:r w:rsidR="00A6548D" w:rsidRPr="0068179A">
        <w:rPr>
          <w:rFonts w:ascii="Times New Roman" w:hAnsi="Times New Roman" w:cs="Times New Roman"/>
          <w:i/>
          <w:iCs/>
          <w:sz w:val="15"/>
          <w:szCs w:val="15"/>
        </w:rPr>
        <w:t>AG1</w:t>
      </w:r>
      <w:r w:rsidR="00A6548D" w:rsidRPr="0068179A">
        <w:rPr>
          <w:rFonts w:ascii="Times New Roman" w:hAnsi="Times New Roman" w:cs="Times New Roman"/>
          <w:sz w:val="15"/>
          <w:szCs w:val="15"/>
        </w:rPr>
        <w:t xml:space="preserve"> transgenic lines</w:t>
      </w:r>
      <w:r w:rsidR="00A47989" w:rsidRPr="0068179A">
        <w:rPr>
          <w:rFonts w:ascii="Times New Roman" w:hAnsi="Times New Roman" w:cs="Times New Roman"/>
          <w:sz w:val="15"/>
          <w:szCs w:val="15"/>
        </w:rPr>
        <w:t>.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770"/>
        <w:gridCol w:w="2765"/>
        <w:gridCol w:w="2766"/>
      </w:tblGrid>
      <w:tr w:rsidR="00A6548D" w:rsidRPr="0068179A" w14:paraId="3B5C424B" w14:textId="77777777" w:rsidTr="00C7364D">
        <w:tc>
          <w:tcPr>
            <w:tcW w:w="2770" w:type="dxa"/>
          </w:tcPr>
          <w:p w14:paraId="40B603E8" w14:textId="77777777" w:rsidR="00A6548D" w:rsidRPr="0068179A" w:rsidRDefault="00A6548D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65" w:type="dxa"/>
          </w:tcPr>
          <w:p w14:paraId="21C0B87F" w14:textId="77777777" w:rsidR="00A6548D" w:rsidRPr="0068179A" w:rsidRDefault="00A654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8179A">
              <w:rPr>
                <w:rFonts w:ascii="Times New Roman" w:hAnsi="Times New Roman" w:cs="Times New Roman"/>
                <w:sz w:val="15"/>
                <w:szCs w:val="15"/>
              </w:rPr>
              <w:t>WT lines</w:t>
            </w:r>
          </w:p>
        </w:tc>
        <w:tc>
          <w:tcPr>
            <w:tcW w:w="2766" w:type="dxa"/>
          </w:tcPr>
          <w:p w14:paraId="7972921C" w14:textId="77777777" w:rsidR="00A6548D" w:rsidRPr="0068179A" w:rsidRDefault="00A654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8179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Sl-TeAG1</w:t>
            </w:r>
            <w:r w:rsidRPr="0068179A">
              <w:rPr>
                <w:rFonts w:ascii="Times New Roman" w:hAnsi="Times New Roman" w:cs="Times New Roman"/>
                <w:sz w:val="15"/>
                <w:szCs w:val="15"/>
              </w:rPr>
              <w:t xml:space="preserve"> transgenic lines</w:t>
            </w:r>
          </w:p>
        </w:tc>
      </w:tr>
      <w:tr w:rsidR="00B3485B" w:rsidRPr="0068179A" w14:paraId="2A778C85" w14:textId="77777777" w:rsidTr="00C7364D">
        <w:tc>
          <w:tcPr>
            <w:tcW w:w="2770" w:type="dxa"/>
          </w:tcPr>
          <w:p w14:paraId="6521B82E" w14:textId="3679A388" w:rsidR="00B3485B" w:rsidRPr="0068179A" w:rsidRDefault="00C7364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C7364D">
              <w:rPr>
                <w:rFonts w:ascii="Times New Roman" w:hAnsi="Times New Roman" w:cs="Times New Roman"/>
                <w:sz w:val="15"/>
                <w:szCs w:val="15"/>
              </w:rPr>
              <w:t>ilique setting rate</w:t>
            </w:r>
            <w:r w:rsidR="00B3485B" w:rsidRPr="0068179A">
              <w:rPr>
                <w:rFonts w:ascii="Times New Roman" w:hAnsi="Times New Roman" w:cs="Times New Roman"/>
                <w:sz w:val="15"/>
                <w:szCs w:val="15"/>
              </w:rPr>
              <w:t xml:space="preserve"> (</w:t>
            </w:r>
            <w:r w:rsidR="00B3485B" w:rsidRPr="0068179A">
              <w:rPr>
                <w:rFonts w:ascii="Times New Roman" w:hAnsi="Times New Roman" w:cs="Times New Roman" w:hint="eastAsia"/>
                <w:sz w:val="15"/>
                <w:szCs w:val="15"/>
              </w:rPr>
              <w:t>%</w:t>
            </w:r>
            <w:r w:rsidR="00B3485B" w:rsidRPr="0068179A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765" w:type="dxa"/>
          </w:tcPr>
          <w:p w14:paraId="59A3B4BF" w14:textId="3E81080E" w:rsidR="00B3485B" w:rsidRPr="0068179A" w:rsidRDefault="00B3485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8179A">
              <w:rPr>
                <w:rFonts w:ascii="Times New Roman" w:hAnsi="Times New Roman" w:cs="Times New Roman" w:hint="eastAsia"/>
                <w:sz w:val="15"/>
                <w:szCs w:val="15"/>
              </w:rPr>
              <w:t>100.00</w:t>
            </w:r>
            <w:r w:rsidRPr="0068179A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 w:rsidRPr="0068179A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0.00</w:t>
            </w:r>
          </w:p>
        </w:tc>
        <w:tc>
          <w:tcPr>
            <w:tcW w:w="2766" w:type="dxa"/>
          </w:tcPr>
          <w:p w14:paraId="7859DCC6" w14:textId="2C055018" w:rsidR="00B3485B" w:rsidRPr="0068179A" w:rsidRDefault="00B3485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8179A">
              <w:rPr>
                <w:rFonts w:ascii="Times New Roman" w:hAnsi="Times New Roman" w:cs="Times New Roman" w:hint="eastAsia"/>
                <w:sz w:val="15"/>
                <w:szCs w:val="15"/>
              </w:rPr>
              <w:t>100.00</w:t>
            </w:r>
            <w:r w:rsidRPr="0068179A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 w:rsidRPr="0068179A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0.00</w:t>
            </w:r>
          </w:p>
        </w:tc>
      </w:tr>
      <w:tr w:rsidR="00A6548D" w:rsidRPr="0068179A" w14:paraId="01274FB5" w14:textId="77777777" w:rsidTr="00C7364D">
        <w:tc>
          <w:tcPr>
            <w:tcW w:w="2770" w:type="dxa"/>
          </w:tcPr>
          <w:p w14:paraId="5D68167A" w14:textId="154503F5" w:rsidR="00A6548D" w:rsidRPr="0068179A" w:rsidRDefault="00B3485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8179A">
              <w:rPr>
                <w:rFonts w:ascii="Times New Roman" w:hAnsi="Times New Roman" w:cs="Times New Roman"/>
                <w:sz w:val="15"/>
                <w:szCs w:val="15"/>
              </w:rPr>
              <w:t>N</w:t>
            </w:r>
            <w:r w:rsidRPr="0068179A">
              <w:rPr>
                <w:rFonts w:ascii="Times New Roman" w:hAnsi="Times New Roman" w:cs="Times New Roman" w:hint="eastAsia"/>
                <w:sz w:val="15"/>
                <w:szCs w:val="15"/>
              </w:rPr>
              <w:t>umber</w:t>
            </w:r>
            <w:r w:rsidRPr="0068179A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8179A">
              <w:rPr>
                <w:rFonts w:ascii="Times New Roman" w:hAnsi="Times New Roman" w:cs="Times New Roman" w:hint="eastAsia"/>
                <w:sz w:val="15"/>
                <w:szCs w:val="15"/>
              </w:rPr>
              <w:t>of</w:t>
            </w:r>
            <w:r w:rsidRPr="0068179A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8179A">
              <w:rPr>
                <w:rFonts w:ascii="Times New Roman" w:hAnsi="Times New Roman" w:cs="Times New Roman" w:hint="eastAsia"/>
                <w:sz w:val="15"/>
                <w:szCs w:val="15"/>
              </w:rPr>
              <w:t>seeds</w:t>
            </w:r>
            <w:r w:rsidRPr="0068179A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8179A">
              <w:rPr>
                <w:rFonts w:ascii="Times New Roman" w:hAnsi="Times New Roman" w:cs="Times New Roman" w:hint="eastAsia"/>
                <w:sz w:val="15"/>
                <w:szCs w:val="15"/>
              </w:rPr>
              <w:t>per</w:t>
            </w:r>
            <w:r w:rsidRPr="0068179A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8179A">
              <w:rPr>
                <w:rFonts w:ascii="Times New Roman" w:hAnsi="Times New Roman" w:cs="Times New Roman" w:hint="eastAsia"/>
                <w:sz w:val="15"/>
                <w:szCs w:val="15"/>
              </w:rPr>
              <w:t>silique</w:t>
            </w:r>
            <w:r w:rsidRPr="0068179A">
              <w:rPr>
                <w:rFonts w:ascii="Times New Roman" w:hAnsi="Times New Roman" w:cs="Times New Roman"/>
                <w:sz w:val="15"/>
                <w:szCs w:val="15"/>
              </w:rPr>
              <w:t xml:space="preserve"> (No.)</w:t>
            </w:r>
          </w:p>
        </w:tc>
        <w:tc>
          <w:tcPr>
            <w:tcW w:w="2765" w:type="dxa"/>
          </w:tcPr>
          <w:p w14:paraId="7D334159" w14:textId="77777777" w:rsidR="00A6548D" w:rsidRPr="0068179A" w:rsidRDefault="00A6548D">
            <w:pPr>
              <w:rPr>
                <w:rFonts w:ascii="Times New Roman" w:hAnsi="Times New Roman" w:cs="Times New Roman"/>
                <w:color w:val="0D0D0D" w:themeColor="text1" w:themeTint="F2"/>
                <w:sz w:val="15"/>
                <w:szCs w:val="15"/>
              </w:rPr>
            </w:pPr>
            <w:r w:rsidRPr="0068179A"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50.17±4.13</w:t>
            </w:r>
          </w:p>
        </w:tc>
        <w:tc>
          <w:tcPr>
            <w:tcW w:w="2766" w:type="dxa"/>
          </w:tcPr>
          <w:p w14:paraId="325EFD47" w14:textId="77777777" w:rsidR="00A6548D" w:rsidRPr="0068179A" w:rsidRDefault="00A6548D">
            <w:pPr>
              <w:rPr>
                <w:rFonts w:ascii="Times New Roman" w:hAnsi="Times New Roman" w:cs="Times New Roman"/>
                <w:color w:val="0D0D0D" w:themeColor="text1" w:themeTint="F2"/>
                <w:sz w:val="15"/>
                <w:szCs w:val="15"/>
              </w:rPr>
            </w:pPr>
            <w:r w:rsidRPr="0068179A">
              <w:rPr>
                <w:rFonts w:ascii="Times New Roman" w:hAnsi="Times New Roman" w:cs="Times New Roman"/>
                <w:color w:val="0D0D0D" w:themeColor="text1" w:themeTint="F2"/>
                <w:sz w:val="15"/>
                <w:szCs w:val="15"/>
              </w:rPr>
              <w:t>22.58</w:t>
            </w:r>
            <w:r w:rsidRPr="0068179A"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±2.84*</w:t>
            </w:r>
          </w:p>
        </w:tc>
      </w:tr>
    </w:tbl>
    <w:p w14:paraId="413D2987" w14:textId="7C8D9899" w:rsidR="00A6548D" w:rsidRPr="0068179A" w:rsidRDefault="009A4D45">
      <w:pPr>
        <w:rPr>
          <w:rFonts w:ascii="Times New Roman" w:hAnsi="Times New Roman" w:cs="Times New Roman"/>
        </w:rPr>
      </w:pPr>
      <w:r w:rsidRPr="0068179A">
        <w:rPr>
          <w:rFonts w:ascii="Times New Roman" w:hAnsi="Times New Roman" w:cs="Times New Roman"/>
          <w:bCs/>
          <w:color w:val="0D0D0D" w:themeColor="text1" w:themeTint="F2"/>
          <w:sz w:val="15"/>
          <w:szCs w:val="15"/>
        </w:rPr>
        <w:t>* significant difference at P &lt;0.05.</w:t>
      </w:r>
    </w:p>
    <w:p w14:paraId="2378FD7F" w14:textId="73A1A92E" w:rsidR="00B3485B" w:rsidRDefault="00B3485B"/>
    <w:p w14:paraId="1BE444D2" w14:textId="1F30F08D" w:rsidR="00B3485B" w:rsidRDefault="00B3485B"/>
    <w:p w14:paraId="338916E8" w14:textId="2D409946" w:rsidR="00B3485B" w:rsidRDefault="00B3485B"/>
    <w:p w14:paraId="2244E7DA" w14:textId="487F4C5E" w:rsidR="00B3485B" w:rsidRDefault="00B3485B"/>
    <w:sectPr w:rsidR="00B3485B" w:rsidSect="002157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106DDD" w14:textId="77777777" w:rsidR="00BE3A23" w:rsidRDefault="00BE3A23" w:rsidP="009A4D45">
      <w:r>
        <w:separator/>
      </w:r>
    </w:p>
  </w:endnote>
  <w:endnote w:type="continuationSeparator" w:id="0">
    <w:p w14:paraId="7ABF0A17" w14:textId="77777777" w:rsidR="00BE3A23" w:rsidRDefault="00BE3A23" w:rsidP="009A4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3810DD" w14:textId="77777777" w:rsidR="00BE3A23" w:rsidRDefault="00BE3A23" w:rsidP="009A4D45">
      <w:r>
        <w:separator/>
      </w:r>
    </w:p>
  </w:footnote>
  <w:footnote w:type="continuationSeparator" w:id="0">
    <w:p w14:paraId="3583D22D" w14:textId="77777777" w:rsidR="00BE3A23" w:rsidRDefault="00BE3A23" w:rsidP="009A4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018"/>
    <w:rsid w:val="000260D5"/>
    <w:rsid w:val="0011214E"/>
    <w:rsid w:val="001B5482"/>
    <w:rsid w:val="002157EF"/>
    <w:rsid w:val="002F48D2"/>
    <w:rsid w:val="00305973"/>
    <w:rsid w:val="003F4018"/>
    <w:rsid w:val="004E2110"/>
    <w:rsid w:val="0059536E"/>
    <w:rsid w:val="0068179A"/>
    <w:rsid w:val="007D6D44"/>
    <w:rsid w:val="007E6961"/>
    <w:rsid w:val="009A4D45"/>
    <w:rsid w:val="00A47989"/>
    <w:rsid w:val="00A6548D"/>
    <w:rsid w:val="00B3485B"/>
    <w:rsid w:val="00BB113B"/>
    <w:rsid w:val="00BE3A23"/>
    <w:rsid w:val="00C7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3147DD"/>
  <w15:docId w15:val="{DBB3C948-15AF-4264-AE35-20B74D85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4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11214E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11214E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11214E"/>
  </w:style>
  <w:style w:type="paragraph" w:styleId="a7">
    <w:name w:val="annotation subject"/>
    <w:basedOn w:val="a5"/>
    <w:next w:val="a5"/>
    <w:link w:val="a8"/>
    <w:uiPriority w:val="99"/>
    <w:semiHidden/>
    <w:unhideWhenUsed/>
    <w:rsid w:val="0011214E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11214E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11214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1214E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9A4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9A4D45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9A4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9A4D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2020-08-18T09:30:00Z</dcterms:created>
  <dcterms:modified xsi:type="dcterms:W3CDTF">2020-08-18T14:19:00Z</dcterms:modified>
</cp:coreProperties>
</file>