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86E40" w14:textId="77777777" w:rsidR="00D511EE" w:rsidRDefault="00D511EE">
      <w:pPr>
        <w:spacing w:line="360" w:lineRule="auto"/>
        <w:rPr>
          <w:rFonts w:ascii="Times New Roman" w:hAnsi="Times New Roman" w:cs="Times New Roman"/>
          <w:sz w:val="24"/>
          <w:szCs w:val="24"/>
        </w:rPr>
      </w:pPr>
    </w:p>
    <w:p w14:paraId="53BA92C5" w14:textId="77777777" w:rsidR="00D511EE" w:rsidRDefault="00000000">
      <w:pPr>
        <w:spacing w:line="360" w:lineRule="auto"/>
        <w:rPr>
          <w:rFonts w:ascii="Times New Roman" w:hAnsi="Times New Roman" w:cs="Times New Roman"/>
          <w:sz w:val="24"/>
          <w:szCs w:val="24"/>
        </w:rPr>
      </w:pPr>
      <w:r>
        <w:rPr>
          <w:rFonts w:ascii="Times New Roman" w:hAnsi="Times New Roman" w:cs="Times New Roman" w:hint="eastAsia"/>
          <w:noProof/>
          <w:sz w:val="24"/>
          <w:szCs w:val="24"/>
        </w:rPr>
        <w:drawing>
          <wp:inline distT="0" distB="0" distL="114300" distR="114300" wp14:anchorId="75DDC7AA" wp14:editId="5841B3CD">
            <wp:extent cx="5271135" cy="6659245"/>
            <wp:effectExtent l="0" t="0" r="12065" b="8255"/>
            <wp:docPr id="1" name="图片 1"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 S1"/>
                    <pic:cNvPicPr>
                      <a:picLocks noChangeAspect="1"/>
                    </pic:cNvPicPr>
                  </pic:nvPicPr>
                  <pic:blipFill>
                    <a:blip r:embed="rId6"/>
                    <a:stretch>
                      <a:fillRect/>
                    </a:stretch>
                  </pic:blipFill>
                  <pic:spPr>
                    <a:xfrm>
                      <a:off x="0" y="0"/>
                      <a:ext cx="5271135" cy="6659245"/>
                    </a:xfrm>
                    <a:prstGeom prst="rect">
                      <a:avLst/>
                    </a:prstGeom>
                  </pic:spPr>
                </pic:pic>
              </a:graphicData>
            </a:graphic>
          </wp:inline>
        </w:drawing>
      </w:r>
    </w:p>
    <w:p w14:paraId="379D83C8" w14:textId="77777777" w:rsidR="00D511EE" w:rsidRDefault="00000000" w:rsidP="00B74B27">
      <w:pPr>
        <w:spacing w:line="480" w:lineRule="auto"/>
        <w:rPr>
          <w:rFonts w:ascii="Times New Roman" w:hAnsi="Times New Roman" w:cs="Times New Roman"/>
          <w:sz w:val="24"/>
          <w:szCs w:val="24"/>
        </w:rPr>
      </w:pPr>
      <w:r>
        <w:rPr>
          <w:rFonts w:ascii="Times New Roman" w:eastAsia="等线" w:hAnsi="Times New Roman"/>
          <w:b/>
          <w:bCs/>
          <w:color w:val="000000"/>
          <w:sz w:val="24"/>
          <w:szCs w:val="24"/>
        </w:rPr>
        <w:t xml:space="preserve">Figure S1. </w:t>
      </w:r>
      <w:r>
        <w:rPr>
          <w:rFonts w:ascii="Times New Roman" w:eastAsia="等线" w:hAnsi="Times New Roman"/>
          <w:color w:val="000000"/>
          <w:sz w:val="24"/>
          <w:szCs w:val="24"/>
        </w:rPr>
        <w:t>Workflow of the analyses performed in this study.</w:t>
      </w:r>
      <w:r>
        <w:rPr>
          <w:rFonts w:ascii="Times New Roman" w:eastAsia="等线" w:hAnsi="Times New Roman" w:cs="Times New Roman" w:hint="eastAsia"/>
          <w:b/>
          <w:bCs/>
          <w:color w:val="000000"/>
          <w:sz w:val="24"/>
          <w:szCs w:val="24"/>
        </w:rPr>
        <w:t xml:space="preserve"> </w:t>
      </w:r>
    </w:p>
    <w:p w14:paraId="30D55EEE" w14:textId="77777777" w:rsidR="00D511EE" w:rsidRDefault="00000000">
      <w:pPr>
        <w:spacing w:line="360" w:lineRule="auto"/>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114300" distR="114300" wp14:anchorId="6B9BA0CD" wp14:editId="4C74D6CD">
            <wp:extent cx="5269230" cy="6509385"/>
            <wp:effectExtent l="0" t="0" r="1270" b="5715"/>
            <wp:docPr id="2" name="图片 2"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 S2"/>
                    <pic:cNvPicPr>
                      <a:picLocks noChangeAspect="1"/>
                    </pic:cNvPicPr>
                  </pic:nvPicPr>
                  <pic:blipFill>
                    <a:blip r:embed="rId7"/>
                    <a:stretch>
                      <a:fillRect/>
                    </a:stretch>
                  </pic:blipFill>
                  <pic:spPr>
                    <a:xfrm>
                      <a:off x="0" y="0"/>
                      <a:ext cx="5269230" cy="6509385"/>
                    </a:xfrm>
                    <a:prstGeom prst="rect">
                      <a:avLst/>
                    </a:prstGeom>
                  </pic:spPr>
                </pic:pic>
              </a:graphicData>
            </a:graphic>
          </wp:inline>
        </w:drawing>
      </w:r>
    </w:p>
    <w:p w14:paraId="04A7B10C" w14:textId="77777777" w:rsidR="00D511EE" w:rsidRDefault="00000000" w:rsidP="00B74B27">
      <w:pPr>
        <w:widowControl/>
        <w:spacing w:line="480" w:lineRule="auto"/>
        <w:rPr>
          <w:rFonts w:ascii="Times New Roman" w:hAnsi="Times New Roman" w:cs="Times New Roman"/>
          <w:color w:val="000000" w:themeColor="text1"/>
          <w:sz w:val="24"/>
          <w:szCs w:val="24"/>
        </w:rPr>
      </w:pPr>
      <w:r>
        <w:rPr>
          <w:rFonts w:ascii="Times New Roman" w:eastAsia="等线" w:hAnsi="Times New Roman"/>
          <w:b/>
          <w:bCs/>
          <w:color w:val="000000"/>
          <w:sz w:val="24"/>
          <w:szCs w:val="24"/>
        </w:rPr>
        <w:t xml:space="preserve">Figure S2. </w:t>
      </w:r>
      <w:r>
        <w:rPr>
          <w:rFonts w:ascii="Times New Roman" w:eastAsia="等线" w:hAnsi="Times New Roman"/>
          <w:color w:val="000000"/>
          <w:sz w:val="24"/>
          <w:szCs w:val="24"/>
        </w:rPr>
        <w:t>Cell clustering and trajectory analysis. (</w:t>
      </w:r>
      <w:r>
        <w:rPr>
          <w:rFonts w:ascii="Times New Roman" w:eastAsia="等线" w:hAnsi="Times New Roman"/>
          <w:b/>
          <w:bCs/>
          <w:color w:val="000000"/>
          <w:sz w:val="24"/>
          <w:szCs w:val="24"/>
        </w:rPr>
        <w:t>A-B</w:t>
      </w:r>
      <w:r>
        <w:rPr>
          <w:rFonts w:ascii="Times New Roman" w:eastAsia="等线" w:hAnsi="Times New Roman"/>
          <w:color w:val="000000"/>
          <w:sz w:val="24"/>
          <w:szCs w:val="24"/>
        </w:rPr>
        <w:t>)</w:t>
      </w:r>
      <w:r>
        <w:rPr>
          <w:rFonts w:ascii="Times New Roman" w:eastAsia="等线" w:hAnsi="Times New Roman"/>
          <w:b/>
          <w:bCs/>
          <w:color w:val="000000"/>
          <w:sz w:val="24"/>
          <w:szCs w:val="24"/>
        </w:rPr>
        <w:t xml:space="preserve"> </w:t>
      </w:r>
      <w:r>
        <w:rPr>
          <w:rFonts w:ascii="Times New Roman" w:eastAsia="等线" w:hAnsi="Times New Roman"/>
          <w:color w:val="000000"/>
          <w:sz w:val="24"/>
          <w:szCs w:val="24"/>
        </w:rPr>
        <w:t>UMAP plots of cell clustering based on different patients and tissues. (</w:t>
      </w:r>
      <w:r>
        <w:rPr>
          <w:rFonts w:ascii="Times New Roman" w:eastAsia="等线" w:hAnsi="Times New Roman"/>
          <w:b/>
          <w:bCs/>
          <w:color w:val="000000"/>
          <w:sz w:val="24"/>
          <w:szCs w:val="24"/>
        </w:rPr>
        <w:t>C</w:t>
      </w:r>
      <w:r>
        <w:rPr>
          <w:rFonts w:ascii="Times New Roman" w:eastAsia="等线" w:hAnsi="Times New Roman"/>
          <w:color w:val="000000"/>
          <w:sz w:val="24"/>
          <w:szCs w:val="24"/>
        </w:rPr>
        <w:t xml:space="preserve">) Initial resident and exhausted scores in </w:t>
      </w:r>
      <w:r>
        <w:rPr>
          <w:rFonts w:ascii="Times New Roman" w:hAnsi="Times New Roman"/>
          <w:color w:val="000000"/>
          <w:kern w:val="0"/>
          <w:sz w:val="24"/>
          <w:szCs w:val="24"/>
        </w:rPr>
        <w:t>CD8+ T, CD4+ T, and NK cells</w:t>
      </w:r>
      <w:r>
        <w:rPr>
          <w:rFonts w:ascii="Times New Roman" w:eastAsia="等线" w:hAnsi="Times New Roman"/>
          <w:color w:val="000000"/>
          <w:sz w:val="24"/>
          <w:szCs w:val="24"/>
        </w:rPr>
        <w:t xml:space="preserve">. Blue solid lines represented the top threshold of resident score, and dashed lines showed the low limitation of resident score. Red solid lines represented the maximum threshold of exhausted score, and dashed lines showed the low limitation of exhausted score. Red boxes represent regions of exhausted cells, </w:t>
      </w:r>
      <w:r>
        <w:rPr>
          <w:rFonts w:ascii="Times New Roman" w:eastAsia="等线" w:hAnsi="Times New Roman"/>
          <w:color w:val="000000"/>
          <w:sz w:val="24"/>
          <w:szCs w:val="24"/>
        </w:rPr>
        <w:lastRenderedPageBreak/>
        <w:t>and blue boxes represent regions of resident cells. (</w:t>
      </w:r>
      <w:r>
        <w:rPr>
          <w:rFonts w:ascii="Times New Roman" w:eastAsia="等线" w:hAnsi="Times New Roman"/>
          <w:b/>
          <w:bCs/>
          <w:color w:val="000000"/>
          <w:sz w:val="24"/>
          <w:szCs w:val="24"/>
        </w:rPr>
        <w:t>D</w:t>
      </w:r>
      <w:r>
        <w:rPr>
          <w:rFonts w:ascii="Times New Roman" w:eastAsia="等线" w:hAnsi="Times New Roman"/>
          <w:color w:val="000000"/>
          <w:sz w:val="24"/>
          <w:szCs w:val="24"/>
        </w:rPr>
        <w:t>) UMAP plots of resident and exhausted cells based on initial resident and exhausted scores. Blue represented resident cells, and red represented exhausted cells. (</w:t>
      </w:r>
      <w:r>
        <w:rPr>
          <w:rFonts w:ascii="Times New Roman" w:eastAsia="等线" w:hAnsi="Times New Roman"/>
          <w:b/>
          <w:bCs/>
          <w:color w:val="000000"/>
          <w:sz w:val="24"/>
          <w:szCs w:val="24"/>
        </w:rPr>
        <w:t>E</w:t>
      </w:r>
      <w:r>
        <w:rPr>
          <w:rFonts w:ascii="Times New Roman" w:eastAsia="等线" w:hAnsi="Times New Roman"/>
          <w:color w:val="000000"/>
          <w:sz w:val="24"/>
          <w:szCs w:val="24"/>
        </w:rPr>
        <w:t>)</w:t>
      </w:r>
      <w:r>
        <w:rPr>
          <w:rFonts w:ascii="Times New Roman" w:hAnsi="Times New Roman"/>
          <w:color w:val="000000"/>
          <w:kern w:val="0"/>
          <w:sz w:val="24"/>
          <w:szCs w:val="24"/>
        </w:rPr>
        <w:t xml:space="preserve"> </w:t>
      </w:r>
      <w:r>
        <w:rPr>
          <w:rFonts w:ascii="Times New Roman" w:eastAsia="等线" w:hAnsi="Times New Roman"/>
          <w:color w:val="000000"/>
          <w:sz w:val="24"/>
          <w:szCs w:val="24"/>
        </w:rPr>
        <w:t xml:space="preserve">Exhausted trajectory among three cell types. Color represented </w:t>
      </w:r>
      <w:proofErr w:type="spellStart"/>
      <w:r>
        <w:rPr>
          <w:rFonts w:ascii="Times New Roman" w:eastAsia="等线" w:hAnsi="Times New Roman"/>
          <w:color w:val="000000"/>
          <w:sz w:val="24"/>
          <w:szCs w:val="24"/>
        </w:rPr>
        <w:t>Exh</w:t>
      </w:r>
      <w:proofErr w:type="spellEnd"/>
      <w:r>
        <w:rPr>
          <w:rFonts w:ascii="Times New Roman" w:eastAsia="等线" w:hAnsi="Times New Roman"/>
          <w:color w:val="000000"/>
          <w:sz w:val="24"/>
          <w:szCs w:val="24"/>
        </w:rPr>
        <w:t xml:space="preserve"> scores, and lines represented the evolutionary trajectory. UMAP = Uniform Manifold Approximation and Projection.</w:t>
      </w:r>
    </w:p>
    <w:p w14:paraId="303FD202" w14:textId="77777777" w:rsidR="00D511EE" w:rsidRDefault="00D511EE" w:rsidP="00B74B27">
      <w:pPr>
        <w:widowControl/>
        <w:spacing w:line="480" w:lineRule="auto"/>
        <w:rPr>
          <w:rFonts w:ascii="Times New Roman" w:hAnsi="Times New Roman" w:cs="Times New Roman"/>
          <w:color w:val="000000" w:themeColor="text1"/>
          <w:sz w:val="24"/>
          <w:szCs w:val="24"/>
        </w:rPr>
      </w:pPr>
    </w:p>
    <w:p w14:paraId="1B68567E" w14:textId="77777777" w:rsidR="00D511EE" w:rsidRDefault="00000000">
      <w:pPr>
        <w:widowControl/>
        <w:spacing w:line="360" w:lineRule="auto"/>
        <w:jc w:val="left"/>
        <w:rPr>
          <w:rFonts w:ascii="Times New Roman" w:hAnsi="Times New Roman" w:cs="Times New Roman"/>
          <w:color w:val="000000" w:themeColor="text1"/>
          <w:sz w:val="24"/>
          <w:szCs w:val="24"/>
        </w:rPr>
      </w:pPr>
      <w:r>
        <w:rPr>
          <w:rFonts w:ascii="Times New Roman" w:hAnsi="Times New Roman" w:cs="Times New Roman" w:hint="eastAsia"/>
          <w:noProof/>
          <w:color w:val="000000" w:themeColor="text1"/>
          <w:sz w:val="24"/>
          <w:szCs w:val="24"/>
        </w:rPr>
        <w:drawing>
          <wp:inline distT="0" distB="0" distL="114300" distR="114300" wp14:anchorId="396159E7" wp14:editId="66C2CE2E">
            <wp:extent cx="5269230" cy="5123180"/>
            <wp:effectExtent l="0" t="0" r="1270" b="7620"/>
            <wp:docPr id="3" name="图片 3" descr="Figure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 S3"/>
                    <pic:cNvPicPr>
                      <a:picLocks noChangeAspect="1"/>
                    </pic:cNvPicPr>
                  </pic:nvPicPr>
                  <pic:blipFill>
                    <a:blip r:embed="rId8"/>
                    <a:stretch>
                      <a:fillRect/>
                    </a:stretch>
                  </pic:blipFill>
                  <pic:spPr>
                    <a:xfrm>
                      <a:off x="0" y="0"/>
                      <a:ext cx="5269230" cy="5123180"/>
                    </a:xfrm>
                    <a:prstGeom prst="rect">
                      <a:avLst/>
                    </a:prstGeom>
                  </pic:spPr>
                </pic:pic>
              </a:graphicData>
            </a:graphic>
          </wp:inline>
        </w:drawing>
      </w:r>
    </w:p>
    <w:p w14:paraId="0CCAE95B" w14:textId="77777777" w:rsidR="00D511EE" w:rsidRDefault="00000000" w:rsidP="00B74B27">
      <w:pPr>
        <w:spacing w:line="480" w:lineRule="auto"/>
        <w:rPr>
          <w:rFonts w:ascii="Times New Roman" w:hAnsi="Times New Roman" w:cs="Times New Roman"/>
          <w:color w:val="000000" w:themeColor="text1"/>
          <w:sz w:val="24"/>
          <w:szCs w:val="24"/>
        </w:rPr>
      </w:pPr>
      <w:r>
        <w:rPr>
          <w:rFonts w:ascii="Times New Roman" w:eastAsia="等线" w:hAnsi="Times New Roman"/>
          <w:b/>
          <w:bCs/>
          <w:color w:val="000000"/>
          <w:sz w:val="24"/>
          <w:szCs w:val="24"/>
        </w:rPr>
        <w:t xml:space="preserve">Figure S3. </w:t>
      </w:r>
      <w:r>
        <w:rPr>
          <w:rFonts w:ascii="Times New Roman" w:eastAsia="等线" w:hAnsi="Times New Roman"/>
          <w:color w:val="000000"/>
          <w:sz w:val="24"/>
          <w:szCs w:val="24"/>
        </w:rPr>
        <w:t>Immune infiltration assessment and predicting response to immunotherapy.</w:t>
      </w:r>
      <w:r>
        <w:rPr>
          <w:rFonts w:ascii="Times New Roman" w:eastAsia="等线" w:hAnsi="Times New Roman"/>
          <w:b/>
          <w:bCs/>
          <w:color w:val="000000"/>
          <w:sz w:val="24"/>
          <w:szCs w:val="24"/>
        </w:rPr>
        <w:t xml:space="preserve"> </w:t>
      </w:r>
      <w:r>
        <w:rPr>
          <w:rFonts w:ascii="Times New Roman" w:eastAsia="等线" w:hAnsi="Times New Roman"/>
          <w:color w:val="000000"/>
          <w:sz w:val="24"/>
          <w:szCs w:val="24"/>
        </w:rPr>
        <w:t>(</w:t>
      </w:r>
      <w:r>
        <w:rPr>
          <w:rFonts w:ascii="Times New Roman" w:eastAsia="等线" w:hAnsi="Times New Roman"/>
          <w:b/>
          <w:bCs/>
          <w:color w:val="000000"/>
          <w:sz w:val="24"/>
          <w:szCs w:val="24"/>
        </w:rPr>
        <w:t>A</w:t>
      </w:r>
      <w:r>
        <w:rPr>
          <w:rFonts w:ascii="Times New Roman" w:eastAsia="等线" w:hAnsi="Times New Roman"/>
          <w:color w:val="000000"/>
          <w:sz w:val="24"/>
          <w:szCs w:val="24"/>
        </w:rPr>
        <w:t xml:space="preserve">) Heatmap of immune cells infiltration was assessed by </w:t>
      </w:r>
      <w:r>
        <w:rPr>
          <w:rFonts w:ascii="Times New Roman" w:eastAsia="等线" w:hAnsi="Times New Roman"/>
          <w:i/>
          <w:iCs/>
          <w:color w:val="000000"/>
          <w:sz w:val="24"/>
          <w:szCs w:val="24"/>
        </w:rPr>
        <w:t>CIBERSORT</w:t>
      </w:r>
      <w:r>
        <w:rPr>
          <w:rFonts w:ascii="Times New Roman" w:eastAsia="等线" w:hAnsi="Times New Roman"/>
          <w:color w:val="000000"/>
          <w:sz w:val="24"/>
          <w:szCs w:val="24"/>
        </w:rPr>
        <w:t>. The color from blue to red represented the increase in gene expression levels. (</w:t>
      </w:r>
      <w:r>
        <w:rPr>
          <w:rFonts w:ascii="Times New Roman" w:eastAsia="等线" w:hAnsi="Times New Roman"/>
          <w:b/>
          <w:bCs/>
          <w:color w:val="000000"/>
          <w:sz w:val="24"/>
          <w:szCs w:val="24"/>
        </w:rPr>
        <w:t>B</w:t>
      </w:r>
      <w:r>
        <w:rPr>
          <w:rFonts w:ascii="Times New Roman" w:eastAsia="等线" w:hAnsi="Times New Roman"/>
          <w:color w:val="000000"/>
          <w:sz w:val="24"/>
          <w:szCs w:val="24"/>
        </w:rPr>
        <w:t xml:space="preserve">) The infiltration </w:t>
      </w:r>
      <w:r>
        <w:rPr>
          <w:rFonts w:ascii="Times New Roman" w:eastAsia="等线" w:hAnsi="Times New Roman"/>
          <w:color w:val="000000"/>
          <w:sz w:val="24"/>
          <w:szCs w:val="24"/>
        </w:rPr>
        <w:lastRenderedPageBreak/>
        <w:t xml:space="preserve">difference of immune cells among three </w:t>
      </w:r>
      <w:r>
        <w:rPr>
          <w:rFonts w:ascii="Times New Roman" w:hAnsi="Times New Roman"/>
          <w:color w:val="000000"/>
          <w:kern w:val="0"/>
          <w:sz w:val="24"/>
          <w:szCs w:val="24"/>
        </w:rPr>
        <w:t>subtype</w:t>
      </w:r>
      <w:r>
        <w:rPr>
          <w:rFonts w:ascii="Times New Roman" w:eastAsia="等线" w:hAnsi="Times New Roman"/>
          <w:color w:val="000000"/>
          <w:sz w:val="24"/>
          <w:szCs w:val="24"/>
        </w:rPr>
        <w:t>s. (</w:t>
      </w:r>
      <w:r>
        <w:rPr>
          <w:rFonts w:ascii="Times New Roman" w:eastAsia="等线" w:hAnsi="Times New Roman"/>
          <w:b/>
          <w:bCs/>
          <w:color w:val="000000"/>
          <w:sz w:val="24"/>
          <w:szCs w:val="24"/>
        </w:rPr>
        <w:t>C</w:t>
      </w:r>
      <w:r>
        <w:rPr>
          <w:rFonts w:ascii="Times New Roman" w:eastAsia="等线" w:hAnsi="Times New Roman"/>
          <w:color w:val="000000"/>
          <w:sz w:val="24"/>
          <w:szCs w:val="24"/>
        </w:rPr>
        <w:t>) Box-plot about the expression level of co-inhibitory molecules. (</w:t>
      </w:r>
      <w:r>
        <w:rPr>
          <w:rFonts w:ascii="Times New Roman" w:eastAsia="等线" w:hAnsi="Times New Roman"/>
          <w:b/>
          <w:bCs/>
          <w:color w:val="000000"/>
          <w:sz w:val="24"/>
          <w:szCs w:val="24"/>
        </w:rPr>
        <w:t>D</w:t>
      </w:r>
      <w:r>
        <w:rPr>
          <w:rFonts w:ascii="Times New Roman" w:eastAsia="等线" w:hAnsi="Times New Roman"/>
          <w:color w:val="000000"/>
          <w:sz w:val="24"/>
          <w:szCs w:val="24"/>
        </w:rPr>
        <w:t xml:space="preserve">) The immune landscape difference of </w:t>
      </w:r>
      <w:proofErr w:type="spellStart"/>
      <w:r>
        <w:rPr>
          <w:rFonts w:ascii="Times New Roman" w:eastAsia="等线" w:hAnsi="Times New Roman"/>
          <w:color w:val="000000"/>
          <w:sz w:val="24"/>
          <w:szCs w:val="24"/>
        </w:rPr>
        <w:t>TCR.Richness</w:t>
      </w:r>
      <w:proofErr w:type="spellEnd"/>
      <w:r>
        <w:rPr>
          <w:rFonts w:ascii="Times New Roman" w:eastAsia="等线" w:hAnsi="Times New Roman"/>
          <w:color w:val="000000"/>
          <w:sz w:val="24"/>
          <w:szCs w:val="24"/>
        </w:rPr>
        <w:t xml:space="preserve"> among three </w:t>
      </w:r>
      <w:r>
        <w:rPr>
          <w:rFonts w:ascii="Times New Roman" w:hAnsi="Times New Roman"/>
          <w:color w:val="000000"/>
          <w:kern w:val="0"/>
          <w:sz w:val="24"/>
          <w:szCs w:val="24"/>
        </w:rPr>
        <w:t>subtype</w:t>
      </w:r>
      <w:r>
        <w:rPr>
          <w:rFonts w:ascii="Times New Roman" w:eastAsia="等线" w:hAnsi="Times New Roman"/>
          <w:color w:val="000000"/>
          <w:sz w:val="24"/>
          <w:szCs w:val="24"/>
        </w:rPr>
        <w:t xml:space="preserve">s. </w:t>
      </w:r>
      <w:proofErr w:type="spellStart"/>
      <w:r>
        <w:rPr>
          <w:rFonts w:ascii="Times New Roman" w:hAnsi="Times New Roman"/>
          <w:color w:val="000000"/>
          <w:kern w:val="0"/>
          <w:sz w:val="24"/>
          <w:szCs w:val="24"/>
        </w:rPr>
        <w:t>Residency</w:t>
      </w:r>
      <w:r>
        <w:rPr>
          <w:rFonts w:ascii="Times New Roman" w:hAnsi="Times New Roman"/>
          <w:color w:val="000000"/>
          <w:kern w:val="0"/>
          <w:sz w:val="24"/>
          <w:szCs w:val="24"/>
          <w:vertAlign w:val="subscript"/>
        </w:rPr>
        <w:t>high</w:t>
      </w:r>
      <w:r>
        <w:rPr>
          <w:rFonts w:ascii="Times New Roman" w:hAnsi="Times New Roman"/>
          <w:color w:val="000000"/>
          <w:kern w:val="0"/>
          <w:sz w:val="24"/>
          <w:szCs w:val="24"/>
        </w:rPr>
        <w:t>exhaustion</w:t>
      </w:r>
      <w:r>
        <w:rPr>
          <w:rFonts w:ascii="Times New Roman" w:hAnsi="Times New Roman"/>
          <w:color w:val="000000"/>
          <w:kern w:val="0"/>
          <w:sz w:val="24"/>
          <w:szCs w:val="24"/>
          <w:vertAlign w:val="subscript"/>
        </w:rPr>
        <w:t>low</w:t>
      </w:r>
      <w:proofErr w:type="spellEnd"/>
      <w:r>
        <w:rPr>
          <w:rFonts w:ascii="Times New Roman" w:eastAsia="等线" w:hAnsi="Times New Roman"/>
          <w:color w:val="000000"/>
          <w:sz w:val="24"/>
          <w:szCs w:val="24"/>
        </w:rPr>
        <w:t xml:space="preserve"> </w:t>
      </w:r>
      <w:r>
        <w:rPr>
          <w:rFonts w:ascii="Times New Roman" w:hAnsi="Times New Roman"/>
          <w:color w:val="000000"/>
          <w:kern w:val="0"/>
          <w:sz w:val="24"/>
          <w:szCs w:val="24"/>
        </w:rPr>
        <w:t>subtype</w:t>
      </w:r>
      <w:r>
        <w:rPr>
          <w:rFonts w:ascii="Times New Roman" w:eastAsia="等线" w:hAnsi="Times New Roman"/>
          <w:color w:val="000000"/>
          <w:sz w:val="24"/>
          <w:szCs w:val="24"/>
        </w:rPr>
        <w:t xml:space="preserve"> was represented by red; </w:t>
      </w:r>
      <w:proofErr w:type="spellStart"/>
      <w:r>
        <w:rPr>
          <w:rFonts w:ascii="Times New Roman" w:hAnsi="Times New Roman"/>
          <w:color w:val="000000"/>
          <w:kern w:val="0"/>
          <w:sz w:val="24"/>
          <w:szCs w:val="24"/>
        </w:rPr>
        <w:t>Exhaustion</w:t>
      </w:r>
      <w:r>
        <w:rPr>
          <w:rFonts w:ascii="Times New Roman" w:hAnsi="Times New Roman"/>
          <w:color w:val="000000"/>
          <w:kern w:val="0"/>
          <w:sz w:val="24"/>
          <w:szCs w:val="24"/>
          <w:vertAlign w:val="subscript"/>
        </w:rPr>
        <w:t>high</w:t>
      </w:r>
      <w:r>
        <w:rPr>
          <w:rFonts w:ascii="Times New Roman" w:hAnsi="Times New Roman"/>
          <w:color w:val="000000"/>
          <w:kern w:val="0"/>
          <w:sz w:val="24"/>
          <w:szCs w:val="24"/>
        </w:rPr>
        <w:t>residency</w:t>
      </w:r>
      <w:r>
        <w:rPr>
          <w:rFonts w:ascii="Times New Roman" w:hAnsi="Times New Roman"/>
          <w:color w:val="000000"/>
          <w:kern w:val="0"/>
          <w:sz w:val="24"/>
          <w:szCs w:val="24"/>
          <w:vertAlign w:val="subscript"/>
        </w:rPr>
        <w:t>low</w:t>
      </w:r>
      <w:proofErr w:type="spellEnd"/>
      <w:r>
        <w:rPr>
          <w:rFonts w:ascii="Times New Roman" w:eastAsia="等线" w:hAnsi="Times New Roman"/>
          <w:color w:val="000000"/>
          <w:sz w:val="24"/>
          <w:szCs w:val="24"/>
        </w:rPr>
        <w:t xml:space="preserve"> </w:t>
      </w:r>
      <w:r>
        <w:rPr>
          <w:rFonts w:ascii="Times New Roman" w:hAnsi="Times New Roman"/>
          <w:color w:val="000000"/>
          <w:kern w:val="0"/>
          <w:sz w:val="24"/>
          <w:szCs w:val="24"/>
        </w:rPr>
        <w:t>subtype</w:t>
      </w:r>
      <w:r>
        <w:rPr>
          <w:rFonts w:ascii="Times New Roman" w:eastAsia="等线" w:hAnsi="Times New Roman"/>
          <w:color w:val="000000"/>
          <w:sz w:val="24"/>
          <w:szCs w:val="24"/>
        </w:rPr>
        <w:t xml:space="preserve"> was represented by blue; Immune-desert </w:t>
      </w:r>
      <w:r>
        <w:rPr>
          <w:rFonts w:ascii="Times New Roman" w:hAnsi="Times New Roman"/>
          <w:color w:val="000000"/>
          <w:kern w:val="0"/>
          <w:sz w:val="24"/>
          <w:szCs w:val="24"/>
        </w:rPr>
        <w:t>subtype</w:t>
      </w:r>
      <w:r>
        <w:rPr>
          <w:rFonts w:ascii="Times New Roman" w:eastAsia="等线" w:hAnsi="Times New Roman"/>
          <w:color w:val="000000"/>
          <w:sz w:val="24"/>
          <w:szCs w:val="24"/>
        </w:rPr>
        <w:t xml:space="preserve"> was represented by green. The asterisks represented the statistical p value (**P &lt; 0.01; ***P &lt; 0.001; ***P &lt; 0.0001). (</w:t>
      </w:r>
      <w:r>
        <w:rPr>
          <w:rFonts w:ascii="Times New Roman" w:eastAsia="等线" w:hAnsi="Times New Roman"/>
          <w:b/>
          <w:bCs/>
          <w:color w:val="000000"/>
          <w:sz w:val="24"/>
          <w:szCs w:val="24"/>
        </w:rPr>
        <w:t>E</w:t>
      </w:r>
      <w:r>
        <w:rPr>
          <w:rFonts w:ascii="Times New Roman" w:eastAsia="等线" w:hAnsi="Times New Roman"/>
          <w:color w:val="000000"/>
          <w:sz w:val="24"/>
          <w:szCs w:val="24"/>
        </w:rPr>
        <w:t>) Percentage histogram of immunotherapy response in GSE91061. Red represented response to immunotherapy, and Cyan represented non-response to immunotherapy. (</w:t>
      </w:r>
      <w:r>
        <w:rPr>
          <w:rFonts w:ascii="Times New Roman" w:eastAsia="等线" w:hAnsi="Times New Roman"/>
          <w:b/>
          <w:bCs/>
          <w:color w:val="000000"/>
          <w:sz w:val="24"/>
          <w:szCs w:val="24"/>
        </w:rPr>
        <w:t>F</w:t>
      </w:r>
      <w:r>
        <w:rPr>
          <w:rFonts w:ascii="Times New Roman" w:eastAsia="等线" w:hAnsi="Times New Roman"/>
          <w:color w:val="000000"/>
          <w:sz w:val="24"/>
          <w:szCs w:val="24"/>
        </w:rPr>
        <w:t>)</w:t>
      </w:r>
      <w:r>
        <w:rPr>
          <w:rFonts w:ascii="Times New Roman" w:eastAsia="等线" w:hAnsi="Times New Roman"/>
          <w:b/>
          <w:bCs/>
          <w:color w:val="000000"/>
          <w:sz w:val="24"/>
          <w:szCs w:val="24"/>
        </w:rPr>
        <w:t xml:space="preserve"> </w:t>
      </w:r>
      <w:r>
        <w:rPr>
          <w:rFonts w:ascii="Times New Roman" w:eastAsia="等线" w:hAnsi="Times New Roman"/>
          <w:color w:val="000000"/>
          <w:sz w:val="24"/>
          <w:szCs w:val="24"/>
        </w:rPr>
        <w:t>AUC of immunotherapy in GSE91061 was represented. The AUC was in lower right corner. (</w:t>
      </w:r>
      <w:r>
        <w:rPr>
          <w:rFonts w:ascii="Times New Roman" w:eastAsia="等线" w:hAnsi="Times New Roman"/>
          <w:b/>
          <w:bCs/>
          <w:color w:val="000000"/>
          <w:sz w:val="24"/>
          <w:szCs w:val="24"/>
        </w:rPr>
        <w:t>G</w:t>
      </w:r>
      <w:r>
        <w:rPr>
          <w:rFonts w:ascii="Times New Roman" w:eastAsia="等线" w:hAnsi="Times New Roman"/>
          <w:color w:val="000000"/>
          <w:sz w:val="24"/>
          <w:szCs w:val="24"/>
        </w:rPr>
        <w:t>) Submap was used to predict the immunotherapy response in GSE91061. AUC = Area under the ROC Curve, HCC = hepatocellular carcinoma. Submap = subclass mapping.</w:t>
      </w:r>
    </w:p>
    <w:p w14:paraId="5F6709C5" w14:textId="77777777" w:rsidR="00D511EE" w:rsidRDefault="00D511EE" w:rsidP="00B74B27">
      <w:pPr>
        <w:widowControl/>
        <w:spacing w:line="480" w:lineRule="auto"/>
        <w:jc w:val="left"/>
        <w:rPr>
          <w:rFonts w:ascii="Times New Roman" w:hAnsi="Times New Roman" w:cs="Times New Roman"/>
          <w:sz w:val="24"/>
          <w:szCs w:val="24"/>
        </w:rPr>
      </w:pPr>
    </w:p>
    <w:p w14:paraId="0EEEAFDF" w14:textId="61C58E3E" w:rsidR="00D511EE" w:rsidRDefault="006672C8">
      <w:r>
        <w:rPr>
          <w:noProof/>
        </w:rPr>
        <w:lastRenderedPageBreak/>
        <w:drawing>
          <wp:inline distT="0" distB="0" distL="0" distR="0" wp14:anchorId="50ACF836" wp14:editId="29CAB519">
            <wp:extent cx="5274310" cy="5722620"/>
            <wp:effectExtent l="0" t="0" r="2540" b="0"/>
            <wp:docPr id="7573264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326493" name="图片 75732649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5722620"/>
                    </a:xfrm>
                    <a:prstGeom prst="rect">
                      <a:avLst/>
                    </a:prstGeom>
                  </pic:spPr>
                </pic:pic>
              </a:graphicData>
            </a:graphic>
          </wp:inline>
        </w:drawing>
      </w:r>
    </w:p>
    <w:p w14:paraId="60D5ADA4" w14:textId="6A64C647" w:rsidR="005B3432" w:rsidRPr="00D83319" w:rsidRDefault="005B3432" w:rsidP="00B74B27">
      <w:pPr>
        <w:spacing w:line="480" w:lineRule="auto"/>
        <w:rPr>
          <w:rFonts w:ascii="Times New Roman" w:eastAsia="等线" w:hAnsi="Times New Roman"/>
          <w:color w:val="000000"/>
          <w:sz w:val="24"/>
          <w:szCs w:val="24"/>
        </w:rPr>
      </w:pPr>
      <w:r>
        <w:rPr>
          <w:rFonts w:ascii="Times New Roman" w:eastAsia="等线" w:hAnsi="Times New Roman"/>
          <w:b/>
          <w:bCs/>
          <w:color w:val="000000"/>
          <w:sz w:val="24"/>
          <w:szCs w:val="24"/>
        </w:rPr>
        <w:t xml:space="preserve">Figure S4. </w:t>
      </w:r>
      <w:r w:rsidRPr="00825143">
        <w:rPr>
          <w:rFonts w:ascii="Times New Roman" w:eastAsia="等线" w:hAnsi="Times New Roman"/>
          <w:color w:val="000000"/>
          <w:sz w:val="24"/>
          <w:szCs w:val="24"/>
        </w:rPr>
        <w:t xml:space="preserve">The identification and prognostic value assessment of </w:t>
      </w:r>
      <w:r w:rsidRPr="00825143">
        <w:rPr>
          <w:rFonts w:ascii="Times New Roman" w:eastAsia="等线" w:hAnsi="Times New Roman"/>
          <w:i/>
          <w:iCs/>
          <w:color w:val="000000"/>
          <w:sz w:val="24"/>
          <w:szCs w:val="24"/>
        </w:rPr>
        <w:t>SASS6</w:t>
      </w:r>
      <w:r w:rsidRPr="00825143">
        <w:rPr>
          <w:rFonts w:ascii="Times New Roman" w:eastAsia="等线" w:hAnsi="Times New Roman"/>
          <w:color w:val="000000"/>
          <w:sz w:val="24"/>
          <w:szCs w:val="24"/>
        </w:rPr>
        <w:t>.</w:t>
      </w:r>
      <w:r w:rsidRPr="005B3432">
        <w:rPr>
          <w:rFonts w:ascii="Times New Roman" w:eastAsia="等线" w:hAnsi="Times New Roman"/>
          <w:b/>
          <w:bCs/>
          <w:color w:val="000000"/>
          <w:sz w:val="24"/>
          <w:szCs w:val="24"/>
        </w:rPr>
        <w:t xml:space="preserve"> </w:t>
      </w:r>
      <w:r w:rsidR="00494056">
        <w:rPr>
          <w:rFonts w:ascii="Times New Roman" w:eastAsia="等线" w:hAnsi="Times New Roman" w:hint="eastAsia"/>
          <w:b/>
          <w:bCs/>
          <w:color w:val="000000"/>
          <w:sz w:val="24"/>
          <w:szCs w:val="24"/>
        </w:rPr>
        <w:t>(</w:t>
      </w:r>
      <w:r>
        <w:rPr>
          <w:rFonts w:ascii="Times New Roman" w:eastAsia="等线" w:hAnsi="Times New Roman"/>
          <w:b/>
          <w:bCs/>
          <w:color w:val="000000"/>
          <w:sz w:val="24"/>
          <w:szCs w:val="24"/>
        </w:rPr>
        <w:t>A</w:t>
      </w:r>
      <w:r w:rsidR="00494056">
        <w:rPr>
          <w:rFonts w:ascii="Times New Roman" w:eastAsia="等线" w:hAnsi="Times New Roman"/>
          <w:b/>
          <w:bCs/>
          <w:color w:val="000000"/>
          <w:sz w:val="24"/>
          <w:szCs w:val="24"/>
        </w:rPr>
        <w:t>)</w:t>
      </w:r>
      <w:r>
        <w:rPr>
          <w:rFonts w:ascii="Times New Roman" w:eastAsia="等线" w:hAnsi="Times New Roman"/>
          <w:b/>
          <w:bCs/>
          <w:color w:val="000000"/>
          <w:sz w:val="24"/>
          <w:szCs w:val="24"/>
        </w:rPr>
        <w:t xml:space="preserve"> </w:t>
      </w:r>
      <w:r w:rsidRPr="00D83319">
        <w:rPr>
          <w:rFonts w:ascii="Times New Roman" w:eastAsia="等线" w:hAnsi="Times New Roman"/>
          <w:color w:val="000000"/>
          <w:sz w:val="24"/>
          <w:szCs w:val="24"/>
        </w:rPr>
        <w:t xml:space="preserve">AUC </w:t>
      </w:r>
      <w:r w:rsidRPr="00D83319">
        <w:rPr>
          <w:rFonts w:ascii="Times New Roman" w:eastAsia="等线" w:hAnsi="Times New Roman" w:hint="eastAsia"/>
          <w:color w:val="000000"/>
          <w:sz w:val="24"/>
          <w:szCs w:val="24"/>
        </w:rPr>
        <w:t>value</w:t>
      </w:r>
      <w:r w:rsidRPr="00D83319">
        <w:rPr>
          <w:rFonts w:ascii="Times New Roman" w:eastAsia="等线" w:hAnsi="Times New Roman"/>
          <w:color w:val="000000"/>
          <w:sz w:val="24"/>
          <w:szCs w:val="24"/>
        </w:rPr>
        <w:t xml:space="preserve"> of the </w:t>
      </w:r>
      <w:r w:rsidRPr="00825143">
        <w:rPr>
          <w:rFonts w:ascii="Times New Roman" w:eastAsia="等线" w:hAnsi="Times New Roman"/>
          <w:i/>
          <w:iCs/>
          <w:color w:val="000000"/>
          <w:sz w:val="24"/>
          <w:szCs w:val="24"/>
        </w:rPr>
        <w:t>SASS6</w:t>
      </w:r>
      <w:r w:rsidRPr="00D83319">
        <w:rPr>
          <w:rFonts w:ascii="Times New Roman" w:eastAsia="等线" w:hAnsi="Times New Roman"/>
          <w:color w:val="000000"/>
          <w:sz w:val="24"/>
          <w:szCs w:val="24"/>
        </w:rPr>
        <w:t xml:space="preserve"> gene.</w:t>
      </w:r>
      <w:r>
        <w:rPr>
          <w:rFonts w:ascii="Times New Roman" w:eastAsia="等线" w:hAnsi="Times New Roman"/>
          <w:b/>
          <w:bCs/>
          <w:color w:val="000000"/>
          <w:sz w:val="24"/>
          <w:szCs w:val="24"/>
        </w:rPr>
        <w:t xml:space="preserve"> </w:t>
      </w:r>
      <w:r w:rsidR="00494056">
        <w:rPr>
          <w:rFonts w:ascii="Times New Roman" w:eastAsia="等线" w:hAnsi="Times New Roman"/>
          <w:b/>
          <w:bCs/>
          <w:color w:val="000000"/>
          <w:sz w:val="24"/>
          <w:szCs w:val="24"/>
        </w:rPr>
        <w:t>(</w:t>
      </w:r>
      <w:r>
        <w:rPr>
          <w:rFonts w:ascii="Times New Roman" w:eastAsia="等线" w:hAnsi="Times New Roman"/>
          <w:b/>
          <w:bCs/>
          <w:color w:val="000000"/>
          <w:sz w:val="24"/>
          <w:szCs w:val="24"/>
        </w:rPr>
        <w:t>B</w:t>
      </w:r>
      <w:r w:rsidR="00494056">
        <w:rPr>
          <w:rFonts w:ascii="Times New Roman" w:eastAsia="等线" w:hAnsi="Times New Roman"/>
          <w:b/>
          <w:bCs/>
          <w:color w:val="000000"/>
          <w:sz w:val="24"/>
          <w:szCs w:val="24"/>
        </w:rPr>
        <w:t>)</w:t>
      </w:r>
      <w:r w:rsidR="00494056" w:rsidRPr="005B3432">
        <w:rPr>
          <w:rFonts w:ascii="Times New Roman" w:hAnsi="Times New Roman" w:cs="Times New Roman"/>
          <w:sz w:val="24"/>
          <w:szCs w:val="24"/>
        </w:rPr>
        <w:t xml:space="preserve"> </w:t>
      </w:r>
      <w:r w:rsidRPr="00263B86">
        <w:rPr>
          <w:rFonts w:ascii="Times New Roman" w:hAnsi="Times New Roman" w:cs="Times New Roman"/>
          <w:sz w:val="24"/>
          <w:szCs w:val="24"/>
        </w:rPr>
        <w:t xml:space="preserve">Kaplan–Meier curves for OS according to </w:t>
      </w:r>
      <w:r w:rsidRPr="00825143">
        <w:rPr>
          <w:rFonts w:ascii="Times New Roman" w:hAnsi="Times New Roman" w:cs="Times New Roman"/>
          <w:i/>
          <w:iCs/>
          <w:sz w:val="24"/>
          <w:szCs w:val="24"/>
        </w:rPr>
        <w:t>SASS6</w:t>
      </w:r>
      <w:r w:rsidRPr="00263B86">
        <w:rPr>
          <w:rFonts w:ascii="Times New Roman" w:hAnsi="Times New Roman" w:cs="Times New Roman"/>
          <w:sz w:val="24"/>
          <w:szCs w:val="24"/>
        </w:rPr>
        <w:t xml:space="preserve"> expression</w:t>
      </w:r>
      <w:r>
        <w:rPr>
          <w:rFonts w:ascii="Times New Roman" w:hAnsi="Times New Roman" w:cs="Times New Roman"/>
          <w:sz w:val="24"/>
          <w:szCs w:val="24"/>
        </w:rPr>
        <w:t xml:space="preserve"> in TCGA-LIHC</w:t>
      </w:r>
      <w:r w:rsidR="00D83319">
        <w:rPr>
          <w:rFonts w:ascii="Times New Roman" w:hAnsi="Times New Roman" w:cs="Times New Roman"/>
          <w:sz w:val="24"/>
          <w:szCs w:val="24"/>
        </w:rPr>
        <w:t xml:space="preserve"> </w:t>
      </w:r>
      <w:r>
        <w:rPr>
          <w:rFonts w:ascii="Times New Roman" w:hAnsi="Times New Roman" w:cs="Times New Roman"/>
          <w:sz w:val="24"/>
          <w:szCs w:val="24"/>
        </w:rPr>
        <w:t>cohort.</w:t>
      </w:r>
      <w:r w:rsidR="00C202CE" w:rsidRPr="00D83319">
        <w:rPr>
          <w:rFonts w:ascii="Times New Roman" w:hAnsi="Times New Roman" w:cs="Times New Roman"/>
          <w:b/>
          <w:bCs/>
          <w:sz w:val="24"/>
          <w:szCs w:val="24"/>
        </w:rPr>
        <w:t xml:space="preserve"> </w:t>
      </w:r>
      <w:r w:rsidR="00494056">
        <w:rPr>
          <w:rFonts w:ascii="Times New Roman" w:hAnsi="Times New Roman" w:cs="Times New Roman"/>
          <w:b/>
          <w:bCs/>
          <w:sz w:val="24"/>
          <w:szCs w:val="24"/>
        </w:rPr>
        <w:t>(</w:t>
      </w:r>
      <w:r w:rsidRPr="00D83319">
        <w:rPr>
          <w:rFonts w:ascii="Times New Roman" w:hAnsi="Times New Roman" w:cs="Times New Roman"/>
          <w:b/>
          <w:bCs/>
          <w:sz w:val="24"/>
          <w:szCs w:val="24"/>
        </w:rPr>
        <w:t>C-E</w:t>
      </w:r>
      <w:r w:rsidR="00494056">
        <w:rPr>
          <w:rFonts w:ascii="Times New Roman" w:hAnsi="Times New Roman" w:cs="Times New Roman"/>
          <w:b/>
          <w:bCs/>
          <w:sz w:val="24"/>
          <w:szCs w:val="24"/>
        </w:rPr>
        <w:t>)</w:t>
      </w:r>
      <w:r>
        <w:rPr>
          <w:rFonts w:ascii="Times New Roman" w:hAnsi="Times New Roman" w:cs="Times New Roman"/>
          <w:sz w:val="24"/>
          <w:szCs w:val="24"/>
        </w:rPr>
        <w:t xml:space="preserve"> </w:t>
      </w:r>
      <w:r w:rsidRPr="00D83319">
        <w:rPr>
          <w:rFonts w:ascii="Times New Roman" w:hAnsi="Times New Roman" w:cs="Times New Roman"/>
          <w:sz w:val="24"/>
          <w:szCs w:val="24"/>
        </w:rPr>
        <w:t xml:space="preserve">Multivariate Cox regression analysis and </w:t>
      </w:r>
      <w:r w:rsidRPr="00D83319">
        <w:rPr>
          <w:rFonts w:ascii="Times New Roman" w:eastAsia="等线" w:hAnsi="Times New Roman"/>
          <w:color w:val="000000"/>
          <w:sz w:val="24"/>
          <w:szCs w:val="24"/>
        </w:rPr>
        <w:t xml:space="preserve">Kaplan–Meier survival analysis of the high and low </w:t>
      </w:r>
      <w:r w:rsidRPr="00825143">
        <w:rPr>
          <w:rFonts w:ascii="Times New Roman" w:eastAsia="等线" w:hAnsi="Times New Roman"/>
          <w:i/>
          <w:iCs/>
          <w:color w:val="000000"/>
          <w:sz w:val="24"/>
          <w:szCs w:val="24"/>
        </w:rPr>
        <w:t>SASS6</w:t>
      </w:r>
      <w:r w:rsidRPr="00D83319">
        <w:rPr>
          <w:rFonts w:ascii="Times New Roman" w:eastAsia="等线" w:hAnsi="Times New Roman"/>
          <w:color w:val="000000"/>
          <w:sz w:val="24"/>
          <w:szCs w:val="24"/>
        </w:rPr>
        <w:t xml:space="preserve"> expression groups in GSE54236 and ICGC-LI</w:t>
      </w:r>
      <w:r w:rsidR="00086298" w:rsidRPr="00D83319">
        <w:rPr>
          <w:rFonts w:ascii="Times New Roman" w:eastAsia="等线" w:hAnsi="Times New Roman"/>
          <w:color w:val="000000"/>
          <w:sz w:val="24"/>
          <w:szCs w:val="24"/>
        </w:rPr>
        <w:t>RI.</w:t>
      </w:r>
      <w:r w:rsidR="00086298">
        <w:rPr>
          <w:rFonts w:ascii="Times New Roman" w:eastAsia="等线" w:hAnsi="Times New Roman"/>
          <w:b/>
          <w:bCs/>
          <w:color w:val="000000"/>
          <w:sz w:val="24"/>
          <w:szCs w:val="24"/>
        </w:rPr>
        <w:t xml:space="preserve"> </w:t>
      </w:r>
      <w:r w:rsidR="00494056">
        <w:rPr>
          <w:rFonts w:ascii="Times New Roman" w:eastAsia="等线" w:hAnsi="Times New Roman"/>
          <w:b/>
          <w:bCs/>
          <w:color w:val="000000"/>
          <w:sz w:val="24"/>
          <w:szCs w:val="24"/>
        </w:rPr>
        <w:t>(</w:t>
      </w:r>
      <w:r w:rsidR="00086298">
        <w:rPr>
          <w:rFonts w:ascii="Times New Roman" w:eastAsia="等线" w:hAnsi="Times New Roman"/>
          <w:b/>
          <w:bCs/>
          <w:color w:val="000000"/>
          <w:sz w:val="24"/>
          <w:szCs w:val="24"/>
        </w:rPr>
        <w:t>F</w:t>
      </w:r>
      <w:r w:rsidR="00494056">
        <w:rPr>
          <w:rFonts w:ascii="Times New Roman" w:eastAsia="等线" w:hAnsi="Times New Roman"/>
          <w:b/>
          <w:bCs/>
          <w:color w:val="000000"/>
          <w:sz w:val="24"/>
          <w:szCs w:val="24"/>
        </w:rPr>
        <w:t>)</w:t>
      </w:r>
      <w:r w:rsidR="00086298" w:rsidRPr="00086298">
        <w:rPr>
          <w:rFonts w:ascii="Times New Roman" w:eastAsia="等线" w:hAnsi="Times New Roman"/>
          <w:b/>
          <w:bCs/>
          <w:color w:val="000000"/>
          <w:sz w:val="24"/>
          <w:szCs w:val="24"/>
        </w:rPr>
        <w:t xml:space="preserve"> </w:t>
      </w:r>
      <w:r w:rsidR="00086298" w:rsidRPr="00825143">
        <w:rPr>
          <w:rFonts w:ascii="Times New Roman" w:eastAsia="等线" w:hAnsi="Times New Roman"/>
          <w:i/>
          <w:iCs/>
          <w:color w:val="000000"/>
          <w:sz w:val="24"/>
          <w:szCs w:val="24"/>
        </w:rPr>
        <w:t>SASS6</w:t>
      </w:r>
      <w:r w:rsidR="00086298" w:rsidRPr="00D83319">
        <w:rPr>
          <w:rFonts w:ascii="Times New Roman" w:eastAsia="等线" w:hAnsi="Times New Roman"/>
          <w:color w:val="000000"/>
          <w:sz w:val="24"/>
          <w:szCs w:val="24"/>
        </w:rPr>
        <w:t xml:space="preserve"> expression between HCC and normal tissue. </w:t>
      </w:r>
      <w:r w:rsidR="00494056">
        <w:rPr>
          <w:rFonts w:ascii="Times New Roman" w:eastAsia="等线" w:hAnsi="Times New Roman"/>
          <w:color w:val="000000"/>
          <w:sz w:val="24"/>
          <w:szCs w:val="24"/>
        </w:rPr>
        <w:t>(</w:t>
      </w:r>
      <w:r w:rsidR="00086298">
        <w:rPr>
          <w:rFonts w:ascii="Times New Roman" w:eastAsia="等线" w:hAnsi="Times New Roman"/>
          <w:b/>
          <w:bCs/>
          <w:color w:val="000000"/>
          <w:sz w:val="24"/>
          <w:szCs w:val="24"/>
        </w:rPr>
        <w:t>G</w:t>
      </w:r>
      <w:r w:rsidR="00494056">
        <w:rPr>
          <w:rFonts w:ascii="Times New Roman" w:eastAsia="等线" w:hAnsi="Times New Roman"/>
          <w:b/>
          <w:bCs/>
          <w:color w:val="000000"/>
          <w:sz w:val="24"/>
          <w:szCs w:val="24"/>
        </w:rPr>
        <w:t>)</w:t>
      </w:r>
      <w:r w:rsidR="00086298">
        <w:rPr>
          <w:rFonts w:ascii="Times New Roman" w:eastAsia="等线" w:hAnsi="Times New Roman"/>
          <w:b/>
          <w:bCs/>
          <w:color w:val="000000"/>
          <w:sz w:val="24"/>
          <w:szCs w:val="24"/>
        </w:rPr>
        <w:t xml:space="preserve"> </w:t>
      </w:r>
      <w:r w:rsidR="00086298" w:rsidRPr="00825143">
        <w:rPr>
          <w:rFonts w:ascii="Times New Roman" w:eastAsia="等线" w:hAnsi="Times New Roman"/>
          <w:i/>
          <w:iCs/>
          <w:color w:val="000000"/>
          <w:sz w:val="24"/>
          <w:szCs w:val="24"/>
        </w:rPr>
        <w:t>SASS6</w:t>
      </w:r>
      <w:r w:rsidR="00086298" w:rsidRPr="00D83319">
        <w:rPr>
          <w:rFonts w:ascii="Times New Roman" w:eastAsia="等线" w:hAnsi="Times New Roman"/>
          <w:color w:val="000000"/>
          <w:sz w:val="24"/>
          <w:szCs w:val="24"/>
        </w:rPr>
        <w:t xml:space="preserve"> expression in different grade of HCC.</w:t>
      </w:r>
      <w:r w:rsidR="00086298">
        <w:rPr>
          <w:rFonts w:ascii="Times New Roman" w:eastAsia="等线" w:hAnsi="Times New Roman"/>
          <w:b/>
          <w:bCs/>
          <w:color w:val="000000"/>
          <w:sz w:val="24"/>
          <w:szCs w:val="24"/>
        </w:rPr>
        <w:t xml:space="preserve"> </w:t>
      </w:r>
      <w:r w:rsidR="00494056">
        <w:rPr>
          <w:rFonts w:ascii="Times New Roman" w:eastAsia="等线" w:hAnsi="Times New Roman"/>
          <w:b/>
          <w:bCs/>
          <w:color w:val="000000"/>
          <w:sz w:val="24"/>
          <w:szCs w:val="24"/>
        </w:rPr>
        <w:t>(</w:t>
      </w:r>
      <w:r w:rsidR="00086298">
        <w:rPr>
          <w:rFonts w:ascii="Times New Roman" w:eastAsia="等线" w:hAnsi="Times New Roman"/>
          <w:b/>
          <w:bCs/>
          <w:color w:val="000000"/>
          <w:sz w:val="24"/>
          <w:szCs w:val="24"/>
        </w:rPr>
        <w:t>H-J</w:t>
      </w:r>
      <w:r w:rsidR="00494056">
        <w:rPr>
          <w:rFonts w:ascii="Times New Roman" w:eastAsia="等线" w:hAnsi="Times New Roman"/>
          <w:b/>
          <w:bCs/>
          <w:color w:val="000000"/>
          <w:sz w:val="24"/>
          <w:szCs w:val="24"/>
        </w:rPr>
        <w:t>)</w:t>
      </w:r>
      <w:r w:rsidR="00D83319">
        <w:t xml:space="preserve"> </w:t>
      </w:r>
      <w:r w:rsidR="00086298" w:rsidRPr="00D83319">
        <w:rPr>
          <w:rFonts w:ascii="Times New Roman" w:eastAsia="等线" w:hAnsi="Times New Roman"/>
          <w:color w:val="000000"/>
          <w:sz w:val="24"/>
          <w:szCs w:val="24"/>
        </w:rPr>
        <w:t xml:space="preserve">Gene set enrichment analysis of </w:t>
      </w:r>
      <w:r w:rsidR="00086298" w:rsidRPr="00825143">
        <w:rPr>
          <w:rFonts w:ascii="Times New Roman" w:eastAsia="等线" w:hAnsi="Times New Roman"/>
          <w:i/>
          <w:iCs/>
          <w:color w:val="000000"/>
          <w:sz w:val="24"/>
          <w:szCs w:val="24"/>
        </w:rPr>
        <w:t>SASS6</w:t>
      </w:r>
      <w:r w:rsidR="00D83319" w:rsidRPr="00D83319">
        <w:rPr>
          <w:rFonts w:ascii="Times New Roman" w:eastAsia="等线" w:hAnsi="Times New Roman"/>
          <w:color w:val="000000"/>
          <w:sz w:val="24"/>
          <w:szCs w:val="24"/>
        </w:rPr>
        <w:t>.</w:t>
      </w:r>
    </w:p>
    <w:sectPr w:rsidR="005B3432" w:rsidRPr="00D833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343E40" w14:textId="77777777" w:rsidR="0022327F" w:rsidRDefault="0022327F" w:rsidP="005B3432">
      <w:r>
        <w:separator/>
      </w:r>
    </w:p>
  </w:endnote>
  <w:endnote w:type="continuationSeparator" w:id="0">
    <w:p w14:paraId="05719767" w14:textId="77777777" w:rsidR="0022327F" w:rsidRDefault="0022327F" w:rsidP="005B3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EEC9E9" w14:textId="77777777" w:rsidR="0022327F" w:rsidRDefault="0022327F" w:rsidP="005B3432">
      <w:r>
        <w:separator/>
      </w:r>
    </w:p>
  </w:footnote>
  <w:footnote w:type="continuationSeparator" w:id="0">
    <w:p w14:paraId="7063B558" w14:textId="77777777" w:rsidR="0022327F" w:rsidRDefault="0022327F" w:rsidP="005B34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WM4MjQ0NTVmYTU2YzNmOWM4OTNmNDI4OWFlNTM0NzYifQ=="/>
  </w:docVars>
  <w:rsids>
    <w:rsidRoot w:val="00D511EE"/>
    <w:rsid w:val="0001410A"/>
    <w:rsid w:val="00086298"/>
    <w:rsid w:val="000D7616"/>
    <w:rsid w:val="000F7B44"/>
    <w:rsid w:val="00164C83"/>
    <w:rsid w:val="001D5F89"/>
    <w:rsid w:val="0022327F"/>
    <w:rsid w:val="00394709"/>
    <w:rsid w:val="00494056"/>
    <w:rsid w:val="005B3432"/>
    <w:rsid w:val="006672C8"/>
    <w:rsid w:val="00696E78"/>
    <w:rsid w:val="006C6EC7"/>
    <w:rsid w:val="00825143"/>
    <w:rsid w:val="009356C9"/>
    <w:rsid w:val="00A5419A"/>
    <w:rsid w:val="00B74B27"/>
    <w:rsid w:val="00C202CE"/>
    <w:rsid w:val="00D50CFA"/>
    <w:rsid w:val="00D511EE"/>
    <w:rsid w:val="00D83319"/>
    <w:rsid w:val="00E27904"/>
    <w:rsid w:val="00E83AA9"/>
    <w:rsid w:val="49D81C0C"/>
    <w:rsid w:val="4A3504FC"/>
    <w:rsid w:val="75F05A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5E7A6B"/>
  <w15:docId w15:val="{F4BFFE5E-3619-45F9-851B-2BE7D44FD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B3432"/>
    <w:pPr>
      <w:tabs>
        <w:tab w:val="center" w:pos="4153"/>
        <w:tab w:val="right" w:pos="8306"/>
      </w:tabs>
      <w:snapToGrid w:val="0"/>
      <w:jc w:val="center"/>
    </w:pPr>
    <w:rPr>
      <w:sz w:val="18"/>
      <w:szCs w:val="18"/>
    </w:rPr>
  </w:style>
  <w:style w:type="character" w:customStyle="1" w:styleId="a4">
    <w:name w:val="页眉 字符"/>
    <w:basedOn w:val="a0"/>
    <w:link w:val="a3"/>
    <w:rsid w:val="005B3432"/>
    <w:rPr>
      <w:kern w:val="2"/>
      <w:sz w:val="18"/>
      <w:szCs w:val="18"/>
    </w:rPr>
  </w:style>
  <w:style w:type="paragraph" w:styleId="a5">
    <w:name w:val="footer"/>
    <w:basedOn w:val="a"/>
    <w:link w:val="a6"/>
    <w:rsid w:val="005B3432"/>
    <w:pPr>
      <w:tabs>
        <w:tab w:val="center" w:pos="4153"/>
        <w:tab w:val="right" w:pos="8306"/>
      </w:tabs>
      <w:snapToGrid w:val="0"/>
      <w:jc w:val="left"/>
    </w:pPr>
    <w:rPr>
      <w:sz w:val="18"/>
      <w:szCs w:val="18"/>
    </w:rPr>
  </w:style>
  <w:style w:type="character" w:customStyle="1" w:styleId="a6">
    <w:name w:val="页脚 字符"/>
    <w:basedOn w:val="a0"/>
    <w:link w:val="a5"/>
    <w:rsid w:val="005B3432"/>
    <w:rPr>
      <w:kern w:val="2"/>
      <w:sz w:val="18"/>
      <w:szCs w:val="18"/>
    </w:rPr>
  </w:style>
  <w:style w:type="paragraph" w:styleId="a7">
    <w:name w:val="Revision"/>
    <w:hidden/>
    <w:uiPriority w:val="99"/>
    <w:unhideWhenUsed/>
    <w:rsid w:val="006C6EC7"/>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385</Words>
  <Characters>2196</Characters>
  <Application>Microsoft Office Word</Application>
  <DocSecurity>0</DocSecurity>
  <Lines>18</Lines>
  <Paragraphs>5</Paragraphs>
  <ScaleCrop>false</ScaleCrop>
  <Company/>
  <LinksUpToDate>false</LinksUpToDate>
  <CharactersWithSpaces>2576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86152</dc:creator>
  <cp:lastModifiedBy>金香 吕</cp:lastModifiedBy>
  <cp:revision>4</cp:revision>
  <dcterms:created xsi:type="dcterms:W3CDTF">2023-09-25T03:09:00Z</dcterms:created>
  <dcterms:modified xsi:type="dcterms:W3CDTF">2023-10-16T14:55:00Z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C110C2484C444DA3809E833AAB521F62</vt:lpwstr>
  </property>
</Properties>
</file>