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6" w:rsidRDefault="007424F9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424F9">
        <w:rPr>
          <w:rStyle w:val="current-selection"/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Figures and details:</w:t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50926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drawing>
          <wp:inline distT="0" distB="0" distL="0" distR="0">
            <wp:extent cx="5943600" cy="4343400"/>
            <wp:effectExtent l="38100" t="0" r="1905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723A9" w:rsidRPr="00B805AD" w:rsidRDefault="009E18E5" w:rsidP="00A723A9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Figure 1</w:t>
      </w:r>
      <w:r w:rsidR="00A723A9" w:rsidRPr="00B805AD">
        <w:rPr>
          <w:rFonts w:ascii="Times New Roman" w:hAnsi="Times New Roman"/>
          <w:sz w:val="20"/>
          <w:szCs w:val="20"/>
        </w:rPr>
        <w:t>.</w:t>
      </w:r>
      <w:proofErr w:type="gramEnd"/>
      <w:r w:rsidR="00A723A9" w:rsidRPr="00B805AD">
        <w:rPr>
          <w:rFonts w:ascii="Times New Roman" w:hAnsi="Times New Roman"/>
          <w:sz w:val="20"/>
          <w:szCs w:val="20"/>
        </w:rPr>
        <w:t xml:space="preserve"> Comparison of Ethanol percentage in various Jackfruit sample</w:t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50926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lastRenderedPageBreak/>
        <w:drawing>
          <wp:inline distT="0" distB="0" distL="0" distR="0">
            <wp:extent cx="6019800" cy="4924425"/>
            <wp:effectExtent l="38100" t="0" r="1905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B805AD" w:rsidRDefault="009E18E5" w:rsidP="007424F9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Figure 2</w:t>
      </w:r>
      <w:r w:rsidR="007424F9" w:rsidRPr="00B805AD">
        <w:rPr>
          <w:rFonts w:ascii="Times New Roman" w:hAnsi="Times New Roman"/>
          <w:sz w:val="18"/>
          <w:szCs w:val="18"/>
        </w:rPr>
        <w:t>.</w:t>
      </w:r>
      <w:proofErr w:type="gramEnd"/>
      <w:r w:rsidR="007424F9" w:rsidRPr="00B805AD">
        <w:rPr>
          <w:rFonts w:ascii="Times New Roman" w:hAnsi="Times New Roman"/>
          <w:sz w:val="18"/>
          <w:szCs w:val="18"/>
        </w:rPr>
        <w:t xml:space="preserve"> Comparison of ethanol percen</w:t>
      </w:r>
      <w:r w:rsidR="00113D4A">
        <w:rPr>
          <w:rFonts w:ascii="Times New Roman" w:hAnsi="Times New Roman"/>
          <w:sz w:val="18"/>
          <w:szCs w:val="18"/>
        </w:rPr>
        <w:t>tage in Rain tree leaves sample</w:t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0926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4103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lastRenderedPageBreak/>
        <w:drawing>
          <wp:inline distT="0" distB="0" distL="0" distR="0">
            <wp:extent cx="5512594" cy="4229101"/>
            <wp:effectExtent l="19050" t="0" r="11906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B805AD" w:rsidRDefault="009E18E5" w:rsidP="007424F9">
      <w:pPr>
        <w:tabs>
          <w:tab w:val="left" w:pos="763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t>Figure 3</w:t>
      </w:r>
      <w:r w:rsidR="007424F9" w:rsidRPr="00B805AD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="007424F9" w:rsidRPr="00B805AD">
        <w:rPr>
          <w:rFonts w:ascii="Times New Roman" w:hAnsi="Times New Roman"/>
          <w:sz w:val="20"/>
          <w:szCs w:val="20"/>
        </w:rPr>
        <w:t>Variation of BSFC with BP for Diesel and various blend of ethanol</w:t>
      </w:r>
    </w:p>
    <w:p w:rsidR="00750926" w:rsidRDefault="00750926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974FC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drawing>
          <wp:inline distT="0" distB="0" distL="0" distR="0">
            <wp:extent cx="5943600" cy="4257675"/>
            <wp:effectExtent l="19050" t="0" r="19050" b="0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B805AD" w:rsidRDefault="009E18E5" w:rsidP="007424F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Figure 4</w:t>
      </w:r>
      <w:r w:rsidR="007424F9" w:rsidRPr="00B805AD">
        <w:rPr>
          <w:rFonts w:ascii="Times New Roman" w:hAnsi="Times New Roman"/>
          <w:sz w:val="20"/>
          <w:szCs w:val="20"/>
        </w:rPr>
        <w:t>. Variation of BTE with BP for Diesel and various blend of ethanol</w:t>
      </w: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974FC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drawing>
          <wp:inline distT="0" distB="0" distL="0" distR="0">
            <wp:extent cx="5886450" cy="3333750"/>
            <wp:effectExtent l="19050" t="0" r="19050" b="0"/>
            <wp:docPr id="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B805AD" w:rsidRDefault="009E18E5" w:rsidP="007424F9">
      <w:pPr>
        <w:spacing w:after="0"/>
        <w:rPr>
          <w:rFonts w:ascii="Times New Roman" w:hAnsi="Times New Roman"/>
          <w:noProof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t>Figure 5</w:t>
      </w:r>
      <w:r w:rsidR="007424F9" w:rsidRPr="00B805AD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="007424F9" w:rsidRPr="00B805AD">
        <w:rPr>
          <w:rFonts w:ascii="Times New Roman" w:hAnsi="Times New Roman"/>
          <w:sz w:val="20"/>
          <w:szCs w:val="20"/>
        </w:rPr>
        <w:t>Variation of EGT with BP for Diesel and various blend of ethanol</w:t>
      </w: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74FC" w:rsidRDefault="008974FC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706D4" w:rsidRDefault="00D706D4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706D4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lastRenderedPageBreak/>
        <w:drawing>
          <wp:inline distT="0" distB="0" distL="0" distR="0">
            <wp:extent cx="5886450" cy="3600450"/>
            <wp:effectExtent l="19050" t="0" r="19050" b="0"/>
            <wp:docPr id="8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706D4" w:rsidRDefault="00D706D4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B805AD" w:rsidRDefault="009E18E5" w:rsidP="007424F9">
      <w:pPr>
        <w:tabs>
          <w:tab w:val="left" w:pos="763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t>Figure 6</w:t>
      </w:r>
      <w:r w:rsidR="007424F9" w:rsidRPr="00B805AD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="007424F9" w:rsidRPr="00B805AD">
        <w:rPr>
          <w:rFonts w:ascii="Times New Roman" w:hAnsi="Times New Roman"/>
          <w:sz w:val="20"/>
          <w:szCs w:val="20"/>
        </w:rPr>
        <w:t>Variation of Peak pressure rise with BP for Diesel and various blend of ethanol</w:t>
      </w:r>
    </w:p>
    <w:p w:rsidR="00814103" w:rsidRDefault="00814103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86FFD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drawing>
          <wp:inline distT="0" distB="0" distL="0" distR="0">
            <wp:extent cx="5657850" cy="4933950"/>
            <wp:effectExtent l="19050" t="0" r="19050" b="0"/>
            <wp:docPr id="9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86FFD" w:rsidRDefault="00586FFD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B805AD" w:rsidRDefault="009E18E5" w:rsidP="007424F9">
      <w:pPr>
        <w:tabs>
          <w:tab w:val="left" w:pos="763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t>Figure 7</w:t>
      </w:r>
      <w:r w:rsidR="007424F9" w:rsidRPr="00B805AD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="007424F9" w:rsidRPr="00B805AD">
        <w:rPr>
          <w:rFonts w:ascii="Times New Roman" w:hAnsi="Times New Roman"/>
          <w:sz w:val="20"/>
          <w:szCs w:val="20"/>
        </w:rPr>
        <w:t>Variation of CO emissions with BP for Diesel and various blend of ethanol</w:t>
      </w: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E6942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lastRenderedPageBreak/>
        <w:drawing>
          <wp:inline distT="0" distB="0" distL="0" distR="0">
            <wp:extent cx="5943600" cy="3719830"/>
            <wp:effectExtent l="19050" t="0" r="19050" b="0"/>
            <wp:docPr id="10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921C88" w:rsidRDefault="009E18E5" w:rsidP="007424F9">
      <w:pPr>
        <w:tabs>
          <w:tab w:val="left" w:pos="763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t>Figure 8</w:t>
      </w:r>
      <w:r w:rsidR="007424F9" w:rsidRPr="00921C88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="007424F9" w:rsidRPr="00921C88">
        <w:rPr>
          <w:rFonts w:ascii="Times New Roman" w:hAnsi="Times New Roman"/>
          <w:sz w:val="20"/>
          <w:szCs w:val="20"/>
        </w:rPr>
        <w:t>Variation of CO</w:t>
      </w:r>
      <w:r w:rsidR="007424F9" w:rsidRPr="00921C88">
        <w:rPr>
          <w:rFonts w:ascii="Times New Roman" w:hAnsi="Times New Roman"/>
          <w:sz w:val="20"/>
          <w:szCs w:val="20"/>
          <w:vertAlign w:val="subscript"/>
        </w:rPr>
        <w:t>2</w:t>
      </w:r>
      <w:r w:rsidR="007424F9" w:rsidRPr="00921C88">
        <w:rPr>
          <w:rFonts w:ascii="Times New Roman" w:hAnsi="Times New Roman"/>
          <w:sz w:val="20"/>
          <w:szCs w:val="20"/>
        </w:rPr>
        <w:t xml:space="preserve"> emissions with BP for Diesel and various blend of ethanol</w:t>
      </w: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279EE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lastRenderedPageBreak/>
        <w:drawing>
          <wp:inline distT="0" distB="0" distL="0" distR="0">
            <wp:extent cx="5943600" cy="3420110"/>
            <wp:effectExtent l="19050" t="0" r="19050" b="8890"/>
            <wp:docPr id="11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921C88" w:rsidRDefault="009E18E5" w:rsidP="007424F9">
      <w:pPr>
        <w:tabs>
          <w:tab w:val="left" w:pos="763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t>Figure 9</w:t>
      </w:r>
      <w:r w:rsidR="007424F9" w:rsidRPr="00921C88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="007424F9" w:rsidRPr="00921C88">
        <w:rPr>
          <w:rFonts w:ascii="Times New Roman" w:hAnsi="Times New Roman"/>
          <w:sz w:val="20"/>
          <w:szCs w:val="20"/>
        </w:rPr>
        <w:t>Variation of HC emissions with BP for Diesel and various blend of ethanol</w:t>
      </w: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E6942" w:rsidRDefault="00CE6942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7279E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279E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5577E">
        <w:rPr>
          <w:rStyle w:val="current-selection"/>
          <w:rFonts w:ascii="Times New Roman" w:hAnsi="Times New Roman"/>
          <w:noProof/>
          <w:color w:val="000000"/>
          <w:sz w:val="24"/>
          <w:szCs w:val="24"/>
          <w:shd w:val="clear" w:color="auto" w:fill="FFFFFF"/>
          <w:lang w:val="en-US" w:eastAsia="en-US"/>
        </w:rPr>
        <w:drawing>
          <wp:inline distT="0" distB="0" distL="0" distR="0">
            <wp:extent cx="5943600" cy="3569970"/>
            <wp:effectExtent l="19050" t="0" r="19050" b="0"/>
            <wp:docPr id="12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24F9" w:rsidRPr="00921C88" w:rsidRDefault="007424F9" w:rsidP="007424F9">
      <w:pPr>
        <w:tabs>
          <w:tab w:val="left" w:pos="7635"/>
        </w:tabs>
        <w:rPr>
          <w:rFonts w:ascii="Times New Roman" w:hAnsi="Times New Roman"/>
          <w:sz w:val="20"/>
          <w:szCs w:val="20"/>
        </w:rPr>
      </w:pPr>
      <w:r w:rsidRPr="00921C88">
        <w:rPr>
          <w:rFonts w:ascii="Times New Roman" w:hAnsi="Times New Roman"/>
          <w:noProof/>
          <w:color w:val="000000"/>
          <w:sz w:val="20"/>
          <w:szCs w:val="20"/>
        </w:rPr>
        <w:t>Figure 1</w:t>
      </w:r>
      <w:r w:rsidR="009E18E5">
        <w:rPr>
          <w:rFonts w:ascii="Times New Roman" w:hAnsi="Times New Roman"/>
          <w:noProof/>
          <w:color w:val="000000"/>
          <w:sz w:val="20"/>
          <w:szCs w:val="20"/>
        </w:rPr>
        <w:t>0</w:t>
      </w:r>
      <w:r w:rsidRPr="00921C88">
        <w:rPr>
          <w:rFonts w:ascii="Times New Roman" w:hAnsi="Times New Roman"/>
          <w:noProof/>
          <w:color w:val="000000"/>
          <w:sz w:val="20"/>
          <w:szCs w:val="20"/>
        </w:rPr>
        <w:t xml:space="preserve">. </w:t>
      </w:r>
      <w:r w:rsidRPr="00921C88">
        <w:rPr>
          <w:rFonts w:ascii="Times New Roman" w:hAnsi="Times New Roman"/>
          <w:sz w:val="20"/>
          <w:szCs w:val="20"/>
        </w:rPr>
        <w:t xml:space="preserve">Variation of </w:t>
      </w:r>
      <w:proofErr w:type="spellStart"/>
      <w:r w:rsidRPr="00921C88">
        <w:rPr>
          <w:rFonts w:ascii="Times New Roman" w:hAnsi="Times New Roman"/>
          <w:sz w:val="20"/>
          <w:szCs w:val="20"/>
        </w:rPr>
        <w:t>NO</w:t>
      </w:r>
      <w:r w:rsidRPr="00921C88">
        <w:rPr>
          <w:rFonts w:ascii="Times New Roman" w:hAnsi="Times New Roman"/>
          <w:sz w:val="20"/>
          <w:szCs w:val="20"/>
          <w:vertAlign w:val="subscript"/>
        </w:rPr>
        <w:t>x</w:t>
      </w:r>
      <w:proofErr w:type="spellEnd"/>
      <w:r w:rsidRPr="00921C88">
        <w:rPr>
          <w:rFonts w:ascii="Times New Roman" w:hAnsi="Times New Roman"/>
          <w:sz w:val="20"/>
          <w:szCs w:val="20"/>
        </w:rPr>
        <w:t xml:space="preserve"> emissions with BP for Diesel and various blend of ethanol</w:t>
      </w: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6067425" cy="3648654"/>
            <wp:effectExtent l="19050" t="0" r="9525" b="0"/>
            <wp:docPr id="6" name="Picture 6" descr="F:\project work\New folder (2)\Untitledfinal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roject work\New folder (2)\Untitledfinal.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64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Pr="0005594F" w:rsidRDefault="009E18E5" w:rsidP="009E18E5">
      <w:pPr>
        <w:pStyle w:val="Caption"/>
        <w:ind w:left="0"/>
      </w:pPr>
      <w:r w:rsidRPr="0005594F">
        <w:t>Figure 1</w:t>
      </w:r>
      <w:r>
        <w:t>1</w:t>
      </w:r>
      <w:r w:rsidRPr="0005594F">
        <w:t>. Line diagram of  single cylinder,</w:t>
      </w:r>
      <w:r w:rsidR="00113D4A">
        <w:t xml:space="preserve"> </w:t>
      </w:r>
      <w:r w:rsidRPr="0005594F">
        <w:t>four stroke Diesel engine</w:t>
      </w: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4857750" cy="2581275"/>
            <wp:effectExtent l="19050" t="0" r="0" b="0"/>
            <wp:docPr id="13" name="Picture 7" descr="Image result for AVL DI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AVL DIGAS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9E18E5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Pr="0005594F" w:rsidRDefault="009E18E5" w:rsidP="00113D4A">
      <w:pPr>
        <w:tabs>
          <w:tab w:val="center" w:pos="4680"/>
        </w:tabs>
        <w:jc w:val="both"/>
        <w:rPr>
          <w:rFonts w:ascii="Times New Roman" w:hAnsi="Times New Roman"/>
          <w:sz w:val="20"/>
          <w:szCs w:val="20"/>
        </w:rPr>
      </w:pPr>
      <w:r w:rsidRPr="0005594F">
        <w:rPr>
          <w:rFonts w:ascii="Times New Roman" w:hAnsi="Times New Roman"/>
          <w:sz w:val="20"/>
          <w:szCs w:val="20"/>
        </w:rPr>
        <w:t xml:space="preserve">Figure </w:t>
      </w:r>
      <w:r>
        <w:rPr>
          <w:rFonts w:ascii="Times New Roman" w:hAnsi="Times New Roman"/>
          <w:sz w:val="20"/>
          <w:szCs w:val="20"/>
        </w:rPr>
        <w:t>1</w:t>
      </w:r>
      <w:r w:rsidRPr="0005594F">
        <w:rPr>
          <w:rFonts w:ascii="Times New Roman" w:hAnsi="Times New Roman"/>
          <w:sz w:val="20"/>
          <w:szCs w:val="20"/>
        </w:rPr>
        <w:t>2. Exhaust gas analyser</w:t>
      </w:r>
      <w:r w:rsidR="00113D4A">
        <w:rPr>
          <w:rFonts w:ascii="Times New Roman" w:hAnsi="Times New Roman"/>
          <w:sz w:val="20"/>
          <w:szCs w:val="20"/>
        </w:rPr>
        <w:tab/>
      </w: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18E5" w:rsidRDefault="009E18E5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5577E" w:rsidRDefault="00B5577E" w:rsidP="00176C47">
      <w:pPr>
        <w:autoSpaceDE w:val="0"/>
        <w:autoSpaceDN w:val="0"/>
        <w:adjustRightInd w:val="0"/>
        <w:spacing w:after="0"/>
        <w:jc w:val="both"/>
        <w:rPr>
          <w:rStyle w:val="current-selection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B5577E" w:rsidSect="00F9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7F63"/>
    <w:multiLevelType w:val="hybridMultilevel"/>
    <w:tmpl w:val="BE46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3770C"/>
    <w:multiLevelType w:val="hybridMultilevel"/>
    <w:tmpl w:val="E1F63D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E1147F"/>
    <w:multiLevelType w:val="hybridMultilevel"/>
    <w:tmpl w:val="FBE66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6C47"/>
    <w:rsid w:val="000444DB"/>
    <w:rsid w:val="000F2551"/>
    <w:rsid w:val="00106740"/>
    <w:rsid w:val="00113D4A"/>
    <w:rsid w:val="00176C47"/>
    <w:rsid w:val="001A054E"/>
    <w:rsid w:val="001B595B"/>
    <w:rsid w:val="002024CC"/>
    <w:rsid w:val="002F2BCB"/>
    <w:rsid w:val="00381E77"/>
    <w:rsid w:val="00397ACE"/>
    <w:rsid w:val="003F0921"/>
    <w:rsid w:val="0048233A"/>
    <w:rsid w:val="004D5C5C"/>
    <w:rsid w:val="00586FFD"/>
    <w:rsid w:val="005D3F98"/>
    <w:rsid w:val="005E43B2"/>
    <w:rsid w:val="007279EE"/>
    <w:rsid w:val="007424F9"/>
    <w:rsid w:val="00750926"/>
    <w:rsid w:val="00814103"/>
    <w:rsid w:val="008974FC"/>
    <w:rsid w:val="00923302"/>
    <w:rsid w:val="009B40DE"/>
    <w:rsid w:val="009E18E5"/>
    <w:rsid w:val="00A67293"/>
    <w:rsid w:val="00A723A9"/>
    <w:rsid w:val="00B5577E"/>
    <w:rsid w:val="00CE6942"/>
    <w:rsid w:val="00CF032A"/>
    <w:rsid w:val="00D0616B"/>
    <w:rsid w:val="00D706D4"/>
    <w:rsid w:val="00D85F05"/>
    <w:rsid w:val="00DF0A87"/>
    <w:rsid w:val="00E77200"/>
    <w:rsid w:val="00EC5638"/>
    <w:rsid w:val="00F05E90"/>
    <w:rsid w:val="00F177AD"/>
    <w:rsid w:val="00F94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w w:val="85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C47"/>
    <w:pPr>
      <w:spacing w:after="200" w:line="276" w:lineRule="auto"/>
      <w:jc w:val="left"/>
    </w:pPr>
    <w:rPr>
      <w:rFonts w:ascii="Calibri" w:eastAsia="Times New Roman" w:hAnsi="Calibri" w:cs="Times New Roman"/>
      <w:w w:val="100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6C47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w w:val="100"/>
      <w:sz w:val="24"/>
      <w:szCs w:val="24"/>
      <w:lang w:val="en-IN" w:eastAsia="en-IN"/>
    </w:rPr>
  </w:style>
  <w:style w:type="character" w:styleId="Hyperlink">
    <w:name w:val="Hyperlink"/>
    <w:uiPriority w:val="99"/>
    <w:unhideWhenUsed/>
    <w:rsid w:val="00176C47"/>
    <w:rPr>
      <w:color w:val="0000FF"/>
      <w:u w:val="single"/>
    </w:rPr>
  </w:style>
  <w:style w:type="character" w:customStyle="1" w:styleId="current-selection">
    <w:name w:val="current-selection"/>
    <w:basedOn w:val="DefaultParagraphFont"/>
    <w:rsid w:val="00176C47"/>
  </w:style>
  <w:style w:type="paragraph" w:styleId="BalloonText">
    <w:name w:val="Balloon Text"/>
    <w:basedOn w:val="Normal"/>
    <w:link w:val="BalloonTextChar"/>
    <w:uiPriority w:val="99"/>
    <w:semiHidden/>
    <w:unhideWhenUsed/>
    <w:rsid w:val="0017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47"/>
    <w:rPr>
      <w:rFonts w:ascii="Tahoma" w:eastAsia="Times New Roman" w:hAnsi="Tahoma" w:cs="Tahoma"/>
      <w:w w:val="100"/>
      <w:sz w:val="16"/>
      <w:szCs w:val="16"/>
      <w:lang w:val="en-IN" w:eastAsia="en-IN"/>
    </w:rPr>
  </w:style>
  <w:style w:type="paragraph" w:styleId="ListParagraph">
    <w:name w:val="List Paragraph"/>
    <w:basedOn w:val="Normal"/>
    <w:uiPriority w:val="34"/>
    <w:qFormat/>
    <w:rsid w:val="004D5C5C"/>
    <w:pPr>
      <w:ind w:left="720"/>
      <w:contextualSpacing/>
    </w:pPr>
  </w:style>
  <w:style w:type="paragraph" w:styleId="Caption">
    <w:name w:val="caption"/>
    <w:basedOn w:val="Normal"/>
    <w:next w:val="Normal"/>
    <w:autoRedefine/>
    <w:uiPriority w:val="35"/>
    <w:unhideWhenUsed/>
    <w:qFormat/>
    <w:rsid w:val="00A723A9"/>
    <w:pPr>
      <w:keepNext/>
      <w:spacing w:after="0" w:line="240" w:lineRule="auto"/>
      <w:ind w:left="360"/>
      <w:jc w:val="both"/>
    </w:pPr>
    <w:rPr>
      <w:rFonts w:ascii="Times New Roman" w:eastAsia="Calibri" w:hAnsi="Times New Roman"/>
      <w:iCs/>
      <w:noProof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bathula\Vikas\Journal%20Review\project%20graph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bathula\Vikas\Journal%20Review\project%20graph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thula\Vikas\Journal%20Review\project%20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0703762441177653"/>
          <c:y val="5.4575018477457445E-2"/>
          <c:w val="0.89097529194483305"/>
          <c:h val="0.83964034429177703"/>
        </c:manualLayout>
      </c:layout>
      <c:barChart>
        <c:barDir val="col"/>
        <c:grouping val="stacked"/>
        <c:ser>
          <c:idx val="0"/>
          <c:order val="0"/>
          <c:tx>
            <c:strRef>
              <c:f>Sheet9!$C$6</c:f>
              <c:strCache>
                <c:ptCount val="1"/>
                <c:pt idx="0">
                  <c:v>Ethanol Percentage(%)</c:v>
                </c:pt>
              </c:strCache>
            </c:strRef>
          </c:tx>
          <c:spPr>
            <a:effectLst>
              <a:outerShdw blurRad="50800" dist="50800" dir="5400000" algn="ctr" rotWithShape="0">
                <a:schemeClr val="tx1"/>
              </a:outerShdw>
            </a:effectLst>
          </c:spPr>
          <c:dLbls>
            <c:dLbl>
              <c:idx val="0"/>
              <c:layout>
                <c:manualLayout>
                  <c:x val="-2.778013340737124E-3"/>
                  <c:y val="-0.4521669001901078"/>
                </c:manualLayout>
              </c:layout>
              <c:showVal val="1"/>
            </c:dLbl>
            <c:dLbl>
              <c:idx val="1"/>
              <c:layout>
                <c:manualLayout>
                  <c:x val="-3.6883351029597441E-3"/>
                  <c:y val="-0.18227432097303625"/>
                </c:manualLayout>
              </c:layout>
              <c:showVal val="1"/>
            </c:dLbl>
            <c:dLbl>
              <c:idx val="2"/>
              <c:layout>
                <c:manualLayout>
                  <c:x val="-1.8672559483842264E-3"/>
                  <c:y val="-0.26611989290812327"/>
                </c:manualLayout>
              </c:layout>
              <c:showVal val="1"/>
            </c:dLbl>
            <c:dLbl>
              <c:idx val="3"/>
              <c:layout>
                <c:manualLayout>
                  <c:x val="-2.7777229206502659E-3"/>
                  <c:y val="-0.28786033324781951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0.33284234207566293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0.3510940079858455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0.36366480505726423"/>
                </c:manualLayout>
              </c:layout>
              <c:showVal val="1"/>
            </c:dLbl>
            <c:dLbl>
              <c:idx val="7"/>
              <c:layout>
                <c:manualLayout>
                  <c:x val="-8.9347739718548085E-4"/>
                  <c:y val="-0.41070918766733105"/>
                </c:manualLayout>
              </c:layout>
              <c:showVal val="1"/>
            </c:dLbl>
            <c:dLbl>
              <c:idx val="8"/>
              <c:layout>
                <c:manualLayout>
                  <c:x val="-3.8683955568050233E-3"/>
                  <c:y val="-0.24562035008781796"/>
                </c:manualLayout>
              </c:layout>
              <c:showVal val="1"/>
            </c:dLbl>
            <c:delete val="1"/>
          </c:dLbls>
          <c:cat>
            <c:numRef>
              <c:f>Sheet9!$B$7:$B$15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Sheet9!$C$7:$C$15</c:f>
              <c:numCache>
                <c:formatCode>General</c:formatCode>
                <c:ptCount val="9"/>
                <c:pt idx="0">
                  <c:v>4.34</c:v>
                </c:pt>
                <c:pt idx="1">
                  <c:v>1.6</c:v>
                </c:pt>
                <c:pt idx="2">
                  <c:v>2.27</c:v>
                </c:pt>
                <c:pt idx="3">
                  <c:v>2.5099999999999998</c:v>
                </c:pt>
                <c:pt idx="4">
                  <c:v>3.15</c:v>
                </c:pt>
                <c:pt idx="5">
                  <c:v>3.3299999999999987</c:v>
                </c:pt>
                <c:pt idx="6">
                  <c:v>3.51</c:v>
                </c:pt>
                <c:pt idx="7">
                  <c:v>4.2300000000000004</c:v>
                </c:pt>
                <c:pt idx="8">
                  <c:v>1.9300000000000015</c:v>
                </c:pt>
              </c:numCache>
            </c:numRef>
          </c:val>
        </c:ser>
        <c:overlap val="100"/>
        <c:axId val="109590400"/>
        <c:axId val="109650304"/>
      </c:barChart>
      <c:catAx>
        <c:axId val="109590400"/>
        <c:scaling>
          <c:orientation val="minMax"/>
        </c:scaling>
        <c:axPos val="b"/>
        <c:numFmt formatCode="@" sourceLinked="0"/>
        <c:tickLblPos val="low"/>
        <c:spPr>
          <a:noFill/>
        </c:spPr>
        <c:txPr>
          <a:bodyPr rot="0" anchor="t" anchorCtr="0"/>
          <a:lstStyle/>
          <a:p>
            <a:pPr>
              <a:defRPr/>
            </a:pPr>
            <a:endParaRPr lang="en-US"/>
          </a:p>
        </c:txPr>
        <c:crossAx val="109650304"/>
        <c:crosses val="autoZero"/>
        <c:lblAlgn val="ctr"/>
        <c:lblOffset val="0"/>
        <c:tickLblSkip val="1"/>
      </c:catAx>
      <c:valAx>
        <c:axId val="109650304"/>
        <c:scaling>
          <c:orientation val="minMax"/>
        </c:scaling>
        <c:axPos val="l"/>
        <c:numFmt formatCode="General" sourceLinked="1"/>
        <c:tickLblPos val="nextTo"/>
        <c:crossAx val="109590400"/>
        <c:crosses val="autoZero"/>
        <c:crossBetween val="between"/>
      </c:valAx>
      <c:spPr>
        <a:ln>
          <a:noFill/>
        </a:ln>
        <a:effectLst>
          <a:outerShdw blurRad="50800" dist="50800" dir="5400000" algn="ctr" rotWithShape="0">
            <a:schemeClr val="bg1"/>
          </a:outerShdw>
        </a:effectLst>
      </c:spPr>
    </c:plotArea>
    <c:plotVisOnly val="1"/>
  </c:chart>
  <c:spPr>
    <a:noFill/>
  </c:spPr>
  <c:txPr>
    <a:bodyPr/>
    <a:lstStyle/>
    <a:p>
      <a:pPr>
        <a:defRPr sz="1200">
          <a:latin typeface="Arial Black" pitchFamily="34" charset="0"/>
        </a:defRPr>
      </a:pPr>
      <a:endParaRPr lang="en-US"/>
    </a:p>
  </c:txPr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tx>
            <c:v>Diesel</c:v>
          </c:tx>
          <c:cat>
            <c:numRef>
              <c:f>Sheet8!$B$10:$B$16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Sheet8!$C$10:$C$16</c:f>
              <c:numCache>
                <c:formatCode>General</c:formatCode>
                <c:ptCount val="7"/>
                <c:pt idx="0">
                  <c:v>100</c:v>
                </c:pt>
                <c:pt idx="1">
                  <c:v>230</c:v>
                </c:pt>
                <c:pt idx="2">
                  <c:v>440</c:v>
                </c:pt>
                <c:pt idx="3">
                  <c:v>680</c:v>
                </c:pt>
                <c:pt idx="4">
                  <c:v>850</c:v>
                </c:pt>
                <c:pt idx="5">
                  <c:v>1090</c:v>
                </c:pt>
                <c:pt idx="6">
                  <c:v>1200</c:v>
                </c:pt>
              </c:numCache>
            </c:numRef>
          </c:val>
        </c:ser>
        <c:ser>
          <c:idx val="1"/>
          <c:order val="1"/>
          <c:tx>
            <c:v>5% Blend</c:v>
          </c:tx>
          <c:cat>
            <c:numRef>
              <c:f>Sheet8!$B$10:$B$16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Sheet8!$D$10:$D$16</c:f>
              <c:numCache>
                <c:formatCode>General</c:formatCode>
                <c:ptCount val="7"/>
                <c:pt idx="0">
                  <c:v>90</c:v>
                </c:pt>
                <c:pt idx="1">
                  <c:v>210</c:v>
                </c:pt>
                <c:pt idx="2">
                  <c:v>420</c:v>
                </c:pt>
                <c:pt idx="3">
                  <c:v>640</c:v>
                </c:pt>
                <c:pt idx="4">
                  <c:v>790</c:v>
                </c:pt>
                <c:pt idx="5">
                  <c:v>980</c:v>
                </c:pt>
                <c:pt idx="6">
                  <c:v>1100</c:v>
                </c:pt>
              </c:numCache>
            </c:numRef>
          </c:val>
        </c:ser>
        <c:ser>
          <c:idx val="2"/>
          <c:order val="2"/>
          <c:tx>
            <c:v>10% Blend</c:v>
          </c:tx>
          <c:cat>
            <c:numRef>
              <c:f>Sheet8!$B$10:$B$16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Sheet8!$E$10:$E$16</c:f>
              <c:numCache>
                <c:formatCode>General</c:formatCode>
                <c:ptCount val="7"/>
                <c:pt idx="0">
                  <c:v>70</c:v>
                </c:pt>
                <c:pt idx="1">
                  <c:v>190</c:v>
                </c:pt>
                <c:pt idx="2">
                  <c:v>400</c:v>
                </c:pt>
                <c:pt idx="3">
                  <c:v>620</c:v>
                </c:pt>
                <c:pt idx="4">
                  <c:v>760</c:v>
                </c:pt>
                <c:pt idx="5">
                  <c:v>950</c:v>
                </c:pt>
                <c:pt idx="6">
                  <c:v>1040</c:v>
                </c:pt>
              </c:numCache>
            </c:numRef>
          </c:val>
        </c:ser>
        <c:ser>
          <c:idx val="3"/>
          <c:order val="3"/>
          <c:tx>
            <c:v>15% Blend</c:v>
          </c:tx>
          <c:cat>
            <c:numRef>
              <c:f>Sheet8!$B$10:$B$16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Sheet8!$F$10:$F$16</c:f>
              <c:numCache>
                <c:formatCode>General</c:formatCode>
                <c:ptCount val="7"/>
                <c:pt idx="0">
                  <c:v>40</c:v>
                </c:pt>
                <c:pt idx="1">
                  <c:v>150</c:v>
                </c:pt>
                <c:pt idx="2">
                  <c:v>360</c:v>
                </c:pt>
                <c:pt idx="3">
                  <c:v>580</c:v>
                </c:pt>
                <c:pt idx="4">
                  <c:v>710</c:v>
                </c:pt>
                <c:pt idx="5">
                  <c:v>900</c:v>
                </c:pt>
                <c:pt idx="6">
                  <c:v>950</c:v>
                </c:pt>
              </c:numCache>
            </c:numRef>
          </c:val>
        </c:ser>
        <c:marker val="1"/>
        <c:axId val="119975936"/>
        <c:axId val="119977856"/>
      </c:lineChart>
      <c:catAx>
        <c:axId val="1199759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BP in kW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977856"/>
        <c:crosses val="autoZero"/>
        <c:auto val="1"/>
        <c:lblAlgn val="ctr"/>
        <c:lblOffset val="100"/>
      </c:catAx>
      <c:valAx>
        <c:axId val="11997785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Nitrogen oxide emissions in ppm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975936"/>
        <c:crosses val="autoZero"/>
        <c:crossBetween val="between"/>
      </c:valAx>
    </c:plotArea>
    <c:legend>
      <c:legendPos val="r"/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0703762441177656"/>
          <c:y val="5.4575018477457445E-2"/>
          <c:w val="0.8909752919448326"/>
          <c:h val="0.83964034429177725"/>
        </c:manualLayout>
      </c:layout>
      <c:barChart>
        <c:barDir val="col"/>
        <c:grouping val="stacked"/>
        <c:ser>
          <c:idx val="0"/>
          <c:order val="0"/>
          <c:tx>
            <c:strRef>
              <c:f>Sheet9!$C$6</c:f>
              <c:strCache>
                <c:ptCount val="1"/>
                <c:pt idx="0">
                  <c:v>Ethanol Percentage(%)</c:v>
                </c:pt>
              </c:strCache>
            </c:strRef>
          </c:tx>
          <c:spPr>
            <a:effectLst>
              <a:outerShdw blurRad="50800" dist="50800" dir="5400000" algn="ctr" rotWithShape="0">
                <a:schemeClr val="tx1"/>
              </a:outerShdw>
            </a:effectLst>
          </c:spPr>
          <c:dLbls>
            <c:dLbl>
              <c:idx val="0"/>
              <c:layout>
                <c:manualLayout>
                  <c:x val="-2.7780133407371253E-3"/>
                  <c:y val="-0.452166900190107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3.52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3.6883351029597445E-3"/>
                  <c:y val="-0.182274320973036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0.97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-1.8672559483842264E-3"/>
                  <c:y val="-0.2661198929081232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1.04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2.7777229206502642E-3"/>
                  <c:y val="-0.2878603332478197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1.1.7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0"/>
                  <c:y val="-0.332842342075663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1.52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0"/>
                  <c:y val="-0.3510940079858457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2.02</a:t>
                    </a:r>
                  </a:p>
                </c:rich>
              </c:tx>
              <c:showVal val="1"/>
            </c:dLbl>
            <c:dLbl>
              <c:idx val="6"/>
              <c:layout>
                <c:manualLayout>
                  <c:x val="0"/>
                  <c:y val="-0.363664805057264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showVal val="1"/>
            </c:dLbl>
            <c:dLbl>
              <c:idx val="7"/>
              <c:layout>
                <c:manualLayout>
                  <c:x val="-8.9347739718548085E-4"/>
                  <c:y val="-0.4107091876673310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2.46</a:t>
                    </a:r>
                  </a:p>
                </c:rich>
              </c:tx>
              <c:showVal val="1"/>
            </c:dLbl>
            <c:dLbl>
              <c:idx val="8"/>
              <c:layout>
                <c:manualLayout>
                  <c:x val="-3.8683955568050254E-3"/>
                  <c:y val="-0.245620350087817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1.02</a:t>
                    </a:r>
                  </a:p>
                </c:rich>
              </c:tx>
              <c:showVal val="1"/>
            </c:dLbl>
            <c:delete val="1"/>
          </c:dLbls>
          <c:cat>
            <c:numRef>
              <c:f>Sheet9!$B$7:$B$15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Sheet9!$C$7:$C$15</c:f>
              <c:numCache>
                <c:formatCode>General</c:formatCode>
                <c:ptCount val="9"/>
                <c:pt idx="0">
                  <c:v>4.34</c:v>
                </c:pt>
                <c:pt idx="1">
                  <c:v>1.6</c:v>
                </c:pt>
                <c:pt idx="2">
                  <c:v>2.27</c:v>
                </c:pt>
                <c:pt idx="3">
                  <c:v>2.5099999999999998</c:v>
                </c:pt>
                <c:pt idx="4">
                  <c:v>3.15</c:v>
                </c:pt>
                <c:pt idx="5">
                  <c:v>3.3299999999999987</c:v>
                </c:pt>
                <c:pt idx="6">
                  <c:v>3.51</c:v>
                </c:pt>
                <c:pt idx="7">
                  <c:v>4.2300000000000004</c:v>
                </c:pt>
                <c:pt idx="8">
                  <c:v>1.9300000000000024</c:v>
                </c:pt>
              </c:numCache>
            </c:numRef>
          </c:val>
        </c:ser>
        <c:overlap val="100"/>
        <c:axId val="109908352"/>
        <c:axId val="109909888"/>
      </c:barChart>
      <c:catAx>
        <c:axId val="109908352"/>
        <c:scaling>
          <c:orientation val="minMax"/>
        </c:scaling>
        <c:axPos val="b"/>
        <c:numFmt formatCode="@" sourceLinked="0"/>
        <c:tickLblPos val="low"/>
        <c:spPr>
          <a:noFill/>
        </c:spPr>
        <c:txPr>
          <a:bodyPr rot="0" anchor="t" anchorCtr="0"/>
          <a:lstStyle/>
          <a:p>
            <a:pPr>
              <a:defRPr/>
            </a:pPr>
            <a:endParaRPr lang="en-US"/>
          </a:p>
        </c:txPr>
        <c:crossAx val="109909888"/>
        <c:crosses val="autoZero"/>
        <c:lblAlgn val="ctr"/>
        <c:lblOffset val="0"/>
        <c:tickLblSkip val="1"/>
      </c:catAx>
      <c:valAx>
        <c:axId val="109909888"/>
        <c:scaling>
          <c:orientation val="minMax"/>
        </c:scaling>
        <c:axPos val="l"/>
        <c:numFmt formatCode="General" sourceLinked="1"/>
        <c:tickLblPos val="nextTo"/>
        <c:crossAx val="109908352"/>
        <c:crosses val="autoZero"/>
        <c:crossBetween val="between"/>
      </c:valAx>
      <c:spPr>
        <a:ln>
          <a:noFill/>
        </a:ln>
        <a:effectLst>
          <a:outerShdw blurRad="50800" dist="50800" dir="5400000" algn="ctr" rotWithShape="0">
            <a:schemeClr val="bg1"/>
          </a:outerShdw>
        </a:effectLst>
      </c:spPr>
    </c:plotArea>
    <c:plotVisOnly val="1"/>
  </c:chart>
  <c:spPr>
    <a:noFill/>
  </c:spPr>
  <c:txPr>
    <a:bodyPr/>
    <a:lstStyle/>
    <a:p>
      <a:pPr>
        <a:defRPr sz="1200">
          <a:latin typeface="Arial Black" pitchFamily="34" charset="0"/>
        </a:defRPr>
      </a:pPr>
      <a:endParaRPr lang="en-US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scatterChart>
        <c:scatterStyle val="lineMarker"/>
        <c:ser>
          <c:idx val="0"/>
          <c:order val="0"/>
          <c:tx>
            <c:v>Diesel</c:v>
          </c:tx>
          <c:xVal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1.1700000000000021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xVal>
          <c:yVal>
            <c:numRef>
              <c:f>[1]Sheet1!$G$8:$G$14</c:f>
              <c:numCache>
                <c:formatCode>General</c:formatCode>
                <c:ptCount val="7"/>
                <c:pt idx="0">
                  <c:v>1.08</c:v>
                </c:pt>
                <c:pt idx="1">
                  <c:v>0.62000000000000122</c:v>
                </c:pt>
                <c:pt idx="2">
                  <c:v>0.47000000000000008</c:v>
                </c:pt>
                <c:pt idx="3">
                  <c:v>0.43000000000000038</c:v>
                </c:pt>
                <c:pt idx="4">
                  <c:v>0.42000000000000032</c:v>
                </c:pt>
                <c:pt idx="5">
                  <c:v>0.41000000000000031</c:v>
                </c:pt>
                <c:pt idx="6">
                  <c:v>0.39000000000000068</c:v>
                </c:pt>
              </c:numCache>
            </c:numRef>
          </c:yVal>
        </c:ser>
        <c:ser>
          <c:idx val="1"/>
          <c:order val="1"/>
          <c:tx>
            <c:v>5% Blend</c:v>
          </c:tx>
          <c:xVal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1.1700000000000021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xVal>
          <c:yVal>
            <c:numRef>
              <c:f>[1]Sheet2!$G$10:$G$16</c:f>
              <c:numCache>
                <c:formatCode>General</c:formatCode>
                <c:ptCount val="7"/>
                <c:pt idx="0">
                  <c:v>1.1100000000000001</c:v>
                </c:pt>
                <c:pt idx="1">
                  <c:v>0.63000000000000134</c:v>
                </c:pt>
                <c:pt idx="2">
                  <c:v>0.47000000000000008</c:v>
                </c:pt>
                <c:pt idx="3">
                  <c:v>0.42000000000000032</c:v>
                </c:pt>
                <c:pt idx="4">
                  <c:v>0.4</c:v>
                </c:pt>
                <c:pt idx="5">
                  <c:v>0.39000000000000068</c:v>
                </c:pt>
                <c:pt idx="6">
                  <c:v>0.38000000000000067</c:v>
                </c:pt>
              </c:numCache>
            </c:numRef>
          </c:yVal>
        </c:ser>
        <c:ser>
          <c:idx val="2"/>
          <c:order val="2"/>
          <c:tx>
            <c:v>10% Blend</c:v>
          </c:tx>
          <c:xVal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1.1700000000000021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xVal>
          <c:yVal>
            <c:numRef>
              <c:f>[1]Sheet3!$H$9:$H$15</c:f>
              <c:numCache>
                <c:formatCode>General</c:formatCode>
                <c:ptCount val="7"/>
                <c:pt idx="0">
                  <c:v>1.07</c:v>
                </c:pt>
                <c:pt idx="1">
                  <c:v>0.61000000000000065</c:v>
                </c:pt>
                <c:pt idx="2">
                  <c:v>0.46</c:v>
                </c:pt>
                <c:pt idx="3">
                  <c:v>0.4</c:v>
                </c:pt>
                <c:pt idx="4">
                  <c:v>0.38000000000000067</c:v>
                </c:pt>
                <c:pt idx="5">
                  <c:v>0.37000000000000038</c:v>
                </c:pt>
                <c:pt idx="6">
                  <c:v>0.36000000000000032</c:v>
                </c:pt>
              </c:numCache>
            </c:numRef>
          </c:yVal>
        </c:ser>
        <c:ser>
          <c:idx val="3"/>
          <c:order val="3"/>
          <c:tx>
            <c:v>15% Blend</c:v>
          </c:tx>
          <c:xVal>
            <c:numRef>
              <c:f>[1]Sheet4!$J$9:$J$15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1.1700000000000021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xVal>
          <c:yVal>
            <c:numRef>
              <c:f>[1]Sheet4!$H$9:$H$15</c:f>
              <c:numCache>
                <c:formatCode>General</c:formatCode>
                <c:ptCount val="7"/>
                <c:pt idx="0">
                  <c:v>1.07</c:v>
                </c:pt>
                <c:pt idx="1">
                  <c:v>0.61000000000000065</c:v>
                </c:pt>
                <c:pt idx="2">
                  <c:v>0.46</c:v>
                </c:pt>
                <c:pt idx="3">
                  <c:v>0.39000000000000068</c:v>
                </c:pt>
                <c:pt idx="4">
                  <c:v>0.38000000000000067</c:v>
                </c:pt>
                <c:pt idx="5">
                  <c:v>0.37000000000000038</c:v>
                </c:pt>
                <c:pt idx="6">
                  <c:v>0.36000000000000032</c:v>
                </c:pt>
              </c:numCache>
            </c:numRef>
          </c:yVal>
        </c:ser>
        <c:axId val="110069248"/>
        <c:axId val="110071168"/>
      </c:scatterChart>
      <c:valAx>
        <c:axId val="110069248"/>
        <c:scaling>
          <c:orientation val="minMax"/>
          <c:max val="5"/>
          <c:min val="0"/>
        </c:scaling>
        <c:axPos val="b"/>
        <c:title>
          <c:tx>
            <c:rich>
              <a:bodyPr/>
              <a:lstStyle/>
              <a:p>
                <a:pPr>
                  <a:defRPr lang="en-IN">
                    <a:latin typeface="Tahoma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Segoe UI Light" pitchFamily="34" charset="0"/>
                  </a:rPr>
                  <a:t>BP in kW</a:t>
                </a:r>
              </a:p>
            </c:rich>
          </c:tx>
        </c:title>
        <c:numFmt formatCode="General" sourceLinked="0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0071168"/>
        <c:crosses val="autoZero"/>
        <c:crossBetween val="midCat"/>
        <c:majorUnit val="1"/>
        <c:minorUnit val="0.4"/>
      </c:valAx>
      <c:valAx>
        <c:axId val="11007116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 sz="1200" b="1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 b="1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BSFC in kg/kWhr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0069248"/>
        <c:crosses val="autoZero"/>
        <c:crossBetween val="midCat"/>
      </c:valAx>
      <c:spPr>
        <a:noFill/>
        <a:ln w="25400">
          <a:noFill/>
        </a:ln>
      </c:spPr>
    </c:plotArea>
    <c:legend>
      <c:legendPos val="r"/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lineChart>
        <c:grouping val="standard"/>
        <c:ser>
          <c:idx val="0"/>
          <c:order val="0"/>
          <c:tx>
            <c:v>Diesel </c:v>
          </c:tx>
          <c:cat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[1]Sheet1!$L$8:$L$14</c:f>
              <c:numCache>
                <c:formatCode>General</c:formatCode>
                <c:ptCount val="7"/>
                <c:pt idx="0">
                  <c:v>7.75</c:v>
                </c:pt>
                <c:pt idx="1">
                  <c:v>13.34</c:v>
                </c:pt>
                <c:pt idx="2">
                  <c:v>17.779999999999987</c:v>
                </c:pt>
                <c:pt idx="3">
                  <c:v>19.829999999999988</c:v>
                </c:pt>
                <c:pt idx="4">
                  <c:v>20.459999999999987</c:v>
                </c:pt>
                <c:pt idx="5">
                  <c:v>21.279999999999987</c:v>
                </c:pt>
                <c:pt idx="6">
                  <c:v>21.310000000000031</c:v>
                </c:pt>
              </c:numCache>
            </c:numRef>
          </c:val>
        </c:ser>
        <c:ser>
          <c:idx val="1"/>
          <c:order val="1"/>
          <c:tx>
            <c:v>5% Blend</c:v>
          </c:tx>
          <c:cat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[1]Sheet1!$K$18:$K$24</c:f>
              <c:numCache>
                <c:formatCode>General</c:formatCode>
                <c:ptCount val="7"/>
                <c:pt idx="0">
                  <c:v>8.0400000000000009</c:v>
                </c:pt>
                <c:pt idx="1">
                  <c:v>14.47</c:v>
                </c:pt>
                <c:pt idx="2">
                  <c:v>18.38</c:v>
                </c:pt>
                <c:pt idx="3">
                  <c:v>20.079999999999988</c:v>
                </c:pt>
                <c:pt idx="4">
                  <c:v>21.34</c:v>
                </c:pt>
                <c:pt idx="5">
                  <c:v>22.02</c:v>
                </c:pt>
                <c:pt idx="6">
                  <c:v>22.86</c:v>
                </c:pt>
              </c:numCache>
            </c:numRef>
          </c:val>
        </c:ser>
        <c:ser>
          <c:idx val="2"/>
          <c:order val="2"/>
          <c:tx>
            <c:v>10% Blend </c:v>
          </c:tx>
          <c:cat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[1]Sheet1!$L$18:$L$24</c:f>
              <c:numCache>
                <c:formatCode>General</c:formatCode>
                <c:ptCount val="7"/>
                <c:pt idx="0">
                  <c:v>8.76</c:v>
                </c:pt>
                <c:pt idx="1">
                  <c:v>14.89</c:v>
                </c:pt>
                <c:pt idx="2">
                  <c:v>19.420000000000002</c:v>
                </c:pt>
                <c:pt idx="3">
                  <c:v>20.97</c:v>
                </c:pt>
                <c:pt idx="4">
                  <c:v>22.09</c:v>
                </c:pt>
                <c:pt idx="5">
                  <c:v>22.97</c:v>
                </c:pt>
                <c:pt idx="6">
                  <c:v>23.87</c:v>
                </c:pt>
              </c:numCache>
            </c:numRef>
          </c:val>
        </c:ser>
        <c:ser>
          <c:idx val="3"/>
          <c:order val="3"/>
          <c:tx>
            <c:v>15% Blend </c:v>
          </c:tx>
          <c:cat>
            <c:numRef>
              <c:f>[1]Sheet1!$I$8:$I$14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[1]Sheet1!$M$18:$M$24</c:f>
              <c:numCache>
                <c:formatCode>General</c:formatCode>
                <c:ptCount val="7"/>
                <c:pt idx="0">
                  <c:v>9.4700000000000006</c:v>
                </c:pt>
                <c:pt idx="1">
                  <c:v>15.46</c:v>
                </c:pt>
                <c:pt idx="2">
                  <c:v>20.23</c:v>
                </c:pt>
                <c:pt idx="3">
                  <c:v>21.630000000000031</c:v>
                </c:pt>
                <c:pt idx="4">
                  <c:v>22.82</c:v>
                </c:pt>
                <c:pt idx="5">
                  <c:v>23.34</c:v>
                </c:pt>
                <c:pt idx="6">
                  <c:v>24.41</c:v>
                </c:pt>
              </c:numCache>
            </c:numRef>
          </c:val>
        </c:ser>
        <c:marker val="1"/>
        <c:axId val="111620480"/>
        <c:axId val="111622784"/>
      </c:lineChart>
      <c:catAx>
        <c:axId val="1116204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IN">
                    <a:latin typeface="Tahoma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BP (kW)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1622784"/>
        <c:crosses val="autoZero"/>
        <c:auto val="1"/>
        <c:lblAlgn val="ctr"/>
        <c:lblOffset val="100"/>
      </c:catAx>
      <c:valAx>
        <c:axId val="11162278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>
                    <a:latin typeface="Tahoma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BTE(%)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1620480"/>
        <c:crosses val="autoZero"/>
        <c:crossBetween val="between"/>
      </c:valAx>
    </c:plotArea>
    <c:legend>
      <c:legendPos val="r"/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tx>
            <c:v>Diesel</c:v>
          </c:tx>
          <c:marker>
            <c:symbol val="square"/>
            <c:size val="5"/>
          </c:marker>
          <c:cat>
            <c:numRef>
              <c:f>Sheet3!$A$7:$A$13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Sheet3!$B$7:$B$13</c:f>
              <c:numCache>
                <c:formatCode>General</c:formatCode>
                <c:ptCount val="7"/>
                <c:pt idx="0">
                  <c:v>204</c:v>
                </c:pt>
                <c:pt idx="1">
                  <c:v>245</c:v>
                </c:pt>
                <c:pt idx="2">
                  <c:v>292</c:v>
                </c:pt>
                <c:pt idx="3">
                  <c:v>330</c:v>
                </c:pt>
                <c:pt idx="4">
                  <c:v>386</c:v>
                </c:pt>
                <c:pt idx="5">
                  <c:v>444</c:v>
                </c:pt>
                <c:pt idx="6">
                  <c:v>499</c:v>
                </c:pt>
              </c:numCache>
            </c:numRef>
          </c:val>
        </c:ser>
        <c:ser>
          <c:idx val="1"/>
          <c:order val="1"/>
          <c:tx>
            <c:v>5% Blend </c:v>
          </c:tx>
          <c:marker>
            <c:symbol val="square"/>
            <c:size val="5"/>
          </c:marker>
          <c:val>
            <c:numRef>
              <c:f>Sheet3!$C$7:$C$13</c:f>
              <c:numCache>
                <c:formatCode>General</c:formatCode>
                <c:ptCount val="7"/>
                <c:pt idx="0">
                  <c:v>199</c:v>
                </c:pt>
                <c:pt idx="1">
                  <c:v>232</c:v>
                </c:pt>
                <c:pt idx="2">
                  <c:v>273</c:v>
                </c:pt>
                <c:pt idx="3">
                  <c:v>302</c:v>
                </c:pt>
                <c:pt idx="4">
                  <c:v>347</c:v>
                </c:pt>
                <c:pt idx="5">
                  <c:v>399</c:v>
                </c:pt>
                <c:pt idx="6">
                  <c:v>453</c:v>
                </c:pt>
              </c:numCache>
            </c:numRef>
          </c:val>
        </c:ser>
        <c:ser>
          <c:idx val="2"/>
          <c:order val="2"/>
          <c:tx>
            <c:v>10% Blend </c:v>
          </c:tx>
          <c:val>
            <c:numRef>
              <c:f>Sheet3!$D$7:$D$13</c:f>
              <c:numCache>
                <c:formatCode>General</c:formatCode>
                <c:ptCount val="7"/>
                <c:pt idx="0">
                  <c:v>191</c:v>
                </c:pt>
                <c:pt idx="1">
                  <c:v>221</c:v>
                </c:pt>
                <c:pt idx="2">
                  <c:v>252</c:v>
                </c:pt>
                <c:pt idx="3">
                  <c:v>281</c:v>
                </c:pt>
                <c:pt idx="4">
                  <c:v>326</c:v>
                </c:pt>
                <c:pt idx="5">
                  <c:v>372</c:v>
                </c:pt>
                <c:pt idx="6">
                  <c:v>432</c:v>
                </c:pt>
              </c:numCache>
            </c:numRef>
          </c:val>
        </c:ser>
        <c:ser>
          <c:idx val="3"/>
          <c:order val="3"/>
          <c:tx>
            <c:v>15% lend </c:v>
          </c:tx>
          <c:val>
            <c:numRef>
              <c:f>Sheet3!$E$7:$E$13</c:f>
              <c:numCache>
                <c:formatCode>General</c:formatCode>
                <c:ptCount val="7"/>
                <c:pt idx="0">
                  <c:v>172</c:v>
                </c:pt>
                <c:pt idx="1">
                  <c:v>203</c:v>
                </c:pt>
                <c:pt idx="2">
                  <c:v>216</c:v>
                </c:pt>
                <c:pt idx="3">
                  <c:v>260</c:v>
                </c:pt>
                <c:pt idx="4">
                  <c:v>297</c:v>
                </c:pt>
                <c:pt idx="5">
                  <c:v>341</c:v>
                </c:pt>
                <c:pt idx="6">
                  <c:v>398</c:v>
                </c:pt>
              </c:numCache>
            </c:numRef>
          </c:val>
        </c:ser>
        <c:marker val="1"/>
        <c:axId val="111803776"/>
        <c:axId val="111900160"/>
      </c:lineChart>
      <c:catAx>
        <c:axId val="1118037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BP in kW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1900160"/>
        <c:crosses val="autoZero"/>
        <c:auto val="1"/>
        <c:lblAlgn val="ctr"/>
        <c:lblOffset val="100"/>
      </c:catAx>
      <c:valAx>
        <c:axId val="11190016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EGT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1803776"/>
        <c:crosses val="autoZero"/>
        <c:crossBetween val="between"/>
      </c:valAx>
    </c:plotArea>
    <c:legend>
      <c:legendPos val="r"/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tx>
            <c:v>Diesel</c:v>
          </c:tx>
          <c:cat>
            <c:numRef>
              <c:f>Sheet4!$B$8:$B$14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Sheet4!$C$8:$C$14</c:f>
              <c:numCache>
                <c:formatCode>General</c:formatCode>
                <c:ptCount val="7"/>
                <c:pt idx="0">
                  <c:v>51.120000000000012</c:v>
                </c:pt>
                <c:pt idx="1">
                  <c:v>51.06</c:v>
                </c:pt>
                <c:pt idx="2">
                  <c:v>56.13</c:v>
                </c:pt>
                <c:pt idx="3">
                  <c:v>56</c:v>
                </c:pt>
                <c:pt idx="4">
                  <c:v>56.3</c:v>
                </c:pt>
                <c:pt idx="5">
                  <c:v>57.2</c:v>
                </c:pt>
                <c:pt idx="6">
                  <c:v>57.25</c:v>
                </c:pt>
              </c:numCache>
            </c:numRef>
          </c:val>
        </c:ser>
        <c:ser>
          <c:idx val="1"/>
          <c:order val="1"/>
          <c:tx>
            <c:v>5% Blend </c:v>
          </c:tx>
          <c:cat>
            <c:numRef>
              <c:f>Sheet4!$B$8:$B$14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Sheet4!$D$8:$D$14</c:f>
              <c:numCache>
                <c:formatCode>General</c:formatCode>
                <c:ptCount val="7"/>
                <c:pt idx="0">
                  <c:v>51.11</c:v>
                </c:pt>
                <c:pt idx="1">
                  <c:v>51.06</c:v>
                </c:pt>
                <c:pt idx="2">
                  <c:v>56.3</c:v>
                </c:pt>
                <c:pt idx="3">
                  <c:v>56.28</c:v>
                </c:pt>
                <c:pt idx="4">
                  <c:v>56.9</c:v>
                </c:pt>
                <c:pt idx="5">
                  <c:v>56.8</c:v>
                </c:pt>
                <c:pt idx="6">
                  <c:v>57.449999999999996</c:v>
                </c:pt>
              </c:numCache>
            </c:numRef>
          </c:val>
        </c:ser>
        <c:ser>
          <c:idx val="2"/>
          <c:order val="2"/>
          <c:tx>
            <c:v>10% Blend </c:v>
          </c:tx>
          <c:cat>
            <c:numRef>
              <c:f>Sheet4!$B$8:$B$14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Sheet4!$E$8:$E$14</c:f>
              <c:numCache>
                <c:formatCode>General</c:formatCode>
                <c:ptCount val="7"/>
                <c:pt idx="0">
                  <c:v>51.4</c:v>
                </c:pt>
                <c:pt idx="1">
                  <c:v>51.309999999999995</c:v>
                </c:pt>
                <c:pt idx="2">
                  <c:v>56.720000000000013</c:v>
                </c:pt>
                <c:pt idx="3">
                  <c:v>56.730000000000011</c:v>
                </c:pt>
                <c:pt idx="4">
                  <c:v>57.14</c:v>
                </c:pt>
                <c:pt idx="5">
                  <c:v>56.9</c:v>
                </c:pt>
                <c:pt idx="6">
                  <c:v>57.86</c:v>
                </c:pt>
              </c:numCache>
            </c:numRef>
          </c:val>
        </c:ser>
        <c:ser>
          <c:idx val="3"/>
          <c:order val="3"/>
          <c:tx>
            <c:v>15% Blend </c:v>
          </c:tx>
          <c:cat>
            <c:numRef>
              <c:f>Sheet4!$B$8:$B$14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Sheet4!$F$8:$F$14</c:f>
              <c:numCache>
                <c:formatCode>General</c:formatCode>
                <c:ptCount val="7"/>
                <c:pt idx="0">
                  <c:v>52</c:v>
                </c:pt>
                <c:pt idx="1">
                  <c:v>52.04</c:v>
                </c:pt>
                <c:pt idx="2">
                  <c:v>56.98</c:v>
                </c:pt>
                <c:pt idx="3">
                  <c:v>57.2</c:v>
                </c:pt>
                <c:pt idx="4">
                  <c:v>57.78</c:v>
                </c:pt>
                <c:pt idx="5">
                  <c:v>57.32</c:v>
                </c:pt>
                <c:pt idx="6">
                  <c:v>57.94</c:v>
                </c:pt>
              </c:numCache>
            </c:numRef>
          </c:val>
        </c:ser>
        <c:marker val="1"/>
        <c:axId val="119820288"/>
        <c:axId val="119822208"/>
      </c:lineChart>
      <c:catAx>
        <c:axId val="1198202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BP in Kw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822208"/>
        <c:crosses val="autoZero"/>
        <c:auto val="1"/>
        <c:lblAlgn val="ctr"/>
        <c:lblOffset val="100"/>
      </c:catAx>
      <c:valAx>
        <c:axId val="11982220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Peak pressure rise in Bar 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820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389437574868764"/>
          <c:y val="0.10113215017168824"/>
          <c:w val="0.26795747822018334"/>
          <c:h val="0.43997015448101534"/>
        </c:manualLayout>
      </c:layout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5419685039370079"/>
          <c:y val="3.9202619383512209E-2"/>
          <c:w val="0.65755271216098155"/>
          <c:h val="0.8326195683872849"/>
        </c:manualLayout>
      </c:layout>
      <c:lineChart>
        <c:grouping val="standard"/>
        <c:ser>
          <c:idx val="0"/>
          <c:order val="0"/>
          <c:tx>
            <c:v>Diesel</c:v>
          </c:tx>
          <c:cat>
            <c:numRef>
              <c:f>Sheet5!$B$7:$B$13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Sheet5!$C$7:$C$13</c:f>
              <c:numCache>
                <c:formatCode>General</c:formatCode>
                <c:ptCount val="7"/>
                <c:pt idx="0">
                  <c:v>2.0000000000000011E-2</c:v>
                </c:pt>
                <c:pt idx="1">
                  <c:v>3.0000000000000002E-2</c:v>
                </c:pt>
                <c:pt idx="2">
                  <c:v>3.9000000000000014E-2</c:v>
                </c:pt>
                <c:pt idx="3">
                  <c:v>4.0000000000000022E-2</c:v>
                </c:pt>
                <c:pt idx="4">
                  <c:v>4.5000000000000012E-2</c:v>
                </c:pt>
                <c:pt idx="5">
                  <c:v>0.05</c:v>
                </c:pt>
                <c:pt idx="6">
                  <c:v>5.3999999999999999E-2</c:v>
                </c:pt>
              </c:numCache>
            </c:numRef>
          </c:val>
        </c:ser>
        <c:ser>
          <c:idx val="1"/>
          <c:order val="1"/>
          <c:tx>
            <c:v>5% Blend </c:v>
          </c:tx>
          <c:cat>
            <c:numRef>
              <c:f>Sheet5!$B$7:$B$13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Sheet5!$D$7:$D$13</c:f>
              <c:numCache>
                <c:formatCode>General</c:formatCode>
                <c:ptCount val="7"/>
                <c:pt idx="0">
                  <c:v>1.4999999999999998E-2</c:v>
                </c:pt>
                <c:pt idx="1">
                  <c:v>2.3E-2</c:v>
                </c:pt>
                <c:pt idx="2">
                  <c:v>3.0000000000000002E-2</c:v>
                </c:pt>
                <c:pt idx="3">
                  <c:v>3.500000000000001E-2</c:v>
                </c:pt>
                <c:pt idx="4">
                  <c:v>4.1000000000000002E-2</c:v>
                </c:pt>
                <c:pt idx="5">
                  <c:v>4.9000000000000078E-2</c:v>
                </c:pt>
                <c:pt idx="6">
                  <c:v>0.05</c:v>
                </c:pt>
              </c:numCache>
            </c:numRef>
          </c:val>
        </c:ser>
        <c:ser>
          <c:idx val="2"/>
          <c:order val="2"/>
          <c:tx>
            <c:v>10% Blend</c:v>
          </c:tx>
          <c:cat>
            <c:numRef>
              <c:f>Sheet5!$B$7:$B$13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Sheet5!$E$7:$E$13</c:f>
              <c:numCache>
                <c:formatCode>General</c:formatCode>
                <c:ptCount val="7"/>
                <c:pt idx="0">
                  <c:v>1.0999999999999998E-2</c:v>
                </c:pt>
                <c:pt idx="1">
                  <c:v>2.1999999999999999E-2</c:v>
                </c:pt>
                <c:pt idx="2">
                  <c:v>2.7000000000000045E-2</c:v>
                </c:pt>
                <c:pt idx="3">
                  <c:v>3.2000000000000042E-2</c:v>
                </c:pt>
                <c:pt idx="4">
                  <c:v>3.4000000000000002E-2</c:v>
                </c:pt>
                <c:pt idx="5">
                  <c:v>4.0000000000000022E-2</c:v>
                </c:pt>
                <c:pt idx="6">
                  <c:v>4.2000000000000023E-2</c:v>
                </c:pt>
              </c:numCache>
            </c:numRef>
          </c:val>
        </c:ser>
        <c:ser>
          <c:idx val="3"/>
          <c:order val="3"/>
          <c:tx>
            <c:v>15% Blend</c:v>
          </c:tx>
          <c:cat>
            <c:numRef>
              <c:f>Sheet5!$B$7:$B$13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Sheet5!$F$7:$F$13</c:f>
              <c:numCache>
                <c:formatCode>General</c:formatCode>
                <c:ptCount val="7"/>
                <c:pt idx="0">
                  <c:v>1.0000000000000005E-2</c:v>
                </c:pt>
                <c:pt idx="1">
                  <c:v>1.4999999999999998E-2</c:v>
                </c:pt>
                <c:pt idx="2">
                  <c:v>2.1000000000000012E-2</c:v>
                </c:pt>
                <c:pt idx="3">
                  <c:v>2.1999999999999999E-2</c:v>
                </c:pt>
                <c:pt idx="4">
                  <c:v>3.1000000000000045E-2</c:v>
                </c:pt>
                <c:pt idx="5">
                  <c:v>3.500000000000001E-2</c:v>
                </c:pt>
                <c:pt idx="6">
                  <c:v>3.5999999999999997E-2</c:v>
                </c:pt>
              </c:numCache>
            </c:numRef>
          </c:val>
        </c:ser>
        <c:marker val="1"/>
        <c:axId val="119848960"/>
        <c:axId val="119850880"/>
      </c:lineChart>
      <c:catAx>
        <c:axId val="119848960"/>
        <c:scaling>
          <c:orientation val="minMax"/>
        </c:scaling>
        <c:axPos val="b"/>
        <c:title>
          <c:tx>
            <c:rich>
              <a:bodyPr rot="0" vert="horz" anchor="ctr" anchorCtr="1"/>
              <a:lstStyle/>
              <a:p>
                <a:pPr>
                  <a:defRPr/>
                </a:pPr>
                <a:r>
                  <a:rPr lang="en-US"/>
                  <a:t>Bp in kW</a:t>
                </a:r>
              </a:p>
            </c:rich>
          </c:tx>
          <c:layout>
            <c:manualLayout>
              <c:xMode val="edge"/>
              <c:yMode val="edge"/>
              <c:x val="0.39767279090113788"/>
              <c:y val="0.93521951219512311"/>
            </c:manualLayout>
          </c:layout>
        </c:title>
        <c:numFmt formatCode="General" sourceLinked="1"/>
        <c:majorTickMark val="in"/>
        <c:minorTickMark val="out"/>
        <c:tickLblPos val="low"/>
        <c:txPr>
          <a:bodyPr rot="0"/>
          <a:lstStyle/>
          <a:p>
            <a:pPr>
              <a:defRPr/>
            </a:pPr>
            <a:endParaRPr lang="en-US"/>
          </a:p>
        </c:txPr>
        <c:crossAx val="119850880"/>
        <c:crosses val="autoZero"/>
        <c:auto val="1"/>
        <c:lblAlgn val="ctr"/>
        <c:lblOffset val="100"/>
      </c:catAx>
      <c:valAx>
        <c:axId val="11985088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>
                    <a:latin typeface="Arial Black" pitchFamily="34" charset="0"/>
                  </a:defRPr>
                </a:pPr>
                <a:r>
                  <a:rPr lang="en-US">
                    <a:latin typeface="Arial Black" pitchFamily="34" charset="0"/>
                  </a:rPr>
                  <a:t>Carbon monoxide emission</a:t>
                </a:r>
              </a:p>
            </c:rich>
          </c:tx>
        </c:title>
        <c:numFmt formatCode="General" sourceLinked="1"/>
        <c:tickLblPos val="nextTo"/>
        <c:crossAx val="119848960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 sz="1200">
          <a:latin typeface="Arial Black" pitchFamily="34" charset="0"/>
        </a:defRPr>
      </a:pPr>
      <a:endParaRPr lang="en-US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tx>
            <c:v>Diesel</c:v>
          </c:tx>
          <c:cat>
            <c:numRef>
              <c:f>Sheet6!$B$8:$B$14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Sheet6!$C$8:$C$14</c:f>
              <c:numCache>
                <c:formatCode>General</c:formatCode>
                <c:ptCount val="7"/>
                <c:pt idx="0">
                  <c:v>0.4</c:v>
                </c:pt>
                <c:pt idx="1">
                  <c:v>0.42000000000000032</c:v>
                </c:pt>
                <c:pt idx="2">
                  <c:v>0.43000000000000038</c:v>
                </c:pt>
                <c:pt idx="3">
                  <c:v>0.44</c:v>
                </c:pt>
                <c:pt idx="4">
                  <c:v>0.45</c:v>
                </c:pt>
                <c:pt idx="5">
                  <c:v>0.46</c:v>
                </c:pt>
                <c:pt idx="6">
                  <c:v>0.47000000000000008</c:v>
                </c:pt>
              </c:numCache>
            </c:numRef>
          </c:val>
        </c:ser>
        <c:ser>
          <c:idx val="1"/>
          <c:order val="1"/>
          <c:tx>
            <c:v>5% Blend</c:v>
          </c:tx>
          <c:cat>
            <c:numRef>
              <c:f>Sheet6!$B$8:$B$14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Sheet6!$D$8:$D$14</c:f>
              <c:numCache>
                <c:formatCode>General</c:formatCode>
                <c:ptCount val="7"/>
                <c:pt idx="0">
                  <c:v>0.38000000000000056</c:v>
                </c:pt>
                <c:pt idx="1">
                  <c:v>0.39000000000000057</c:v>
                </c:pt>
                <c:pt idx="2">
                  <c:v>0.4</c:v>
                </c:pt>
                <c:pt idx="3">
                  <c:v>0.41000000000000031</c:v>
                </c:pt>
                <c:pt idx="4">
                  <c:v>0.41000000000000031</c:v>
                </c:pt>
                <c:pt idx="5">
                  <c:v>0.42000000000000032</c:v>
                </c:pt>
                <c:pt idx="6">
                  <c:v>0.43000000000000038</c:v>
                </c:pt>
              </c:numCache>
            </c:numRef>
          </c:val>
        </c:ser>
        <c:ser>
          <c:idx val="2"/>
          <c:order val="2"/>
          <c:tx>
            <c:v>10% Blend</c:v>
          </c:tx>
          <c:cat>
            <c:numRef>
              <c:f>Sheet6!$B$8:$B$14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Sheet6!$E$8:$E$14</c:f>
              <c:numCache>
                <c:formatCode>General</c:formatCode>
                <c:ptCount val="7"/>
                <c:pt idx="0">
                  <c:v>0.34</c:v>
                </c:pt>
                <c:pt idx="1">
                  <c:v>0.35000000000000031</c:v>
                </c:pt>
                <c:pt idx="2">
                  <c:v>0.36000000000000032</c:v>
                </c:pt>
                <c:pt idx="3">
                  <c:v>0.37000000000000038</c:v>
                </c:pt>
                <c:pt idx="4">
                  <c:v>0.38000000000000056</c:v>
                </c:pt>
                <c:pt idx="5">
                  <c:v>0.39000000000000057</c:v>
                </c:pt>
                <c:pt idx="6">
                  <c:v>0.4</c:v>
                </c:pt>
              </c:numCache>
            </c:numRef>
          </c:val>
        </c:ser>
        <c:ser>
          <c:idx val="3"/>
          <c:order val="3"/>
          <c:tx>
            <c:v>15% Blend </c:v>
          </c:tx>
          <c:cat>
            <c:numRef>
              <c:f>Sheet6!$B$8:$B$14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Sheet6!$F$8:$F$14</c:f>
              <c:numCache>
                <c:formatCode>General</c:formatCode>
                <c:ptCount val="7"/>
                <c:pt idx="0">
                  <c:v>0.30000000000000032</c:v>
                </c:pt>
                <c:pt idx="1">
                  <c:v>0.3100000000000005</c:v>
                </c:pt>
                <c:pt idx="2">
                  <c:v>0.32000000000000056</c:v>
                </c:pt>
                <c:pt idx="3">
                  <c:v>0.33000000000000063</c:v>
                </c:pt>
                <c:pt idx="4">
                  <c:v>0.34</c:v>
                </c:pt>
                <c:pt idx="5">
                  <c:v>0.35000000000000031</c:v>
                </c:pt>
                <c:pt idx="6">
                  <c:v>0.36000000000000032</c:v>
                </c:pt>
              </c:numCache>
            </c:numRef>
          </c:val>
        </c:ser>
        <c:marker val="1"/>
        <c:axId val="119898112"/>
        <c:axId val="119900032"/>
      </c:lineChart>
      <c:catAx>
        <c:axId val="1198981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BP in kW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900032"/>
        <c:crosses val="autoZero"/>
        <c:auto val="1"/>
        <c:lblAlgn val="ctr"/>
        <c:lblOffset val="100"/>
      </c:catAx>
      <c:valAx>
        <c:axId val="11990003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Carbon dioxide Emissions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898112"/>
        <c:crosses val="autoZero"/>
        <c:crossBetween val="between"/>
      </c:valAx>
    </c:plotArea>
    <c:legend>
      <c:legendPos val="r"/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tx>
            <c:v>Diesel</c:v>
          </c:tx>
          <c:cat>
            <c:numRef>
              <c:f>Sheet7!$B$8:$B$14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Sheet7!$C$8:$C$14</c:f>
              <c:numCache>
                <c:formatCode>General</c:formatCode>
                <c:ptCount val="7"/>
                <c:pt idx="0">
                  <c:v>20</c:v>
                </c:pt>
                <c:pt idx="1">
                  <c:v>24</c:v>
                </c:pt>
                <c:pt idx="2">
                  <c:v>32</c:v>
                </c:pt>
                <c:pt idx="3">
                  <c:v>35</c:v>
                </c:pt>
                <c:pt idx="4">
                  <c:v>42</c:v>
                </c:pt>
                <c:pt idx="5">
                  <c:v>45</c:v>
                </c:pt>
                <c:pt idx="6">
                  <c:v>62</c:v>
                </c:pt>
              </c:numCache>
            </c:numRef>
          </c:val>
        </c:ser>
        <c:ser>
          <c:idx val="1"/>
          <c:order val="1"/>
          <c:tx>
            <c:v>5% Blend</c:v>
          </c:tx>
          <c:cat>
            <c:numRef>
              <c:f>Sheet7!$B$8:$B$14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Sheet7!$D$8:$D$14</c:f>
              <c:numCache>
                <c:formatCode>General</c:formatCode>
                <c:ptCount val="7"/>
                <c:pt idx="0">
                  <c:v>22</c:v>
                </c:pt>
                <c:pt idx="1">
                  <c:v>26</c:v>
                </c:pt>
                <c:pt idx="2">
                  <c:v>34</c:v>
                </c:pt>
                <c:pt idx="3">
                  <c:v>39</c:v>
                </c:pt>
                <c:pt idx="4">
                  <c:v>46</c:v>
                </c:pt>
                <c:pt idx="5">
                  <c:v>49</c:v>
                </c:pt>
                <c:pt idx="6">
                  <c:v>64</c:v>
                </c:pt>
              </c:numCache>
            </c:numRef>
          </c:val>
        </c:ser>
        <c:ser>
          <c:idx val="2"/>
          <c:order val="2"/>
          <c:tx>
            <c:v>10% Blend</c:v>
          </c:tx>
          <c:cat>
            <c:numRef>
              <c:f>Sheet7!$B$8:$B$14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Sheet7!$E$8:$E$14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40</c:v>
                </c:pt>
                <c:pt idx="3">
                  <c:v>48</c:v>
                </c:pt>
                <c:pt idx="4">
                  <c:v>50</c:v>
                </c:pt>
                <c:pt idx="5">
                  <c:v>60</c:v>
                </c:pt>
                <c:pt idx="6">
                  <c:v>72</c:v>
                </c:pt>
              </c:numCache>
            </c:numRef>
          </c:val>
        </c:ser>
        <c:ser>
          <c:idx val="3"/>
          <c:order val="3"/>
          <c:tx>
            <c:v>15% Blend</c:v>
          </c:tx>
          <c:cat>
            <c:numRef>
              <c:f>Sheet7!$B$8:$B$14</c:f>
              <c:numCache>
                <c:formatCode>General</c:formatCode>
                <c:ptCount val="7"/>
                <c:pt idx="0">
                  <c:v>0.58000000000000007</c:v>
                </c:pt>
                <c:pt idx="1">
                  <c:v>1.1700000000000019</c:v>
                </c:pt>
                <c:pt idx="2">
                  <c:v>1.76</c:v>
                </c:pt>
                <c:pt idx="3">
                  <c:v>2.3499999999999988</c:v>
                </c:pt>
                <c:pt idx="4">
                  <c:v>2.94</c:v>
                </c:pt>
                <c:pt idx="5">
                  <c:v>3.52</c:v>
                </c:pt>
                <c:pt idx="6">
                  <c:v>4.1099999999999985</c:v>
                </c:pt>
              </c:numCache>
            </c:numRef>
          </c:cat>
          <c:val>
            <c:numRef>
              <c:f>Sheet7!$F$8:$F$14</c:f>
              <c:numCache>
                <c:formatCode>General</c:formatCode>
                <c:ptCount val="7"/>
                <c:pt idx="0">
                  <c:v>31</c:v>
                </c:pt>
                <c:pt idx="1">
                  <c:v>40</c:v>
                </c:pt>
                <c:pt idx="2">
                  <c:v>47</c:v>
                </c:pt>
                <c:pt idx="3">
                  <c:v>52</c:v>
                </c:pt>
                <c:pt idx="4">
                  <c:v>61</c:v>
                </c:pt>
                <c:pt idx="5">
                  <c:v>68</c:v>
                </c:pt>
                <c:pt idx="6">
                  <c:v>82</c:v>
                </c:pt>
              </c:numCache>
            </c:numRef>
          </c:val>
        </c:ser>
        <c:marker val="1"/>
        <c:axId val="119934976"/>
        <c:axId val="119936896"/>
      </c:lineChart>
      <c:catAx>
        <c:axId val="1199349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BP in kW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936896"/>
        <c:crosses val="autoZero"/>
        <c:auto val="1"/>
        <c:lblAlgn val="ctr"/>
        <c:lblOffset val="100"/>
      </c:catAx>
      <c:valAx>
        <c:axId val="11993689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IN" sz="1200">
                    <a:latin typeface="Arial Black" pitchFamily="34" charset="0"/>
                    <a:ea typeface="Tahoma" pitchFamily="34" charset="0"/>
                    <a:cs typeface="Tahoma" pitchFamily="34" charset="0"/>
                  </a:defRPr>
                </a:pPr>
                <a:r>
                  <a:rPr lang="en-US" sz="1200">
                    <a:latin typeface="Arial Black" pitchFamily="34" charset="0"/>
                    <a:ea typeface="Tahoma" pitchFamily="34" charset="0"/>
                    <a:cs typeface="Tahoma" pitchFamily="34" charset="0"/>
                  </a:rPr>
                  <a:t>HC emissions in ppm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IN" sz="1200">
                <a:latin typeface="Arial Black" pitchFamily="34" charset="0"/>
              </a:defRPr>
            </a:pPr>
            <a:endParaRPr lang="en-US"/>
          </a:p>
        </c:txPr>
        <c:crossAx val="119934976"/>
        <c:crosses val="autoZero"/>
        <c:crossBetween val="between"/>
      </c:valAx>
    </c:plotArea>
    <c:legend>
      <c:legendPos val="r"/>
      <c:txPr>
        <a:bodyPr/>
        <a:lstStyle/>
        <a:p>
          <a:pPr>
            <a:defRPr lang="en-IN" sz="1200">
              <a:latin typeface="Arial Black" pitchFamily="34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0.00157</cdr:x>
      <cdr:y>0.15584</cdr:y>
    </cdr:from>
    <cdr:to>
      <cdr:x>0.04007</cdr:x>
      <cdr:y>0.81654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0473" y="681961"/>
          <a:ext cx="257588" cy="2891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lIns="0" rtlCol="0" anchor="ctr" anchorCtr="1"/>
        <a:lstStyle xmlns:a="http://schemas.openxmlformats.org/drawingml/2006/main"/>
        <a:p xmlns:a="http://schemas.openxmlformats.org/drawingml/2006/main">
          <a:r>
            <a:rPr lang="en-US" sz="1200">
              <a:latin typeface="Arial Black" pitchFamily="34" charset="0"/>
            </a:rPr>
            <a:t>Ethanol  Percentage(%)</a:t>
          </a:r>
        </a:p>
      </cdr:txBody>
    </cdr:sp>
  </cdr:relSizeAnchor>
  <cdr:relSizeAnchor xmlns:cdr="http://schemas.openxmlformats.org/drawingml/2006/chartDrawing">
    <cdr:from>
      <cdr:x>0.32304</cdr:x>
      <cdr:y>0.94422</cdr:y>
    </cdr:from>
    <cdr:to>
      <cdr:x>0.83187</cdr:x>
      <cdr:y>0.99067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2161324" y="4131947"/>
          <a:ext cx="3404421" cy="2032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91440" tIns="91440" rIns="91440" bIns="0" rtlCol="0" anchor="ctr" anchorCtr="1"/>
        <a:lstStyle xmlns:a="http://schemas.openxmlformats.org/drawingml/2006/main"/>
        <a:p xmlns:a="http://schemas.openxmlformats.org/drawingml/2006/main">
          <a:r>
            <a:rPr lang="en-US" sz="1200">
              <a:latin typeface="Arial Black" pitchFamily="34" charset="0"/>
            </a:rPr>
            <a:t>Jackfruit Leaves Samples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0.00157</cdr:x>
      <cdr:y>0.15584</cdr:y>
    </cdr:from>
    <cdr:to>
      <cdr:x>0.05584</cdr:x>
      <cdr:y>0.81654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8949" y="690235"/>
          <a:ext cx="309315" cy="29263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lIns="0" rIns="91440" rtlCol="0" anchor="ctr" anchorCtr="1">
          <a:spAutoFit/>
        </a:bodyPr>
        <a:lstStyle xmlns:a="http://schemas.openxmlformats.org/drawingml/2006/main"/>
        <a:p xmlns:a="http://schemas.openxmlformats.org/drawingml/2006/main">
          <a:r>
            <a:rPr lang="en-US" sz="1200">
              <a:latin typeface="Arial Black" pitchFamily="34" charset="0"/>
            </a:rPr>
            <a:t>Ethanol  Percentage(%)</a:t>
          </a:r>
        </a:p>
      </cdr:txBody>
    </cdr:sp>
  </cdr:relSizeAnchor>
  <cdr:relSizeAnchor xmlns:cdr="http://schemas.openxmlformats.org/drawingml/2006/chartDrawing">
    <cdr:from>
      <cdr:x>0.28348</cdr:x>
      <cdr:y>0.9385</cdr:y>
    </cdr:from>
    <cdr:to>
      <cdr:x>0.79231</cdr:x>
      <cdr:y>0.98495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706511" y="4156717"/>
          <a:ext cx="3063055" cy="2057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91440" tIns="91440" rIns="91440" bIns="0" rtlCol="0" anchor="ctr" anchorCtr="1"/>
        <a:lstStyle xmlns:a="http://schemas.openxmlformats.org/drawingml/2006/main"/>
        <a:p xmlns:a="http://schemas.openxmlformats.org/drawingml/2006/main">
          <a:r>
            <a:rPr lang="en-US" sz="1200">
              <a:latin typeface="Arial Black" pitchFamily="34" charset="0"/>
            </a:rPr>
            <a:t>Rain</a:t>
          </a:r>
          <a:r>
            <a:rPr lang="en-US" sz="1200" baseline="0">
              <a:latin typeface="Arial Black" pitchFamily="34" charset="0"/>
            </a:rPr>
            <a:t> tree </a:t>
          </a:r>
          <a:r>
            <a:rPr lang="en-US" sz="1200">
              <a:latin typeface="Arial Black" pitchFamily="34" charset="0"/>
            </a:rPr>
            <a:t>Leaves Samples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E7216-EADB-4F29-B752-6F93B20A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bathula</dc:creator>
  <cp:lastModifiedBy>bathula</cp:lastModifiedBy>
  <cp:revision>50</cp:revision>
  <dcterms:created xsi:type="dcterms:W3CDTF">2017-06-26T00:44:00Z</dcterms:created>
  <dcterms:modified xsi:type="dcterms:W3CDTF">2020-06-26T21:18:00Z</dcterms:modified>
</cp:coreProperties>
</file>