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56E75" w14:textId="77777777" w:rsidR="00E354CC" w:rsidRPr="00E558AE" w:rsidRDefault="00E354CC" w:rsidP="00E354CC">
      <w:pPr>
        <w:jc w:val="center"/>
        <w:rPr>
          <w:b/>
          <w:bCs/>
          <w:sz w:val="36"/>
          <w:szCs w:val="36"/>
          <w:lang w:val="en-GB"/>
        </w:rPr>
      </w:pPr>
      <w:r w:rsidRPr="00E558AE">
        <w:rPr>
          <w:b/>
          <w:bCs/>
          <w:sz w:val="36"/>
          <w:szCs w:val="36"/>
          <w:lang w:val="en-GB"/>
        </w:rPr>
        <w:t>Supplementary Materials for</w:t>
      </w:r>
    </w:p>
    <w:p w14:paraId="514B6096" w14:textId="77777777" w:rsidR="00E354CC" w:rsidRPr="00E558AE" w:rsidRDefault="00E354CC" w:rsidP="00E354CC">
      <w:pPr>
        <w:jc w:val="center"/>
        <w:rPr>
          <w:b/>
          <w:bCs/>
          <w:color w:val="000000"/>
          <w:sz w:val="22"/>
          <w:szCs w:val="22"/>
          <w:lang w:val="en-GB"/>
        </w:rPr>
      </w:pPr>
    </w:p>
    <w:p w14:paraId="4E1F61F1" w14:textId="0C861D60" w:rsidR="00E354CC" w:rsidRPr="00E558AE" w:rsidRDefault="00D51F8F" w:rsidP="00D51F8F">
      <w:pPr>
        <w:jc w:val="center"/>
        <w:rPr>
          <w:b/>
          <w:bCs/>
          <w:lang w:val="en-GB"/>
        </w:rPr>
      </w:pPr>
      <w:r w:rsidRPr="00E558AE">
        <w:rPr>
          <w:b/>
          <w:bCs/>
          <w:color w:val="000000"/>
          <w:sz w:val="22"/>
          <w:szCs w:val="22"/>
          <w:lang w:val="en-GB"/>
        </w:rPr>
        <w:t xml:space="preserve">The Gut microbiome in End-stage </w:t>
      </w:r>
      <w:proofErr w:type="gramStart"/>
      <w:r w:rsidRPr="00E558AE">
        <w:rPr>
          <w:b/>
          <w:bCs/>
          <w:color w:val="000000"/>
          <w:sz w:val="22"/>
          <w:szCs w:val="22"/>
          <w:lang w:val="en-GB"/>
        </w:rPr>
        <w:t>Lung Disease</w:t>
      </w:r>
      <w:proofErr w:type="gramEnd"/>
      <w:r w:rsidRPr="00E558AE">
        <w:rPr>
          <w:b/>
          <w:bCs/>
          <w:color w:val="000000"/>
          <w:sz w:val="22"/>
          <w:szCs w:val="22"/>
          <w:lang w:val="en-GB"/>
        </w:rPr>
        <w:t xml:space="preserve"> and Lung Transplantation</w:t>
      </w:r>
    </w:p>
    <w:p w14:paraId="24FD2BA0" w14:textId="77777777" w:rsidR="00E354CC" w:rsidRPr="00E558AE" w:rsidRDefault="00E354CC" w:rsidP="00E354CC">
      <w:pPr>
        <w:rPr>
          <w:lang w:val="en-GB"/>
        </w:rPr>
      </w:pPr>
    </w:p>
    <w:p w14:paraId="1F7F6122" w14:textId="00A0E295" w:rsidR="00E354CC" w:rsidRPr="00E558AE" w:rsidRDefault="00E354CC" w:rsidP="00E354CC">
      <w:pPr>
        <w:jc w:val="center"/>
        <w:rPr>
          <w:i/>
          <w:iCs/>
          <w:lang w:val="en-GB"/>
        </w:rPr>
      </w:pPr>
      <w:proofErr w:type="spellStart"/>
      <w:r w:rsidRPr="00E558AE">
        <w:rPr>
          <w:lang w:val="en-GB"/>
        </w:rPr>
        <w:t>Shuyan</w:t>
      </w:r>
      <w:proofErr w:type="spellEnd"/>
      <w:r w:rsidRPr="00E558AE">
        <w:rPr>
          <w:lang w:val="en-GB"/>
        </w:rPr>
        <w:t xml:space="preserve"> Zhang, J. Casper </w:t>
      </w:r>
      <w:proofErr w:type="spellStart"/>
      <w:r w:rsidRPr="00E558AE">
        <w:rPr>
          <w:lang w:val="en-GB"/>
        </w:rPr>
        <w:t>Swarte</w:t>
      </w:r>
      <w:proofErr w:type="spellEnd"/>
      <w:r w:rsidRPr="00E558AE">
        <w:rPr>
          <w:lang w:val="en-GB"/>
        </w:rPr>
        <w:t>,</w:t>
      </w:r>
      <w:r w:rsidRPr="00E558AE">
        <w:rPr>
          <w:i/>
          <w:iCs/>
          <w:lang w:val="en-GB"/>
        </w:rPr>
        <w:t xml:space="preserve"> et al.</w:t>
      </w:r>
    </w:p>
    <w:p w14:paraId="74BE1E2E" w14:textId="77777777" w:rsidR="00E354CC" w:rsidRPr="00E558AE" w:rsidRDefault="00E354CC" w:rsidP="00E354CC">
      <w:pPr>
        <w:jc w:val="center"/>
        <w:rPr>
          <w:i/>
          <w:iCs/>
          <w:lang w:val="en-GB"/>
        </w:rPr>
      </w:pPr>
    </w:p>
    <w:p w14:paraId="3C98B9D5" w14:textId="77777777" w:rsidR="00E354CC" w:rsidRPr="00E558AE" w:rsidRDefault="00E354CC" w:rsidP="00E354CC">
      <w:pPr>
        <w:jc w:val="center"/>
        <w:rPr>
          <w:i/>
          <w:iCs/>
          <w:lang w:val="en-GB"/>
        </w:rPr>
      </w:pPr>
    </w:p>
    <w:p w14:paraId="4A1DE23E" w14:textId="1E881D51" w:rsidR="00E354CC" w:rsidRPr="00E558AE" w:rsidRDefault="00E354CC" w:rsidP="00E354CC">
      <w:pPr>
        <w:jc w:val="center"/>
        <w:rPr>
          <w:color w:val="000000"/>
          <w:sz w:val="22"/>
          <w:szCs w:val="22"/>
          <w:lang w:val="en-GB"/>
        </w:rPr>
      </w:pPr>
      <w:r w:rsidRPr="00E558AE">
        <w:rPr>
          <w:lang w:val="en-GB"/>
        </w:rPr>
        <w:t xml:space="preserve">Corresponding author: </w:t>
      </w:r>
      <w:r w:rsidRPr="00E558AE">
        <w:rPr>
          <w:color w:val="000000"/>
          <w:sz w:val="22"/>
          <w:szCs w:val="22"/>
          <w:lang w:val="en-GB"/>
        </w:rPr>
        <w:t>Johannes R. Björk</w:t>
      </w:r>
    </w:p>
    <w:p w14:paraId="777D3166" w14:textId="77777777" w:rsidR="00E354CC" w:rsidRPr="00E558AE" w:rsidRDefault="00E354CC" w:rsidP="00E354CC">
      <w:pPr>
        <w:jc w:val="center"/>
        <w:rPr>
          <w:color w:val="000000"/>
          <w:sz w:val="22"/>
          <w:szCs w:val="22"/>
          <w:lang w:val="en-GB"/>
        </w:rPr>
      </w:pPr>
    </w:p>
    <w:p w14:paraId="18DCFDD5" w14:textId="77777777" w:rsidR="00E354CC" w:rsidRPr="00E558AE" w:rsidRDefault="00E354CC" w:rsidP="00E354CC">
      <w:pPr>
        <w:jc w:val="center"/>
        <w:rPr>
          <w:color w:val="000000"/>
          <w:sz w:val="22"/>
          <w:szCs w:val="22"/>
          <w:lang w:val="en-GB"/>
        </w:rPr>
      </w:pPr>
    </w:p>
    <w:p w14:paraId="0C6FC836" w14:textId="24B4BEA9" w:rsidR="00E354CC" w:rsidRPr="00E558AE" w:rsidRDefault="00E354CC" w:rsidP="00E354CC">
      <w:pPr>
        <w:rPr>
          <w:b/>
          <w:bCs/>
          <w:color w:val="000000"/>
          <w:sz w:val="22"/>
          <w:szCs w:val="22"/>
          <w:lang w:val="en-GB"/>
        </w:rPr>
      </w:pPr>
      <w:r w:rsidRPr="00E558AE">
        <w:rPr>
          <w:b/>
          <w:bCs/>
          <w:color w:val="000000"/>
          <w:sz w:val="22"/>
          <w:szCs w:val="22"/>
          <w:lang w:val="en-GB"/>
        </w:rPr>
        <w:t>The file includes:</w:t>
      </w:r>
    </w:p>
    <w:p w14:paraId="376082AE" w14:textId="77777777" w:rsidR="00E354CC" w:rsidRPr="00E558AE" w:rsidRDefault="00E354CC" w:rsidP="00E354CC">
      <w:pPr>
        <w:rPr>
          <w:color w:val="000000"/>
          <w:sz w:val="22"/>
          <w:szCs w:val="22"/>
          <w:lang w:val="en-GB"/>
        </w:rPr>
      </w:pPr>
    </w:p>
    <w:p w14:paraId="0C82167F" w14:textId="3F3F84BF" w:rsidR="00E354CC" w:rsidRPr="00E558AE" w:rsidRDefault="009B0BB9" w:rsidP="00E354CC">
      <w:pPr>
        <w:rPr>
          <w:color w:val="000000"/>
          <w:sz w:val="22"/>
          <w:szCs w:val="22"/>
          <w:lang w:val="en-GB"/>
        </w:rPr>
      </w:pPr>
      <w:r w:rsidRPr="00E558AE">
        <w:rPr>
          <w:color w:val="000000"/>
          <w:sz w:val="22"/>
          <w:szCs w:val="22"/>
          <w:lang w:val="en-GB"/>
        </w:rPr>
        <w:t xml:space="preserve">Supplementary </w:t>
      </w:r>
      <w:r w:rsidR="00E354CC" w:rsidRPr="00E558AE">
        <w:rPr>
          <w:color w:val="000000"/>
          <w:sz w:val="22"/>
          <w:szCs w:val="22"/>
          <w:lang w:val="en-GB"/>
        </w:rPr>
        <w:t>Materials and Methods</w:t>
      </w:r>
    </w:p>
    <w:p w14:paraId="75A5ABF9" w14:textId="5874254C" w:rsidR="00E354CC" w:rsidRPr="00E558AE" w:rsidRDefault="00E354CC" w:rsidP="00E354CC">
      <w:pPr>
        <w:rPr>
          <w:color w:val="000000"/>
          <w:sz w:val="22"/>
          <w:szCs w:val="22"/>
          <w:lang w:val="en-GB"/>
        </w:rPr>
      </w:pPr>
      <w:r w:rsidRPr="00E558AE">
        <w:rPr>
          <w:color w:val="000000"/>
          <w:sz w:val="22"/>
          <w:szCs w:val="22"/>
          <w:lang w:val="en-GB"/>
        </w:rPr>
        <w:t>Fig</w:t>
      </w:r>
      <w:r w:rsidR="009B0BB9" w:rsidRPr="00E558AE">
        <w:rPr>
          <w:color w:val="000000"/>
          <w:sz w:val="22"/>
          <w:szCs w:val="22"/>
          <w:lang w:val="en-GB"/>
        </w:rPr>
        <w:t>ure</w:t>
      </w:r>
      <w:r w:rsidRPr="00E558AE">
        <w:rPr>
          <w:color w:val="000000"/>
          <w:sz w:val="22"/>
          <w:szCs w:val="22"/>
          <w:lang w:val="en-GB"/>
        </w:rPr>
        <w:t>s S1 to S</w:t>
      </w:r>
      <w:r w:rsidR="00E23B6B">
        <w:rPr>
          <w:color w:val="000000"/>
          <w:sz w:val="22"/>
          <w:szCs w:val="22"/>
          <w:lang w:val="en-GB"/>
        </w:rPr>
        <w:t>5</w:t>
      </w:r>
    </w:p>
    <w:p w14:paraId="360FEA0B" w14:textId="77777777" w:rsidR="00E354CC" w:rsidRPr="00E558AE" w:rsidRDefault="00E354CC" w:rsidP="00E354CC">
      <w:pPr>
        <w:rPr>
          <w:color w:val="000000"/>
          <w:sz w:val="22"/>
          <w:szCs w:val="22"/>
          <w:lang w:val="en-GB"/>
        </w:rPr>
      </w:pPr>
    </w:p>
    <w:p w14:paraId="267DFA39" w14:textId="77777777" w:rsidR="009B0BB9" w:rsidRPr="00E558AE" w:rsidRDefault="009B0BB9" w:rsidP="00E354CC">
      <w:pPr>
        <w:rPr>
          <w:color w:val="000000"/>
          <w:sz w:val="22"/>
          <w:szCs w:val="22"/>
          <w:lang w:val="en-GB"/>
        </w:rPr>
      </w:pPr>
    </w:p>
    <w:p w14:paraId="1B927ED7" w14:textId="77777777" w:rsidR="00E354CC" w:rsidRPr="00E558AE" w:rsidRDefault="00E354CC" w:rsidP="00E354CC">
      <w:pPr>
        <w:rPr>
          <w:b/>
          <w:bCs/>
          <w:color w:val="000000"/>
          <w:sz w:val="22"/>
          <w:szCs w:val="22"/>
          <w:lang w:val="en-GB"/>
        </w:rPr>
      </w:pPr>
      <w:r w:rsidRPr="00E558AE">
        <w:rPr>
          <w:b/>
          <w:bCs/>
          <w:color w:val="000000"/>
          <w:sz w:val="22"/>
          <w:szCs w:val="22"/>
          <w:lang w:val="en-GB"/>
        </w:rPr>
        <w:t>Other Supplementary Material for this manuscript includes the following:</w:t>
      </w:r>
    </w:p>
    <w:p w14:paraId="5E18C596" w14:textId="77777777" w:rsidR="00E354CC" w:rsidRPr="00E558AE" w:rsidRDefault="00E354CC" w:rsidP="00E354CC">
      <w:pPr>
        <w:rPr>
          <w:color w:val="000000"/>
          <w:sz w:val="22"/>
          <w:szCs w:val="22"/>
          <w:lang w:val="en-GB"/>
        </w:rPr>
      </w:pPr>
    </w:p>
    <w:p w14:paraId="7760F045" w14:textId="5C3AF9BB" w:rsidR="00E354CC" w:rsidRPr="00E558AE" w:rsidRDefault="00E354CC" w:rsidP="00E354CC">
      <w:pPr>
        <w:rPr>
          <w:color w:val="000000"/>
          <w:sz w:val="22"/>
          <w:szCs w:val="22"/>
          <w:lang w:val="en-GB"/>
        </w:rPr>
      </w:pPr>
      <w:r w:rsidRPr="00E558AE">
        <w:rPr>
          <w:color w:val="000000"/>
          <w:sz w:val="22"/>
          <w:szCs w:val="22"/>
          <w:lang w:val="en-GB"/>
        </w:rPr>
        <w:t>Tables S1 to S</w:t>
      </w:r>
      <w:r w:rsidR="00D51F8F" w:rsidRPr="00E558AE">
        <w:rPr>
          <w:color w:val="000000"/>
          <w:sz w:val="22"/>
          <w:szCs w:val="22"/>
          <w:lang w:val="en-GB"/>
        </w:rPr>
        <w:t>9</w:t>
      </w:r>
    </w:p>
    <w:p w14:paraId="7A93BBFA" w14:textId="77777777" w:rsidR="00E354CC" w:rsidRPr="00E558AE" w:rsidRDefault="00E354CC" w:rsidP="00E354CC">
      <w:pPr>
        <w:rPr>
          <w:rFonts w:ascii="Arial" w:hAnsi="Arial" w:cs="Arial"/>
          <w:b/>
          <w:bCs/>
          <w:color w:val="000000"/>
          <w:sz w:val="40"/>
          <w:szCs w:val="40"/>
          <w:lang w:val="en-GB"/>
        </w:rPr>
      </w:pPr>
    </w:p>
    <w:p w14:paraId="4ED1BDA6" w14:textId="77777777" w:rsidR="00E354CC" w:rsidRPr="00E558AE" w:rsidRDefault="00E354CC">
      <w:pPr>
        <w:rPr>
          <w:rFonts w:ascii="Arial" w:hAnsi="Arial" w:cs="Arial"/>
          <w:b/>
          <w:bCs/>
          <w:color w:val="000000"/>
          <w:sz w:val="40"/>
          <w:szCs w:val="40"/>
          <w:lang w:val="en-GB"/>
        </w:rPr>
      </w:pPr>
      <w:r w:rsidRPr="00E558AE">
        <w:rPr>
          <w:rFonts w:ascii="Arial" w:hAnsi="Arial" w:cs="Arial"/>
          <w:b/>
          <w:bCs/>
          <w:color w:val="000000"/>
          <w:sz w:val="40"/>
          <w:szCs w:val="40"/>
          <w:lang w:val="en-GB"/>
        </w:rPr>
        <w:br w:type="page"/>
      </w:r>
    </w:p>
    <w:p w14:paraId="1AF3AC2B" w14:textId="109F6AD2" w:rsidR="00E354CC" w:rsidRPr="00E558AE" w:rsidRDefault="00E354CC" w:rsidP="00E354CC">
      <w:pPr>
        <w:rPr>
          <w:b/>
          <w:bCs/>
          <w:color w:val="000000"/>
          <w:sz w:val="40"/>
          <w:szCs w:val="40"/>
          <w:lang w:val="en-GB"/>
        </w:rPr>
      </w:pPr>
      <w:r w:rsidRPr="00E558AE">
        <w:rPr>
          <w:b/>
          <w:bCs/>
          <w:color w:val="000000"/>
          <w:sz w:val="40"/>
          <w:szCs w:val="40"/>
          <w:lang w:val="en-GB"/>
        </w:rPr>
        <w:lastRenderedPageBreak/>
        <w:t>Supplementary Materials and methods</w:t>
      </w:r>
    </w:p>
    <w:p w14:paraId="1120BAF3" w14:textId="77777777" w:rsidR="00E354CC" w:rsidRPr="00E558AE" w:rsidRDefault="00E354CC" w:rsidP="00E354CC">
      <w:pPr>
        <w:rPr>
          <w:b/>
          <w:bCs/>
          <w:color w:val="000000"/>
          <w:sz w:val="32"/>
          <w:szCs w:val="32"/>
          <w:lang w:val="en-GB"/>
        </w:rPr>
      </w:pPr>
    </w:p>
    <w:p w14:paraId="2FB0C123" w14:textId="77777777" w:rsidR="00E354CC" w:rsidRPr="00E558AE" w:rsidRDefault="00E354CC" w:rsidP="00E354CC">
      <w:pPr>
        <w:rPr>
          <w:b/>
          <w:bCs/>
          <w:color w:val="000000"/>
          <w:sz w:val="28"/>
          <w:szCs w:val="28"/>
          <w:lang w:val="en-GB"/>
        </w:rPr>
      </w:pPr>
      <w:r w:rsidRPr="00E558AE">
        <w:rPr>
          <w:b/>
          <w:bCs/>
          <w:color w:val="000000"/>
          <w:sz w:val="28"/>
          <w:szCs w:val="28"/>
          <w:lang w:val="en-GB"/>
        </w:rPr>
        <w:t>Study design</w:t>
      </w:r>
    </w:p>
    <w:p w14:paraId="2AEE32C8" w14:textId="77777777" w:rsidR="00E354CC" w:rsidRPr="00E558AE" w:rsidRDefault="00E354CC" w:rsidP="00E354CC">
      <w:pPr>
        <w:rPr>
          <w:b/>
          <w:bCs/>
          <w:color w:val="000000"/>
          <w:sz w:val="32"/>
          <w:szCs w:val="32"/>
          <w:lang w:val="en-GB"/>
        </w:rPr>
      </w:pPr>
    </w:p>
    <w:p w14:paraId="332B216A" w14:textId="1F4FF076" w:rsidR="00E354CC" w:rsidRPr="00E558AE" w:rsidRDefault="00E354CC" w:rsidP="005C708D">
      <w:pPr>
        <w:spacing w:line="360" w:lineRule="auto"/>
        <w:rPr>
          <w:b/>
          <w:bCs/>
          <w:color w:val="000000"/>
          <w:sz w:val="28"/>
          <w:szCs w:val="28"/>
          <w:lang w:val="en-GB"/>
        </w:rPr>
      </w:pPr>
      <w:proofErr w:type="spellStart"/>
      <w:r w:rsidRPr="00E558AE">
        <w:rPr>
          <w:b/>
          <w:bCs/>
          <w:color w:val="000000"/>
          <w:sz w:val="28"/>
          <w:szCs w:val="28"/>
          <w:lang w:val="en-GB"/>
        </w:rPr>
        <w:t>TransplantLines</w:t>
      </w:r>
      <w:proofErr w:type="spellEnd"/>
      <w:r w:rsidRPr="00E558AE">
        <w:rPr>
          <w:b/>
          <w:bCs/>
          <w:color w:val="000000"/>
          <w:sz w:val="28"/>
          <w:szCs w:val="28"/>
          <w:lang w:val="en-GB"/>
        </w:rPr>
        <w:t xml:space="preserve"> microbiome study</w:t>
      </w:r>
    </w:p>
    <w:p w14:paraId="18AD9FE0" w14:textId="4DE1AEA4" w:rsidR="00E354CC" w:rsidRPr="00E558AE" w:rsidRDefault="00E354CC" w:rsidP="00E354CC">
      <w:pPr>
        <w:spacing w:line="276" w:lineRule="auto"/>
        <w:rPr>
          <w:color w:val="000000"/>
          <w:sz w:val="22"/>
          <w:szCs w:val="22"/>
          <w:lang w:val="en-GB"/>
        </w:rPr>
      </w:pPr>
      <w:r w:rsidRPr="00E558AE">
        <w:rPr>
          <w:color w:val="000000"/>
          <w:sz w:val="22"/>
          <w:szCs w:val="22"/>
          <w:lang w:val="en-GB"/>
        </w:rPr>
        <w:t xml:space="preserve">We recruited patients with end-stage lung diseases and recipients who had undergone a lung transplantation. Their </w:t>
      </w:r>
      <w:r w:rsidR="00E558AE" w:rsidRPr="00E558AE">
        <w:rPr>
          <w:color w:val="000000"/>
          <w:sz w:val="22"/>
          <w:szCs w:val="22"/>
          <w:lang w:val="en-GB"/>
        </w:rPr>
        <w:t>faecal</w:t>
      </w:r>
      <w:r w:rsidRPr="00E558AE">
        <w:rPr>
          <w:color w:val="000000"/>
          <w:sz w:val="22"/>
          <w:szCs w:val="22"/>
          <w:lang w:val="en-GB"/>
        </w:rPr>
        <w:t xml:space="preserve"> samples were collected by the </w:t>
      </w:r>
      <w:proofErr w:type="spellStart"/>
      <w:r w:rsidRPr="00E558AE">
        <w:rPr>
          <w:color w:val="000000"/>
          <w:sz w:val="22"/>
          <w:szCs w:val="22"/>
          <w:lang w:val="en-GB"/>
        </w:rPr>
        <w:t>TransplantLines</w:t>
      </w:r>
      <w:proofErr w:type="spellEnd"/>
      <w:r w:rsidRPr="00E558AE">
        <w:rPr>
          <w:color w:val="000000"/>
          <w:sz w:val="22"/>
          <w:szCs w:val="22"/>
          <w:lang w:val="en-GB"/>
        </w:rPr>
        <w:t xml:space="preserve"> microbiome study (trial registration number NCT03272841). </w:t>
      </w:r>
      <w:proofErr w:type="spellStart"/>
      <w:r w:rsidRPr="00E558AE">
        <w:rPr>
          <w:color w:val="000000"/>
          <w:sz w:val="22"/>
          <w:szCs w:val="22"/>
          <w:lang w:val="en-GB"/>
        </w:rPr>
        <w:t>Eisenga</w:t>
      </w:r>
      <w:proofErr w:type="spellEnd"/>
      <w:r w:rsidRPr="00E558AE">
        <w:rPr>
          <w:color w:val="000000"/>
          <w:sz w:val="22"/>
          <w:szCs w:val="22"/>
          <w:lang w:val="en-GB"/>
        </w:rPr>
        <w:t xml:space="preserve"> et al.</w:t>
      </w:r>
      <w:r w:rsidR="00E1423C" w:rsidRPr="00E558AE">
        <w:rPr>
          <w:color w:val="000000"/>
          <w:sz w:val="22"/>
          <w:szCs w:val="22"/>
          <w:lang w:val="en-GB"/>
        </w:rPr>
        <w:t xml:space="preserve"> </w:t>
      </w:r>
      <w:r w:rsidR="00E1423C" w:rsidRPr="00E558AE">
        <w:rPr>
          <w:color w:val="000000"/>
          <w:sz w:val="22"/>
          <w:szCs w:val="22"/>
          <w:lang w:val="en-GB"/>
        </w:rPr>
        <w:fldChar w:fldCharType="begin"/>
      </w:r>
      <w:r w:rsidR="00E1423C" w:rsidRPr="00E558AE">
        <w:rPr>
          <w:color w:val="000000"/>
          <w:sz w:val="22"/>
          <w:szCs w:val="22"/>
          <w:lang w:val="en-GB"/>
        </w:rPr>
        <w:instrText xml:space="preserve"> ADDIN ZOTERO_ITEM CSL_CITATION {"citationID":"KCZ2OMHX","properties":{"formattedCitation":"[1]","plainCitation":"[1]","noteIndex":0},"citationItems":[{"id":46,"uris":["http://zotero.org/users/10362293/items/MSV939KL"],"itemData":{"id":46,"type":"article-journal","abstract":"INTRODUCTION: In the past decades, short-term results after solid organ transplantation have markedly improved. Disappointingly, this has not been accompanied by parallel improvements in long-term outcomes after transplantation. To improve graft and recipient outcomes, identification of potentially modifiable risk factors and development of biomarkers are required. We provide the rationale and design of a large prospective cohort study of solid organ transplant recipients (TransplantLines).\nMETHODS AND ANALYSIS: TransplantLines is designed as a single-centre, prospective cohort study and biobank including all different types of solid organ transplant recipients as well as living organ donors. Data will be collected from transplant candidates before transplantation, during transplantation, at 3 months, 6 months, 1 year, 2 years and 5 years, and subsequently every 5 years after transplantation. Data from living organ donors will be collected before donation, during donation, at 3 months, 1 year and 5 years after donation, and subsequently every 5 years. The primary outcomes are mortality and graft failure. The secondary outcomes will be cause-specific mortality, cause-specific graft failure and rejection. The tertiary outcomes will be other health problems, including diabetes, obesity, hypertension, hypercholesterolaemia and cardiovascular disease, and disturbances that relate to quality of life, that is, physical and psychological functioning, including quality of sleep, and neurological problems such as tremor and polyneuropathy.\nETHICS AND DISSEMINATION: Ethical approval has been obtained from the relevant local ethics committee. The TransplantLines cohort study is designed to deliver pioneering insights into transplantation and donation outcomes. The study design allows comprehensive data collection on perioperative care, nutrition, social and psychological functioning, and biochemical parameters. This may provide a rationale for future intervention strategies to more individualised, patient-centred transplant care and individualisation of treatment.\nTRIAL REGISTRATION NUMBER: NCT03272841.","container-title":"BMJ open","DOI":"10.1136/bmjopen-2018-024502","ISSN":"2044-6055","issue":"12","journalAbbreviation":"BMJ Open","language":"eng","note":"PMID: 30598488\nPMCID: PMC6318532","page":"e024502","source":"PubMed","title":"Rationale and design of TransplantLines: a prospective cohort study and biobank of solid organ transplant recipients","title-short":"Rationale and design of TransplantLines","volume":"8","author":[{"family":"Eisenga","given":"Michele F."},{"family":"Gomes-Neto","given":"Antonio W."},{"family":"Londen","given":"Marco","non-dropping-particle":"van"},{"family":"Ziengs","given":"Aaltje L."},{"family":"Douwes","given":"Rianne M."},{"family":"Stam","given":"Suzanne P."},{"family":"Osté","given":"Maryse C. J."},{"family":"Knobbe","given":"Tim J."},{"family":"Hessels","given":"Niek R."},{"family":"Buunk","given":"Anne M."},{"family":"Annema","given":"Coby"},{"family":"Siebelink","given":"Marion J."},{"family":"Racz","given":"Emoke"},{"family":"Spikman","given":"Jacoba M."},{"family":"Bodewes","given":"Frank A. J. A."},{"family":"Pol","given":"Robert A."},{"family":"Berger","given":"Stefan P."},{"family":"Drost","given":"Gea"},{"family":"Porte","given":"Robert J."},{"family":"Leuvenink","given":"Henri G. D."},{"family":"Damman","given":"Kevin"},{"family":"Verschuuren","given":"Erik A. M."},{"family":"Meijer","given":"Vincent E.","non-dropping-particle":"de"},{"family":"Blokzijl","given":"Hans"},{"family":"Bakker","given":"Stephan J. L."}],"issued":{"date-parts":[["2018",12,31]]}}}],"schema":"https://github.com/citation-style-language/schema/raw/master/csl-citation.json"} </w:instrText>
      </w:r>
      <w:r w:rsidR="00E1423C" w:rsidRPr="00E558AE">
        <w:rPr>
          <w:color w:val="000000"/>
          <w:sz w:val="22"/>
          <w:szCs w:val="22"/>
          <w:lang w:val="en-GB"/>
        </w:rPr>
        <w:fldChar w:fldCharType="separate"/>
      </w:r>
      <w:r w:rsidR="00E1423C" w:rsidRPr="00E558AE">
        <w:rPr>
          <w:noProof/>
          <w:color w:val="000000"/>
          <w:sz w:val="22"/>
          <w:szCs w:val="22"/>
          <w:lang w:val="en-GB"/>
        </w:rPr>
        <w:t>[1]</w:t>
      </w:r>
      <w:r w:rsidR="00E1423C" w:rsidRPr="00E558AE">
        <w:rPr>
          <w:color w:val="000000"/>
          <w:sz w:val="22"/>
          <w:szCs w:val="22"/>
          <w:lang w:val="en-GB"/>
        </w:rPr>
        <w:fldChar w:fldCharType="end"/>
      </w:r>
      <w:r w:rsidRPr="00E558AE">
        <w:rPr>
          <w:color w:val="000000"/>
          <w:sz w:val="22"/>
          <w:szCs w:val="22"/>
          <w:lang w:val="en-GB"/>
        </w:rPr>
        <w:t xml:space="preserve"> has described the </w:t>
      </w:r>
      <w:proofErr w:type="spellStart"/>
      <w:r w:rsidRPr="00E558AE">
        <w:rPr>
          <w:color w:val="000000"/>
          <w:sz w:val="22"/>
          <w:szCs w:val="22"/>
          <w:lang w:val="en-GB"/>
        </w:rPr>
        <w:t>TransplantLines</w:t>
      </w:r>
      <w:proofErr w:type="spellEnd"/>
      <w:r w:rsidRPr="00E558AE">
        <w:rPr>
          <w:color w:val="000000"/>
          <w:sz w:val="22"/>
          <w:szCs w:val="22"/>
          <w:lang w:val="en-GB"/>
        </w:rPr>
        <w:t xml:space="preserve"> study in detail with regard to randomization, rationale of the study design and inclusion/exclusion criteria. We also included </w:t>
      </w:r>
      <w:r w:rsidR="00E558AE" w:rsidRPr="00E558AE">
        <w:rPr>
          <w:color w:val="000000"/>
          <w:sz w:val="22"/>
          <w:szCs w:val="22"/>
          <w:lang w:val="en-GB"/>
        </w:rPr>
        <w:t>faecal</w:t>
      </w:r>
      <w:r w:rsidRPr="00E558AE">
        <w:rPr>
          <w:color w:val="000000"/>
          <w:sz w:val="22"/>
          <w:szCs w:val="22"/>
          <w:lang w:val="en-GB"/>
        </w:rPr>
        <w:t xml:space="preserve"> samples collected from age-, gender- and BMI- matched renal donors from the </w:t>
      </w:r>
      <w:proofErr w:type="spellStart"/>
      <w:r w:rsidRPr="00E558AE">
        <w:rPr>
          <w:color w:val="000000"/>
          <w:sz w:val="22"/>
          <w:szCs w:val="22"/>
          <w:lang w:val="en-GB"/>
        </w:rPr>
        <w:t>TransplantLines</w:t>
      </w:r>
      <w:proofErr w:type="spellEnd"/>
      <w:r w:rsidRPr="00E558AE">
        <w:rPr>
          <w:color w:val="000000"/>
          <w:sz w:val="22"/>
          <w:szCs w:val="22"/>
          <w:lang w:val="en-GB"/>
        </w:rPr>
        <w:t xml:space="preserve"> cohort prior to the surgery as the healthy controls in this study. </w:t>
      </w:r>
    </w:p>
    <w:p w14:paraId="7E7115CA" w14:textId="77777777" w:rsidR="00E1423C" w:rsidRPr="00E558AE" w:rsidRDefault="00E1423C" w:rsidP="00E354CC">
      <w:pPr>
        <w:spacing w:line="276" w:lineRule="auto"/>
        <w:rPr>
          <w:color w:val="000000"/>
          <w:sz w:val="22"/>
          <w:szCs w:val="22"/>
          <w:lang w:val="en-GB"/>
        </w:rPr>
      </w:pPr>
    </w:p>
    <w:p w14:paraId="4517D0B5" w14:textId="77777777" w:rsidR="00E1423C" w:rsidRPr="00E558AE" w:rsidRDefault="00E1423C" w:rsidP="00E1423C">
      <w:pPr>
        <w:spacing w:line="360" w:lineRule="auto"/>
        <w:rPr>
          <w:b/>
          <w:bCs/>
          <w:sz w:val="28"/>
          <w:szCs w:val="28"/>
          <w:lang w:val="en-GB"/>
        </w:rPr>
      </w:pPr>
      <w:r w:rsidRPr="00E558AE">
        <w:rPr>
          <w:b/>
          <w:bCs/>
          <w:sz w:val="28"/>
          <w:szCs w:val="28"/>
          <w:lang w:val="en-GB"/>
        </w:rPr>
        <w:t>Ethical Approval</w:t>
      </w:r>
    </w:p>
    <w:p w14:paraId="7F107568" w14:textId="322C2076" w:rsidR="00E1423C" w:rsidRPr="00E558AE" w:rsidRDefault="00E1423C" w:rsidP="00E1423C">
      <w:pPr>
        <w:spacing w:line="276" w:lineRule="auto"/>
        <w:rPr>
          <w:b/>
          <w:bCs/>
          <w:sz w:val="28"/>
          <w:szCs w:val="28"/>
          <w:lang w:val="en-GB"/>
        </w:rPr>
      </w:pPr>
      <w:r w:rsidRPr="00E558AE">
        <w:rPr>
          <w:sz w:val="22"/>
          <w:szCs w:val="22"/>
          <w:lang w:val="en-GB"/>
        </w:rPr>
        <w:t xml:space="preserve">An informed consent form was signed by all participants before sample collection. The institutional ethics review board in the University Medical Centre Groningen (UMCG) approved </w:t>
      </w:r>
      <w:proofErr w:type="spellStart"/>
      <w:r w:rsidRPr="00E558AE">
        <w:rPr>
          <w:sz w:val="22"/>
          <w:szCs w:val="22"/>
          <w:lang w:val="en-GB"/>
        </w:rPr>
        <w:t>TransplantLines</w:t>
      </w:r>
      <w:proofErr w:type="spellEnd"/>
      <w:r w:rsidRPr="00E558AE">
        <w:rPr>
          <w:sz w:val="22"/>
          <w:szCs w:val="22"/>
          <w:lang w:val="en-GB"/>
        </w:rPr>
        <w:t xml:space="preserve"> (</w:t>
      </w:r>
      <w:proofErr w:type="spellStart"/>
      <w:r w:rsidRPr="00E558AE">
        <w:rPr>
          <w:sz w:val="22"/>
          <w:szCs w:val="22"/>
          <w:lang w:val="en-GB"/>
        </w:rPr>
        <w:t>METc</w:t>
      </w:r>
      <w:proofErr w:type="spellEnd"/>
      <w:r w:rsidRPr="00E558AE">
        <w:rPr>
          <w:sz w:val="22"/>
          <w:szCs w:val="22"/>
          <w:lang w:val="en-GB"/>
        </w:rPr>
        <w:t xml:space="preserve"> 2014/077), which is in accordance with the UMCG Biobank Regulation and adheres to the World Medical Association Declaration of Helsinki and the Declaration of Istanbul. </w:t>
      </w:r>
    </w:p>
    <w:p w14:paraId="57DB08F9" w14:textId="77777777" w:rsidR="00E354CC" w:rsidRPr="00E558AE" w:rsidRDefault="00E354CC" w:rsidP="00E354CC">
      <w:pPr>
        <w:pStyle w:val="NormalWeb"/>
        <w:rPr>
          <w:lang w:val="en-GB"/>
        </w:rPr>
      </w:pPr>
      <w:r w:rsidRPr="00E558AE">
        <w:rPr>
          <w:b/>
          <w:bCs/>
          <w:sz w:val="28"/>
          <w:szCs w:val="28"/>
          <w:lang w:val="en-GB"/>
        </w:rPr>
        <w:t>Clinical and laboratory characteristics</w:t>
      </w:r>
    </w:p>
    <w:p w14:paraId="08F425EE" w14:textId="1A350C66" w:rsidR="00E354CC" w:rsidRPr="00E558AE" w:rsidRDefault="00E354CC" w:rsidP="00E354CC">
      <w:pPr>
        <w:pStyle w:val="NormalWeb"/>
        <w:spacing w:line="276" w:lineRule="auto"/>
        <w:rPr>
          <w:sz w:val="22"/>
          <w:szCs w:val="22"/>
          <w:lang w:val="en-GB"/>
        </w:rPr>
      </w:pPr>
      <w:r w:rsidRPr="00E558AE">
        <w:rPr>
          <w:sz w:val="22"/>
          <w:szCs w:val="22"/>
          <w:lang w:val="en-GB"/>
        </w:rPr>
        <w:t xml:space="preserve">At every study visit, a fixed set of laboratory parameters was measured and recorded into the study database with the consent of patients. Blood samples were collected in the morning after 8-12 hours of overnight fasting before the study visit and were measured by in-hospital routine assays to </w:t>
      </w:r>
      <w:r w:rsidR="00E558AE" w:rsidRPr="00E558AE">
        <w:rPr>
          <w:sz w:val="22"/>
          <w:szCs w:val="22"/>
          <w:lang w:val="en-GB"/>
        </w:rPr>
        <w:t>analyse</w:t>
      </w:r>
      <w:r w:rsidRPr="00E558AE">
        <w:rPr>
          <w:sz w:val="22"/>
          <w:szCs w:val="22"/>
          <w:lang w:val="en-GB"/>
        </w:rPr>
        <w:t xml:space="preserve"> clinical markers. Demographics and data on medication use were offered by the participants and confirmed by the patients during the study visit. Anthropometry measurements included height, body weight and fat percentage (multifrequency bioelectrical impedance device; BIA, </w:t>
      </w:r>
      <w:proofErr w:type="spellStart"/>
      <w:r w:rsidRPr="00E558AE">
        <w:rPr>
          <w:sz w:val="22"/>
          <w:szCs w:val="22"/>
          <w:lang w:val="en-GB"/>
        </w:rPr>
        <w:t>Quadscan</w:t>
      </w:r>
      <w:proofErr w:type="spellEnd"/>
      <w:r w:rsidRPr="00E558AE">
        <w:rPr>
          <w:sz w:val="22"/>
          <w:szCs w:val="22"/>
          <w:lang w:val="en-GB"/>
        </w:rPr>
        <w:t xml:space="preserve"> 4000, </w:t>
      </w:r>
      <w:proofErr w:type="spellStart"/>
      <w:r w:rsidRPr="00E558AE">
        <w:rPr>
          <w:sz w:val="22"/>
          <w:szCs w:val="22"/>
          <w:lang w:val="en-GB"/>
        </w:rPr>
        <w:t>Bodystat</w:t>
      </w:r>
      <w:proofErr w:type="spellEnd"/>
      <w:r w:rsidRPr="00E558AE">
        <w:rPr>
          <w:sz w:val="22"/>
          <w:szCs w:val="22"/>
          <w:lang w:val="en-GB"/>
        </w:rPr>
        <w:t xml:space="preserve">, Douglas). General medical information at the time point of transplantation was extracted from electronic hospital records. </w:t>
      </w:r>
    </w:p>
    <w:p w14:paraId="195FDD67" w14:textId="77777777" w:rsidR="00E354CC" w:rsidRPr="00E558AE" w:rsidRDefault="00E354CC" w:rsidP="00E354CC">
      <w:pPr>
        <w:pStyle w:val="NormalWeb"/>
        <w:rPr>
          <w:lang w:val="en-GB"/>
        </w:rPr>
      </w:pPr>
      <w:r w:rsidRPr="00E558AE">
        <w:rPr>
          <w:b/>
          <w:bCs/>
          <w:sz w:val="28"/>
          <w:szCs w:val="28"/>
          <w:lang w:val="en-GB"/>
        </w:rPr>
        <w:t xml:space="preserve">Cross-sectional and longitudinal sampling </w:t>
      </w:r>
    </w:p>
    <w:p w14:paraId="0DBD65E7" w14:textId="65021963" w:rsidR="00E354CC" w:rsidRPr="00E558AE" w:rsidRDefault="00E354CC" w:rsidP="00E354CC">
      <w:pPr>
        <w:pStyle w:val="NormalWeb"/>
        <w:spacing w:line="276" w:lineRule="auto"/>
        <w:rPr>
          <w:sz w:val="22"/>
          <w:szCs w:val="22"/>
          <w:lang w:val="en-GB"/>
        </w:rPr>
      </w:pPr>
      <w:r w:rsidRPr="00E558AE">
        <w:rPr>
          <w:sz w:val="22"/>
          <w:szCs w:val="22"/>
          <w:lang w:val="en-GB"/>
        </w:rPr>
        <w:t xml:space="preserve">The combination of collecting both cross-sectional and longitudinal samples made it possible to investigate the gut microbiome of patients with end-stage lung diseases, the short-term dynamics of the gut microbiome after lung transplantation and the long-term alteration of the gut microbiome after lung transplantation. Transplantation candidates are screened intensively before transplantation. Patients up to the transplantation standard were included in the </w:t>
      </w:r>
      <w:proofErr w:type="spellStart"/>
      <w:r w:rsidRPr="00E558AE">
        <w:rPr>
          <w:sz w:val="22"/>
          <w:szCs w:val="22"/>
          <w:lang w:val="en-GB"/>
        </w:rPr>
        <w:t>TransplantLines</w:t>
      </w:r>
      <w:proofErr w:type="spellEnd"/>
      <w:r w:rsidRPr="00E558AE">
        <w:rPr>
          <w:sz w:val="22"/>
          <w:szCs w:val="22"/>
          <w:lang w:val="en-GB"/>
        </w:rPr>
        <w:t xml:space="preserve"> study. Pre-transplantation patients were followed as end-stage disease patients. Further study visits were done at 3 months, 6 months, 12 </w:t>
      </w:r>
      <w:proofErr w:type="gramStart"/>
      <w:r w:rsidRPr="00E558AE">
        <w:rPr>
          <w:sz w:val="22"/>
          <w:szCs w:val="22"/>
          <w:lang w:val="en-GB"/>
        </w:rPr>
        <w:t>months</w:t>
      </w:r>
      <w:proofErr w:type="gramEnd"/>
      <w:r w:rsidRPr="00E558AE">
        <w:rPr>
          <w:sz w:val="22"/>
          <w:szCs w:val="22"/>
          <w:lang w:val="en-GB"/>
        </w:rPr>
        <w:t xml:space="preserve"> and 24 months after transplantation. Transplant recipients who underwent the transplantation before June 2015 were included in the cross-sectional part of the study for one study visit. The patients in the cross-sectional part of the study were not followed prospectively and were included at a time point &gt; 1 year after transplantation. </w:t>
      </w:r>
      <w:r w:rsidR="00F471EF">
        <w:rPr>
          <w:color w:val="000000"/>
          <w:sz w:val="22"/>
          <w:szCs w:val="22"/>
        </w:rPr>
        <w:t xml:space="preserve">In this study, the mean delay of collecting cross-sectional samples is 6 years after lung transplantation; the numbers of longitudinal samples collected at 3 months, 6 months, 12 </w:t>
      </w:r>
      <w:proofErr w:type="gramStart"/>
      <w:r w:rsidR="00F471EF">
        <w:rPr>
          <w:color w:val="000000"/>
          <w:sz w:val="22"/>
          <w:szCs w:val="22"/>
        </w:rPr>
        <w:t>months</w:t>
      </w:r>
      <w:proofErr w:type="gramEnd"/>
      <w:r w:rsidR="00F471EF">
        <w:rPr>
          <w:color w:val="000000"/>
          <w:sz w:val="22"/>
          <w:szCs w:val="22"/>
        </w:rPr>
        <w:t xml:space="preserve"> and 24 months after transplantation are 5, 29, 34 and 17 respectively.</w:t>
      </w:r>
    </w:p>
    <w:p w14:paraId="2257E943" w14:textId="77777777" w:rsidR="00E1423C" w:rsidRPr="00E558AE" w:rsidRDefault="00E1423C" w:rsidP="00E354CC">
      <w:pPr>
        <w:pStyle w:val="NormalWeb"/>
        <w:spacing w:line="276" w:lineRule="auto"/>
        <w:rPr>
          <w:sz w:val="22"/>
          <w:szCs w:val="22"/>
          <w:lang w:val="en-GB"/>
        </w:rPr>
      </w:pPr>
    </w:p>
    <w:p w14:paraId="09900631" w14:textId="77777777" w:rsidR="00E1423C" w:rsidRPr="00E558AE" w:rsidRDefault="00E1423C" w:rsidP="00E354CC">
      <w:pPr>
        <w:pStyle w:val="NormalWeb"/>
        <w:spacing w:line="276" w:lineRule="auto"/>
        <w:rPr>
          <w:sz w:val="22"/>
          <w:szCs w:val="22"/>
          <w:lang w:val="en-GB"/>
        </w:rPr>
      </w:pPr>
    </w:p>
    <w:p w14:paraId="3053BCD0" w14:textId="77777777" w:rsidR="00E1423C" w:rsidRPr="00E558AE" w:rsidRDefault="00E1423C" w:rsidP="00E1423C">
      <w:pPr>
        <w:spacing w:line="360" w:lineRule="auto"/>
        <w:rPr>
          <w:b/>
          <w:bCs/>
          <w:sz w:val="28"/>
          <w:szCs w:val="28"/>
          <w:lang w:val="en-GB"/>
        </w:rPr>
      </w:pPr>
      <w:r w:rsidRPr="00E558AE">
        <w:rPr>
          <w:b/>
          <w:bCs/>
          <w:sz w:val="28"/>
          <w:szCs w:val="28"/>
          <w:lang w:val="en-GB"/>
        </w:rPr>
        <w:t>Identification of medication regimens by unsupervised clustering</w:t>
      </w:r>
    </w:p>
    <w:p w14:paraId="7B103D6B" w14:textId="270715DE" w:rsidR="00E354CC" w:rsidRPr="00E558AE" w:rsidRDefault="00E1423C" w:rsidP="00F036DA">
      <w:pPr>
        <w:spacing w:line="276" w:lineRule="auto"/>
        <w:rPr>
          <w:sz w:val="22"/>
          <w:szCs w:val="22"/>
          <w:lang w:val="en-GB"/>
        </w:rPr>
      </w:pPr>
      <w:r w:rsidRPr="00E558AE">
        <w:rPr>
          <w:sz w:val="22"/>
          <w:szCs w:val="22"/>
          <w:lang w:val="en-GB"/>
        </w:rPr>
        <w:t xml:space="preserve">According to standardised protocol, there are seven commonly used immunosuppressive drugs: tacrolimus, ciclosporin, mycophenolic acid, azathioprine, </w:t>
      </w:r>
      <w:proofErr w:type="spellStart"/>
      <w:r w:rsidRPr="00E558AE">
        <w:rPr>
          <w:sz w:val="22"/>
          <w:szCs w:val="22"/>
          <w:lang w:val="en-GB"/>
        </w:rPr>
        <w:t>everolimus</w:t>
      </w:r>
      <w:proofErr w:type="spellEnd"/>
      <w:r w:rsidRPr="00E558AE">
        <w:rPr>
          <w:sz w:val="22"/>
          <w:szCs w:val="22"/>
          <w:lang w:val="en-GB"/>
        </w:rPr>
        <w:t xml:space="preserve">, sirolimus and prednisolone. Six antibiotic groups are frequently used: fluoroquinolone, penicillin, aminoglycoside, macrolide, </w:t>
      </w:r>
      <w:proofErr w:type="gramStart"/>
      <w:r w:rsidRPr="00E558AE">
        <w:rPr>
          <w:sz w:val="22"/>
          <w:szCs w:val="22"/>
          <w:lang w:val="en-GB"/>
        </w:rPr>
        <w:t>imidazole</w:t>
      </w:r>
      <w:proofErr w:type="gramEnd"/>
      <w:r w:rsidRPr="00E558AE">
        <w:rPr>
          <w:sz w:val="22"/>
          <w:szCs w:val="22"/>
          <w:lang w:val="en-GB"/>
        </w:rPr>
        <w:t xml:space="preserve"> and </w:t>
      </w:r>
      <w:proofErr w:type="spellStart"/>
      <w:r w:rsidRPr="00E558AE">
        <w:rPr>
          <w:sz w:val="22"/>
          <w:szCs w:val="22"/>
          <w:lang w:val="en-GB"/>
        </w:rPr>
        <w:t>sulfonamide</w:t>
      </w:r>
      <w:proofErr w:type="spellEnd"/>
      <w:r w:rsidRPr="00E558AE">
        <w:rPr>
          <w:sz w:val="22"/>
          <w:szCs w:val="22"/>
          <w:lang w:val="en-GB"/>
        </w:rPr>
        <w:t xml:space="preserve"> trimethoprim. Usage of these medications in LTR is listed in Table S1, and 1/0 was used to indicate whether the patient used/did not use the medication at the time point of the study visit. </w:t>
      </w:r>
      <w:r w:rsidRPr="00E558AE">
        <w:rPr>
          <w:noProof/>
          <w:sz w:val="22"/>
          <w:szCs w:val="22"/>
          <w:lang w:val="en-GB"/>
        </w:rPr>
        <mc:AlternateContent>
          <mc:Choice Requires="wps">
            <w:drawing>
              <wp:anchor distT="0" distB="0" distL="114300" distR="114300" simplePos="0" relativeHeight="251661312" behindDoc="1" locked="0" layoutInCell="1" allowOverlap="1" wp14:anchorId="09ECD365" wp14:editId="5D768C3A">
                <wp:simplePos x="0" y="0"/>
                <wp:positionH relativeFrom="page">
                  <wp:posOffset>2322830</wp:posOffset>
                </wp:positionH>
                <wp:positionV relativeFrom="paragraph">
                  <wp:posOffset>722630</wp:posOffset>
                </wp:positionV>
                <wp:extent cx="0" cy="160655"/>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655"/>
                        </a:xfrm>
                        <a:prstGeom prst="line">
                          <a:avLst/>
                        </a:prstGeom>
                        <a:noFill/>
                        <a:ln w="38786">
                          <a:solidFill>
                            <a:srgbClr val="FFFAF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227BA84" id="Line 2"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2.9pt,56.9pt" to="182.9pt,69.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" strokecolor="#fffaf2" strokeweight="1.0774mm">
                <w10:wrap anchorx="page"/>
              </v:line>
            </w:pict>
          </mc:Fallback>
        </mc:AlternateContent>
      </w:r>
      <w:r w:rsidRPr="00E558AE">
        <w:rPr>
          <w:sz w:val="22"/>
          <w:szCs w:val="22"/>
          <w:lang w:val="en-GB"/>
        </w:rPr>
        <w:t xml:space="preserve">As described above, data about the use of immunosuppressive drugs and antibiotics is binary, so we first computed “Jaccard” dissimilarity indices using the </w:t>
      </w:r>
      <w:proofErr w:type="spellStart"/>
      <w:r w:rsidRPr="00E558AE">
        <w:rPr>
          <w:sz w:val="22"/>
          <w:szCs w:val="22"/>
          <w:lang w:val="en-GB"/>
        </w:rPr>
        <w:t>vegdist</w:t>
      </w:r>
      <w:proofErr w:type="spellEnd"/>
      <w:r w:rsidRPr="00E558AE">
        <w:rPr>
          <w:sz w:val="22"/>
          <w:szCs w:val="22"/>
          <w:lang w:val="en-GB"/>
        </w:rPr>
        <w:t xml:space="preserve"> function from the vegan R package. We then performed a hierarchical cluster analysis with the </w:t>
      </w:r>
      <w:proofErr w:type="spellStart"/>
      <w:proofErr w:type="gramStart"/>
      <w:r w:rsidRPr="00E558AE">
        <w:rPr>
          <w:sz w:val="22"/>
          <w:szCs w:val="22"/>
          <w:lang w:val="en-GB"/>
        </w:rPr>
        <w:t>ward.D</w:t>
      </w:r>
      <w:proofErr w:type="spellEnd"/>
      <w:proofErr w:type="gramEnd"/>
      <w:r w:rsidRPr="00E558AE">
        <w:rPr>
          <w:sz w:val="22"/>
          <w:szCs w:val="22"/>
          <w:lang w:val="en-GB"/>
        </w:rPr>
        <w:t xml:space="preserve"> agglomeration method using the </w:t>
      </w:r>
      <w:proofErr w:type="spellStart"/>
      <w:r w:rsidRPr="00E558AE">
        <w:rPr>
          <w:sz w:val="22"/>
          <w:szCs w:val="22"/>
          <w:lang w:val="en-GB"/>
        </w:rPr>
        <w:t>hclust</w:t>
      </w:r>
      <w:proofErr w:type="spellEnd"/>
      <w:r w:rsidRPr="00E558AE">
        <w:rPr>
          <w:sz w:val="22"/>
          <w:szCs w:val="22"/>
          <w:lang w:val="en-GB"/>
        </w:rPr>
        <w:t xml:space="preserve"> function from the stats R package. We then plotted a dendrogram (Figure S1) showing the hierarchical relationships among samples from LTR. The height at which two samples are joined together represents the dissimilarity of their medication regimens. The larger the height, the more dissimilar their medication regimens. Samples joined together at height of zero were on the same medication regimen. We cut the dendrogram tree at the height of zero and five medication regimens with no less than five recipients were selected for further analysis.</w:t>
      </w:r>
      <w:r w:rsidR="00E354CC" w:rsidRPr="00E558AE">
        <w:rPr>
          <w:sz w:val="22"/>
          <w:szCs w:val="22"/>
          <w:shd w:val="clear" w:color="auto" w:fill="FFFFFF"/>
          <w:lang w:val="en-GB"/>
        </w:rPr>
        <w:t xml:space="preserve"> </w:t>
      </w:r>
    </w:p>
    <w:p w14:paraId="04D20B5E" w14:textId="4156982B" w:rsidR="00F036DA" w:rsidRPr="00E558AE" w:rsidRDefault="00E354CC" w:rsidP="004C77ED">
      <w:pPr>
        <w:pStyle w:val="NormalWeb"/>
        <w:spacing w:line="360" w:lineRule="auto"/>
        <w:rPr>
          <w:b/>
          <w:bCs/>
          <w:sz w:val="28"/>
          <w:szCs w:val="28"/>
          <w:lang w:val="en-GB"/>
        </w:rPr>
      </w:pPr>
      <w:r w:rsidRPr="00E558AE">
        <w:rPr>
          <w:b/>
          <w:bCs/>
          <w:sz w:val="28"/>
          <w:szCs w:val="28"/>
          <w:lang w:val="en-GB"/>
        </w:rPr>
        <w:t>Generation of Microbiome data</w:t>
      </w:r>
      <w:r w:rsidRPr="00E558AE">
        <w:rPr>
          <w:b/>
          <w:bCs/>
          <w:sz w:val="28"/>
          <w:szCs w:val="28"/>
          <w:lang w:val="en-GB"/>
        </w:rPr>
        <w:br/>
      </w:r>
      <w:r w:rsidR="00E558AE" w:rsidRPr="00E558AE">
        <w:rPr>
          <w:b/>
          <w:bCs/>
          <w:sz w:val="28"/>
          <w:szCs w:val="28"/>
          <w:lang w:val="en-GB"/>
        </w:rPr>
        <w:t>Faecal</w:t>
      </w:r>
      <w:r w:rsidRPr="00E558AE">
        <w:rPr>
          <w:b/>
          <w:bCs/>
          <w:sz w:val="28"/>
          <w:szCs w:val="28"/>
          <w:lang w:val="en-GB"/>
        </w:rPr>
        <w:t xml:space="preserve"> sample collection and following processing</w:t>
      </w:r>
    </w:p>
    <w:p w14:paraId="633F3A22" w14:textId="0FCA9174" w:rsidR="00E354CC" w:rsidRPr="00E558AE" w:rsidRDefault="00E354CC" w:rsidP="00F036DA">
      <w:pPr>
        <w:pStyle w:val="NormalWeb"/>
        <w:spacing w:line="276" w:lineRule="auto"/>
        <w:rPr>
          <w:b/>
          <w:bCs/>
          <w:sz w:val="28"/>
          <w:szCs w:val="28"/>
          <w:lang w:val="en-GB"/>
        </w:rPr>
      </w:pPr>
      <w:proofErr w:type="spellStart"/>
      <w:r w:rsidRPr="00E558AE">
        <w:rPr>
          <w:sz w:val="22"/>
          <w:szCs w:val="22"/>
          <w:lang w:val="en-GB"/>
        </w:rPr>
        <w:t>FecesCatchers</w:t>
      </w:r>
      <w:proofErr w:type="spellEnd"/>
      <w:r w:rsidRPr="00E558AE">
        <w:rPr>
          <w:sz w:val="22"/>
          <w:szCs w:val="22"/>
          <w:lang w:val="en-GB"/>
        </w:rPr>
        <w:t xml:space="preserve"> (TAG Hemi VOF) were sent to patients’ home for collecting the </w:t>
      </w:r>
      <w:r w:rsidR="00E558AE" w:rsidRPr="00E558AE">
        <w:rPr>
          <w:sz w:val="22"/>
          <w:szCs w:val="22"/>
          <w:lang w:val="en-GB"/>
        </w:rPr>
        <w:t>faecal</w:t>
      </w:r>
      <w:r w:rsidRPr="00E558AE">
        <w:rPr>
          <w:sz w:val="22"/>
          <w:szCs w:val="22"/>
          <w:lang w:val="en-GB"/>
        </w:rPr>
        <w:t xml:space="preserve"> samples the day before the </w:t>
      </w:r>
      <w:proofErr w:type="spellStart"/>
      <w:r w:rsidRPr="00E558AE">
        <w:rPr>
          <w:sz w:val="22"/>
          <w:szCs w:val="22"/>
          <w:lang w:val="en-GB"/>
        </w:rPr>
        <w:t>TransplantLines</w:t>
      </w:r>
      <w:proofErr w:type="spellEnd"/>
      <w:r w:rsidRPr="00E558AE">
        <w:rPr>
          <w:sz w:val="22"/>
          <w:szCs w:val="22"/>
          <w:lang w:val="en-GB"/>
        </w:rPr>
        <w:t xml:space="preserve"> study visit. Patients were asked to collect and store the </w:t>
      </w:r>
      <w:r w:rsidR="00E558AE" w:rsidRPr="00E558AE">
        <w:rPr>
          <w:sz w:val="22"/>
          <w:szCs w:val="22"/>
          <w:lang w:val="en-GB"/>
        </w:rPr>
        <w:t>faeces</w:t>
      </w:r>
      <w:r w:rsidRPr="00E558AE">
        <w:rPr>
          <w:sz w:val="22"/>
          <w:szCs w:val="22"/>
          <w:lang w:val="en-GB"/>
        </w:rPr>
        <w:t xml:space="preserve"> in appropriate tubes, which would be frozen at -18</w:t>
      </w:r>
      <w:r w:rsidRPr="00E558AE">
        <w:rPr>
          <w:position w:val="8"/>
          <w:sz w:val="14"/>
          <w:szCs w:val="14"/>
          <w:lang w:val="en-GB"/>
        </w:rPr>
        <w:t>o</w:t>
      </w:r>
      <w:r w:rsidRPr="00E558AE">
        <w:rPr>
          <w:sz w:val="22"/>
          <w:szCs w:val="22"/>
          <w:lang w:val="en-GB"/>
        </w:rPr>
        <w:t xml:space="preserve">C immediately after collection. The next day these frozen </w:t>
      </w:r>
      <w:r w:rsidR="00E558AE" w:rsidRPr="00E558AE">
        <w:rPr>
          <w:sz w:val="22"/>
          <w:szCs w:val="22"/>
          <w:lang w:val="en-GB"/>
        </w:rPr>
        <w:t>faecal</w:t>
      </w:r>
      <w:r w:rsidRPr="00E558AE">
        <w:rPr>
          <w:sz w:val="22"/>
          <w:szCs w:val="22"/>
          <w:lang w:val="en-GB"/>
        </w:rPr>
        <w:t xml:space="preserve"> samples were brought with patients in cold storage (with ice cubes or in a cooler) to the </w:t>
      </w:r>
      <w:proofErr w:type="spellStart"/>
      <w:r w:rsidRPr="00E558AE">
        <w:rPr>
          <w:sz w:val="22"/>
          <w:szCs w:val="22"/>
          <w:lang w:val="en-GB"/>
        </w:rPr>
        <w:t>TransplantLines</w:t>
      </w:r>
      <w:proofErr w:type="spellEnd"/>
      <w:r w:rsidRPr="00E558AE">
        <w:rPr>
          <w:sz w:val="22"/>
          <w:szCs w:val="22"/>
          <w:lang w:val="en-GB"/>
        </w:rPr>
        <w:t xml:space="preserve"> visit and then stored at -80</w:t>
      </w:r>
      <w:r w:rsidRPr="00E558AE">
        <w:rPr>
          <w:position w:val="8"/>
          <w:sz w:val="14"/>
          <w:szCs w:val="14"/>
          <w:lang w:val="en-GB"/>
        </w:rPr>
        <w:t>o</w:t>
      </w:r>
      <w:r w:rsidRPr="00E558AE">
        <w:rPr>
          <w:sz w:val="22"/>
          <w:szCs w:val="22"/>
          <w:lang w:val="en-GB"/>
        </w:rPr>
        <w:t>C until DNA extraction.</w:t>
      </w:r>
    </w:p>
    <w:p w14:paraId="0BA61B7F" w14:textId="77777777" w:rsidR="00E354CC" w:rsidRPr="00E558AE" w:rsidRDefault="00E354CC" w:rsidP="00E354CC">
      <w:pPr>
        <w:pStyle w:val="NormalWeb"/>
        <w:rPr>
          <w:lang w:val="en-GB"/>
        </w:rPr>
      </w:pPr>
      <w:r w:rsidRPr="00E558AE">
        <w:rPr>
          <w:b/>
          <w:bCs/>
          <w:sz w:val="28"/>
          <w:szCs w:val="28"/>
          <w:lang w:val="en-GB"/>
        </w:rPr>
        <w:t xml:space="preserve">DNA extraction </w:t>
      </w:r>
    </w:p>
    <w:p w14:paraId="7E799540" w14:textId="77777777" w:rsidR="00E354CC" w:rsidRPr="00E558AE" w:rsidRDefault="00E354CC" w:rsidP="00E354CC">
      <w:pPr>
        <w:pStyle w:val="NormalWeb"/>
        <w:spacing w:line="276" w:lineRule="auto"/>
        <w:rPr>
          <w:sz w:val="22"/>
          <w:szCs w:val="22"/>
          <w:lang w:val="en-GB"/>
        </w:rPr>
      </w:pPr>
      <w:proofErr w:type="spellStart"/>
      <w:r w:rsidRPr="00E558AE">
        <w:rPr>
          <w:sz w:val="22"/>
          <w:szCs w:val="22"/>
          <w:lang w:val="en-GB"/>
        </w:rPr>
        <w:t>QIAamp</w:t>
      </w:r>
      <w:proofErr w:type="spellEnd"/>
      <w:r w:rsidRPr="00E558AE">
        <w:rPr>
          <w:sz w:val="22"/>
          <w:szCs w:val="22"/>
          <w:lang w:val="en-GB"/>
        </w:rPr>
        <w:t xml:space="preserve"> Fast DNA Stool Mini Kit (Qiagen) was used to extract microbial DNA following the instructions of the manufacturer with the help of the </w:t>
      </w:r>
      <w:proofErr w:type="spellStart"/>
      <w:r w:rsidRPr="00E558AE">
        <w:rPr>
          <w:sz w:val="22"/>
          <w:szCs w:val="22"/>
          <w:lang w:val="en-GB"/>
        </w:rPr>
        <w:t>QIAcube</w:t>
      </w:r>
      <w:proofErr w:type="spellEnd"/>
      <w:r w:rsidRPr="00E558AE">
        <w:rPr>
          <w:sz w:val="22"/>
          <w:szCs w:val="22"/>
          <w:lang w:val="en-GB"/>
        </w:rPr>
        <w:t xml:space="preserve"> (Qiagen) automated sample preparation system. </w:t>
      </w:r>
    </w:p>
    <w:p w14:paraId="195FA858" w14:textId="127AD783" w:rsidR="00E354CC" w:rsidRPr="00E558AE" w:rsidRDefault="00E354CC" w:rsidP="00E354CC">
      <w:pPr>
        <w:pStyle w:val="NormalWeb"/>
        <w:rPr>
          <w:lang w:val="en-GB"/>
        </w:rPr>
      </w:pPr>
      <w:r w:rsidRPr="00E558AE">
        <w:rPr>
          <w:b/>
          <w:bCs/>
          <w:sz w:val="28"/>
          <w:szCs w:val="28"/>
          <w:lang w:val="en-GB"/>
        </w:rPr>
        <w:t xml:space="preserve">Library construction and </w:t>
      </w:r>
      <w:r w:rsidR="00AF5A19">
        <w:rPr>
          <w:b/>
          <w:bCs/>
          <w:sz w:val="28"/>
          <w:szCs w:val="28"/>
          <w:lang w:val="en-GB"/>
        </w:rPr>
        <w:t xml:space="preserve">metagenomic </w:t>
      </w:r>
      <w:r w:rsidRPr="00E558AE">
        <w:rPr>
          <w:b/>
          <w:bCs/>
          <w:sz w:val="28"/>
          <w:szCs w:val="28"/>
          <w:lang w:val="en-GB"/>
        </w:rPr>
        <w:t xml:space="preserve">sequencing </w:t>
      </w:r>
    </w:p>
    <w:p w14:paraId="7D13E15E" w14:textId="683590FD" w:rsidR="008614EE" w:rsidRPr="005E3787" w:rsidRDefault="00E354CC" w:rsidP="00C726AB">
      <w:pPr>
        <w:pStyle w:val="NormalWeb"/>
        <w:spacing w:line="276" w:lineRule="auto"/>
        <w:rPr>
          <w:color w:val="000000" w:themeColor="text1"/>
          <w:sz w:val="22"/>
          <w:szCs w:val="22"/>
          <w:lang w:val="en-GB"/>
        </w:rPr>
      </w:pPr>
      <w:r w:rsidRPr="00E558AE">
        <w:rPr>
          <w:sz w:val="22"/>
          <w:szCs w:val="22"/>
          <w:lang w:val="en-GB"/>
        </w:rPr>
        <w:t xml:space="preserve">For samples with total DNA amount lower than 200ng as measured by Qubit 4 Fluorometer, </w:t>
      </w:r>
      <w:proofErr w:type="spellStart"/>
      <w:r w:rsidRPr="00E558AE">
        <w:rPr>
          <w:sz w:val="22"/>
          <w:szCs w:val="22"/>
          <w:lang w:val="en-GB"/>
        </w:rPr>
        <w:t>NEBNext</w:t>
      </w:r>
      <w:proofErr w:type="spellEnd"/>
      <w:r w:rsidRPr="00E558AE">
        <w:rPr>
          <w:sz w:val="22"/>
          <w:szCs w:val="22"/>
          <w:lang w:val="en-GB"/>
        </w:rPr>
        <w:t xml:space="preserve">® </w:t>
      </w:r>
      <w:proofErr w:type="spellStart"/>
      <w:r w:rsidRPr="00E558AE">
        <w:rPr>
          <w:sz w:val="22"/>
          <w:szCs w:val="22"/>
          <w:lang w:val="en-GB"/>
        </w:rPr>
        <w:t>Ultra</w:t>
      </w:r>
      <w:r w:rsidRPr="0036071F">
        <w:rPr>
          <w:sz w:val="22"/>
          <w:szCs w:val="22"/>
          <w:vertAlign w:val="superscript"/>
          <w:lang w:val="en-GB"/>
        </w:rPr>
        <w:t>TM</w:t>
      </w:r>
      <w:proofErr w:type="spellEnd"/>
      <w:r w:rsidRPr="00E558AE">
        <w:rPr>
          <w:sz w:val="22"/>
          <w:szCs w:val="22"/>
          <w:lang w:val="en-GB"/>
        </w:rPr>
        <w:t xml:space="preserve"> DNA Library Prep Kit for Illumina was used for library preparation; while for samples with DNA yield lower than 200ng, </w:t>
      </w:r>
      <w:proofErr w:type="spellStart"/>
      <w:r w:rsidRPr="00E558AE">
        <w:rPr>
          <w:sz w:val="22"/>
          <w:szCs w:val="22"/>
          <w:lang w:val="en-GB"/>
        </w:rPr>
        <w:t>NEBNext</w:t>
      </w:r>
      <w:proofErr w:type="spellEnd"/>
      <w:r w:rsidRPr="00E558AE">
        <w:rPr>
          <w:sz w:val="22"/>
          <w:szCs w:val="22"/>
          <w:lang w:val="en-GB"/>
        </w:rPr>
        <w:t xml:space="preserve">® </w:t>
      </w:r>
      <w:proofErr w:type="spellStart"/>
      <w:r w:rsidRPr="00E558AE">
        <w:rPr>
          <w:sz w:val="22"/>
          <w:szCs w:val="22"/>
          <w:lang w:val="en-GB"/>
        </w:rPr>
        <w:t>Ultra</w:t>
      </w:r>
      <w:r w:rsidRPr="0036071F">
        <w:rPr>
          <w:sz w:val="22"/>
          <w:szCs w:val="22"/>
          <w:vertAlign w:val="superscript"/>
          <w:lang w:val="en-GB"/>
        </w:rPr>
        <w:t>TM</w:t>
      </w:r>
      <w:proofErr w:type="spellEnd"/>
      <w:r w:rsidRPr="00E558AE">
        <w:rPr>
          <w:sz w:val="22"/>
          <w:szCs w:val="22"/>
          <w:lang w:val="en-GB"/>
        </w:rPr>
        <w:t xml:space="preserve"> II DNA Library Prep Kit for Illumina® was used to prepare the libraries; according to the manufacturer’s instructions. Metagenomic shotgun sequencing was performed at </w:t>
      </w:r>
      <w:r w:rsidR="003C0E17">
        <w:rPr>
          <w:sz w:val="22"/>
          <w:szCs w:val="22"/>
          <w:lang w:val="en-GB"/>
        </w:rPr>
        <w:t>MGI</w:t>
      </w:r>
      <w:r w:rsidRPr="00B550C4">
        <w:rPr>
          <w:color w:val="000000" w:themeColor="text1"/>
          <w:sz w:val="22"/>
          <w:szCs w:val="22"/>
          <w:lang w:val="en-GB"/>
        </w:rPr>
        <w:t xml:space="preserve">, China. </w:t>
      </w:r>
    </w:p>
    <w:p w14:paraId="32931576" w14:textId="6AF4CF95" w:rsidR="00E354CC" w:rsidRPr="00E558AE" w:rsidRDefault="00E354CC" w:rsidP="00E354CC">
      <w:pPr>
        <w:pStyle w:val="NormalWeb"/>
        <w:rPr>
          <w:lang w:val="en-GB"/>
        </w:rPr>
      </w:pPr>
      <w:r w:rsidRPr="00E558AE">
        <w:rPr>
          <w:b/>
          <w:bCs/>
          <w:sz w:val="28"/>
          <w:szCs w:val="28"/>
          <w:lang w:val="en-GB"/>
        </w:rPr>
        <w:t xml:space="preserve">Metagenomic data processing </w:t>
      </w:r>
    </w:p>
    <w:p w14:paraId="122F0CEA" w14:textId="6E2B567C" w:rsidR="00E558AE" w:rsidRPr="00E558AE" w:rsidRDefault="00E354CC" w:rsidP="009B0BB9">
      <w:pPr>
        <w:pStyle w:val="NormalWeb"/>
        <w:spacing w:line="276" w:lineRule="auto"/>
        <w:rPr>
          <w:sz w:val="22"/>
          <w:szCs w:val="22"/>
          <w:lang w:val="en-GB"/>
        </w:rPr>
      </w:pPr>
      <w:proofErr w:type="spellStart"/>
      <w:r w:rsidRPr="00E558AE">
        <w:rPr>
          <w:sz w:val="22"/>
          <w:szCs w:val="22"/>
          <w:lang w:val="en-GB"/>
        </w:rPr>
        <w:t>KneadData</w:t>
      </w:r>
      <w:proofErr w:type="spellEnd"/>
      <w:r w:rsidRPr="00E558AE">
        <w:rPr>
          <w:sz w:val="22"/>
          <w:szCs w:val="22"/>
          <w:lang w:val="en-GB"/>
        </w:rPr>
        <w:t xml:space="preserve"> (v0.5.1) </w:t>
      </w:r>
      <w:r w:rsidR="00D8770A" w:rsidRPr="00E558AE">
        <w:rPr>
          <w:sz w:val="22"/>
          <w:szCs w:val="22"/>
          <w:lang w:val="en-GB"/>
        </w:rPr>
        <w:fldChar w:fldCharType="begin"/>
      </w:r>
      <w:r w:rsidR="00D8770A" w:rsidRPr="00E558AE">
        <w:rPr>
          <w:sz w:val="22"/>
          <w:szCs w:val="22"/>
          <w:lang w:val="en-GB"/>
        </w:rPr>
        <w:instrText xml:space="preserve"> ADDIN ZOTERO_ITEM CSL_CITATION {"citationID":"pxBkqlZA","properties":{"formattedCitation":"[2]","plainCitation":"[2]","noteIndex":0},"citationItems":[{"id":405,"uris":["http://zotero.org/users/10362293/items/LGPSC89E"],"itemData":{"id":405,"type":"article-journal","abstract":"SUMMARY: bioBakery is a meta'omic analysis environment and collection of individual software tools with the capacity to process raw shotgun sequencing data into actionable microbial community feature profiles, summary reports, and publication-ready figures. It includes a collection of pre-configured analysis modules also joined into workflows for reproducibility.\nAVAILABILITY AND IMPLEMENTATION: bioBakery (http://huttenhower.sph.harvard.edu/biobakery) is publicly available for local installation as individual modules and as a virtual machine image. Each individual module has been developed to perform a particular task (e.g. quantitative taxonomic profiling or statistical analysis), and they are provided with source code, tutorials, demonstration data, and validation results; the bioBakery virtual image includes the entire suite of modules and their dependencies pre-installed. Images are available for both Amazon EC2 and Google Compute Engine. All software is open source under the MIT license. bioBakery is actively maintained with a support group at biobakery-users@googlegroups.com and new tools being added upon their release.\nCONTACT: chuttenh@hsph.harvard.edu.\nSUPPLEMENTARY INFORMATION: Supplementary data are available at Bioinformatics online.","container-title":"Bioinformatics (Oxford, England)","DOI":"10.1093/bioinformatics/btx754","ISSN":"1367-4811","issue":"7","journalAbbreviation":"Bioinformatics","language":"eng","note":"PMID: 29194469\nPMCID: PMC6030947","page":"1235-1237","source":"PubMed","title":"bioBakery: a meta'omic analysis environment","title-short":"bioBakery","volume":"34","author":[{"family":"McIver","given":"Lauren J."},{"family":"Abu-Ali","given":"Galeb"},{"family":"Franzosa","given":"Eric A."},{"family":"Schwager","given":"Randall"},{"family":"Morgan","given":"Xochitl C."},{"family":"Waldron","given":"Levi"},{"family":"Segata","given":"Nicola"},{"family":"Huttenhower","given":"Curtis"}],"issued":{"date-parts":[["2018",4,1]]}}}],"schema":"https://github.com/citation-style-language/schema/raw/master/csl-citation.json"} </w:instrText>
      </w:r>
      <w:r w:rsidR="00D8770A" w:rsidRPr="00E558AE">
        <w:rPr>
          <w:sz w:val="22"/>
          <w:szCs w:val="22"/>
          <w:lang w:val="en-GB"/>
        </w:rPr>
        <w:fldChar w:fldCharType="separate"/>
      </w:r>
      <w:r w:rsidR="00D8770A" w:rsidRPr="00E558AE">
        <w:rPr>
          <w:noProof/>
          <w:sz w:val="22"/>
          <w:szCs w:val="22"/>
          <w:lang w:val="en-GB"/>
        </w:rPr>
        <w:t>[2]</w:t>
      </w:r>
      <w:r w:rsidR="00D8770A" w:rsidRPr="00E558AE">
        <w:rPr>
          <w:sz w:val="22"/>
          <w:szCs w:val="22"/>
          <w:lang w:val="en-GB"/>
        </w:rPr>
        <w:fldChar w:fldCharType="end"/>
      </w:r>
      <w:r w:rsidR="00D8770A" w:rsidRPr="00E558AE">
        <w:rPr>
          <w:sz w:val="22"/>
          <w:szCs w:val="22"/>
          <w:lang w:val="en-GB"/>
        </w:rPr>
        <w:t xml:space="preserve"> </w:t>
      </w:r>
      <w:r w:rsidRPr="00E558AE">
        <w:rPr>
          <w:sz w:val="22"/>
          <w:szCs w:val="22"/>
          <w:lang w:val="en-GB"/>
        </w:rPr>
        <w:t>was used to filter out Illumina adapters and low-quality reads (</w:t>
      </w:r>
      <w:proofErr w:type="spellStart"/>
      <w:r w:rsidRPr="00E558AE">
        <w:rPr>
          <w:sz w:val="22"/>
          <w:szCs w:val="22"/>
          <w:lang w:val="en-GB"/>
        </w:rPr>
        <w:t>Phred</w:t>
      </w:r>
      <w:proofErr w:type="spellEnd"/>
      <w:r w:rsidRPr="00E558AE">
        <w:rPr>
          <w:sz w:val="22"/>
          <w:szCs w:val="22"/>
          <w:lang w:val="en-GB"/>
        </w:rPr>
        <w:t xml:space="preserve"> score &lt;30). Then reads aligned to the human genome (hg19) were removed using Bowtie2 (v2.3.4.1)</w:t>
      </w:r>
      <w:r w:rsidR="00F84E17" w:rsidRPr="00E558AE">
        <w:rPr>
          <w:sz w:val="22"/>
          <w:szCs w:val="22"/>
          <w:lang w:val="en-GB"/>
        </w:rPr>
        <w:t xml:space="preserve"> </w:t>
      </w:r>
      <w:r w:rsidR="00F84E17" w:rsidRPr="00E558AE">
        <w:rPr>
          <w:sz w:val="22"/>
          <w:szCs w:val="22"/>
          <w:lang w:val="en-GB"/>
        </w:rPr>
        <w:fldChar w:fldCharType="begin"/>
      </w:r>
      <w:r w:rsidR="00F84E17" w:rsidRPr="00E558AE">
        <w:rPr>
          <w:sz w:val="22"/>
          <w:szCs w:val="22"/>
          <w:lang w:val="en-GB"/>
        </w:rPr>
        <w:instrText xml:space="preserve"> ADDIN ZOTERO_ITEM CSL_CITATION {"citationID":"d0Mu5TE6","properties":{"formattedCitation":"[3]","plainCitation":"[3]","noteIndex":0},"citationItems":[{"id":408,"uris":["http://zotero.org/users/10362293/items/SA2C6XHC"],"itemData":{"id":408,"type":"article-journal","abstract":"The Bowtie 2 software achieves fast, sensitive, accurate and memory-efficient gapped alignment of sequencing reads using the full-text minute index and hardware-accelerated dynamic programming algorithms.","container-title":"Nature Methods","DOI":"10.1038/nmeth.1923","ISSN":"1548-7105","issue":"4","journalAbbreviation":"Nat Methods","language":"en","license":"2012 Nature Publishing Group, a division of Macmillan Publishers Limited. All Rights Reserved.","note":"number: 4\npublisher: Nature Publishing Group","page":"357-359","source":"www.nature.com","title":"Fast gapped-read alignment with Bowtie 2","volume":"9","author":[{"family":"Langmead","given":"Ben"},{"family":"Salzberg","given":"Steven L."}],"issued":{"date-parts":[["2012",4]]}}}],"schema":"https://github.com/citation-style-language/schema/raw/master/csl-citation.json"} </w:instrText>
      </w:r>
      <w:r w:rsidR="00F84E17" w:rsidRPr="00E558AE">
        <w:rPr>
          <w:sz w:val="22"/>
          <w:szCs w:val="22"/>
          <w:lang w:val="en-GB"/>
        </w:rPr>
        <w:fldChar w:fldCharType="separate"/>
      </w:r>
      <w:r w:rsidR="00F84E17" w:rsidRPr="00E558AE">
        <w:rPr>
          <w:noProof/>
          <w:sz w:val="22"/>
          <w:szCs w:val="22"/>
          <w:lang w:val="en-GB"/>
        </w:rPr>
        <w:t>[3]</w:t>
      </w:r>
      <w:r w:rsidR="00F84E17" w:rsidRPr="00E558AE">
        <w:rPr>
          <w:sz w:val="22"/>
          <w:szCs w:val="22"/>
          <w:lang w:val="en-GB"/>
        </w:rPr>
        <w:fldChar w:fldCharType="end"/>
      </w:r>
      <w:r w:rsidRPr="00E558AE">
        <w:rPr>
          <w:sz w:val="22"/>
          <w:szCs w:val="22"/>
          <w:lang w:val="en-GB"/>
        </w:rPr>
        <w:t xml:space="preserve">. Next the quality of the reads was assessed by </w:t>
      </w:r>
      <w:proofErr w:type="spellStart"/>
      <w:r w:rsidRPr="00E558AE">
        <w:rPr>
          <w:sz w:val="22"/>
          <w:szCs w:val="22"/>
          <w:lang w:val="en-GB"/>
        </w:rPr>
        <w:t>FastQC</w:t>
      </w:r>
      <w:proofErr w:type="spellEnd"/>
      <w:r w:rsidRPr="00E558AE">
        <w:rPr>
          <w:sz w:val="22"/>
          <w:szCs w:val="22"/>
          <w:lang w:val="en-GB"/>
        </w:rPr>
        <w:t xml:space="preserve"> toolkit (v0.11.7). Taxonomy alignment was </w:t>
      </w:r>
      <w:r w:rsidRPr="00E558AE">
        <w:rPr>
          <w:sz w:val="22"/>
          <w:szCs w:val="22"/>
          <w:lang w:val="en-GB"/>
        </w:rPr>
        <w:lastRenderedPageBreak/>
        <w:t>performed by MetaPhlAn3 (v3.</w:t>
      </w:r>
      <w:r w:rsidR="00691095" w:rsidRPr="00E558AE">
        <w:rPr>
          <w:sz w:val="22"/>
          <w:szCs w:val="22"/>
          <w:lang w:val="en-GB"/>
        </w:rPr>
        <w:t>0</w:t>
      </w:r>
      <w:r w:rsidRPr="00E558AE">
        <w:rPr>
          <w:sz w:val="22"/>
          <w:szCs w:val="22"/>
          <w:lang w:val="en-GB"/>
        </w:rPr>
        <w:t>.</w:t>
      </w:r>
      <w:r w:rsidR="00691095" w:rsidRPr="00E558AE">
        <w:rPr>
          <w:sz w:val="22"/>
          <w:szCs w:val="22"/>
          <w:lang w:val="en-GB"/>
        </w:rPr>
        <w:t>1</w:t>
      </w:r>
      <w:r w:rsidRPr="00E558AE">
        <w:rPr>
          <w:sz w:val="22"/>
          <w:szCs w:val="22"/>
          <w:lang w:val="en-GB"/>
        </w:rPr>
        <w:t>)</w:t>
      </w:r>
      <w:r w:rsidR="00691095" w:rsidRPr="00E558AE">
        <w:rPr>
          <w:sz w:val="22"/>
          <w:szCs w:val="22"/>
          <w:lang w:val="en-GB"/>
        </w:rPr>
        <w:t xml:space="preserve"> and </w:t>
      </w:r>
      <w:proofErr w:type="spellStart"/>
      <w:r w:rsidRPr="00E558AE">
        <w:rPr>
          <w:sz w:val="22"/>
          <w:szCs w:val="22"/>
          <w:lang w:val="en-GB"/>
        </w:rPr>
        <w:t>Metacyc</w:t>
      </w:r>
      <w:proofErr w:type="spellEnd"/>
      <w:r w:rsidRPr="00E558AE">
        <w:rPr>
          <w:sz w:val="22"/>
          <w:szCs w:val="22"/>
          <w:lang w:val="en-GB"/>
        </w:rPr>
        <w:t xml:space="preserve"> pathways were profiled by HUMAnN3 </w:t>
      </w:r>
      <w:r w:rsidR="00691095" w:rsidRPr="00E558AE">
        <w:rPr>
          <w:sz w:val="22"/>
          <w:szCs w:val="22"/>
          <w:lang w:val="en-GB"/>
        </w:rPr>
        <w:t xml:space="preserve">(v3.0.1) </w:t>
      </w:r>
      <w:r w:rsidR="00691095" w:rsidRPr="00E558AE">
        <w:rPr>
          <w:sz w:val="22"/>
          <w:szCs w:val="22"/>
          <w:lang w:val="en-GB"/>
        </w:rPr>
        <w:fldChar w:fldCharType="begin"/>
      </w:r>
      <w:r w:rsidR="00691095" w:rsidRPr="00E558AE">
        <w:rPr>
          <w:sz w:val="22"/>
          <w:szCs w:val="22"/>
          <w:lang w:val="en-GB"/>
        </w:rPr>
        <w:instrText xml:space="preserve"> ADDIN ZOTERO_ITEM CSL_CITATION {"citationID":"oGuhfP2x","properties":{"formattedCitation":"[4]","plainCitation":"[4]","noteIndex":0},"citationItems":[{"id":426,"uris":["http://zotero.org/users/10362293/items/5M7YW3DP"],"itemData":{"id":426,"type":"article-journal","abstract":"Culture-independent analyses of microbial communities have progressed dramatically in the last decade, particularly due to advances in methods for biological profiling via shotgun metagenomics. Opportunities for improvement continue to accelerate, with greater access to multi-omics, microbial reference genomes, and strain-level diversity. To leverage these, we present bioBakery 3, a set of integrated, improved methods for taxonomic, strain-level, functional, and phylogenetic profiling of metagenomes newly developed to build on the largest set of reference sequences now available. Compared to current alternatives, MetaPhlAn 3 increases the accuracy of taxonomic profiling, and HUMAnN 3 improves that of functional potential and activity. These methods detected novel disease-microbiome links in applications to CRC (1262 metagenomes) and IBD (1635 metagenomes and 817 metatranscriptomes). Strain-level profiling of an additional 4077 metagenomes with StrainPhlAn 3 and PanPhlAn 3 unraveled the phylogenetic and functional structure of the common gut microbe Ruminococcus bromii, previously described by only 15 isolate genomes. With open-source implementations and cloud-deployable reproducible workflows, the bioBakery 3 platform can help researchers deepen the resolution, scale, and accuracy of multi-omic profiling for microbial community studies.","container-title":"eLife","DOI":"10.7554/eLife.65088","ISSN":"2050-084X","journalAbbreviation":"eLife","note":"PMID: 33944776\nPMCID: PMC8096432","page":"e65088","source":"PubMed Central","title":"Integrating taxonomic, functional, and strain-level profiling of diverse microbial communities with bioBakery 3","volume":"10","author":[{"family":"Beghini","given":"Francesco"},{"family":"McIver","given":"Lauren J"},{"family":"Blanco-Míguez","given":"Aitor"},{"family":"Dubois","given":"Leonard"},{"family":"Asnicar","given":"Francesco"},{"family":"Maharjan","given":"Sagun"},{"family":"Mailyan","given":"Ana"},{"family":"Manghi","given":"Paolo"},{"family":"Scholz","given":"Matthias"},{"family":"Thomas","given":"Andrew Maltez"},{"family":"Valles-Colomer","given":"Mireia"},{"family":"Weingart","given":"George"},{"family":"Zhang","given":"Yancong"},{"family":"Zolfo","given":"Moreno"},{"family":"Huttenhower","given":"Curtis"},{"family":"Franzosa","given":"Eric A"},{"family":"Segata","given":"Nicola"}]}}],"schema":"https://github.com/citation-style-language/schema/raw/master/csl-citation.json"} </w:instrText>
      </w:r>
      <w:r w:rsidR="00691095" w:rsidRPr="00E558AE">
        <w:rPr>
          <w:sz w:val="22"/>
          <w:szCs w:val="22"/>
          <w:lang w:val="en-GB"/>
        </w:rPr>
        <w:fldChar w:fldCharType="separate"/>
      </w:r>
      <w:r w:rsidR="00691095" w:rsidRPr="00E558AE">
        <w:rPr>
          <w:noProof/>
          <w:sz w:val="22"/>
          <w:szCs w:val="22"/>
          <w:lang w:val="en-GB"/>
        </w:rPr>
        <w:t>[4]</w:t>
      </w:r>
      <w:r w:rsidR="00691095" w:rsidRPr="00E558AE">
        <w:rPr>
          <w:sz w:val="22"/>
          <w:szCs w:val="22"/>
          <w:lang w:val="en-GB"/>
        </w:rPr>
        <w:fldChar w:fldCharType="end"/>
      </w:r>
      <w:r w:rsidR="00691095" w:rsidRPr="00E558AE">
        <w:rPr>
          <w:sz w:val="22"/>
          <w:szCs w:val="22"/>
          <w:lang w:val="en-GB"/>
        </w:rPr>
        <w:t xml:space="preserve">. </w:t>
      </w:r>
      <w:r w:rsidRPr="00E558AE">
        <w:rPr>
          <w:sz w:val="22"/>
          <w:szCs w:val="22"/>
          <w:lang w:val="en-GB"/>
        </w:rPr>
        <w:t>Antibiotic resistance genes were identified using comprehensive antibiotic resistance database (CARD) (</w:t>
      </w:r>
      <w:hyperlink r:id="rId6" w:history="1">
        <w:r w:rsidRPr="00E558AE">
          <w:rPr>
            <w:rStyle w:val="Hyperlink"/>
            <w:sz w:val="22"/>
            <w:szCs w:val="22"/>
            <w:lang w:val="en-GB"/>
          </w:rPr>
          <w:t>https://card.mcmaster.ca/</w:t>
        </w:r>
      </w:hyperlink>
      <w:r w:rsidRPr="00E558AE">
        <w:rPr>
          <w:sz w:val="22"/>
          <w:szCs w:val="22"/>
          <w:lang w:val="en-GB"/>
        </w:rPr>
        <w:t xml:space="preserve">). Bacterial virulence factors were identified by </w:t>
      </w:r>
      <w:proofErr w:type="spellStart"/>
      <w:r w:rsidRPr="00E558AE">
        <w:rPr>
          <w:sz w:val="22"/>
          <w:szCs w:val="22"/>
          <w:lang w:val="en-GB"/>
        </w:rPr>
        <w:t>shortBRED</w:t>
      </w:r>
      <w:proofErr w:type="spellEnd"/>
      <w:r w:rsidRPr="00E558AE">
        <w:rPr>
          <w:sz w:val="22"/>
          <w:szCs w:val="22"/>
          <w:lang w:val="en-GB"/>
        </w:rPr>
        <w:t xml:space="preserve"> [shortbred_identify.py (v0.9.5) and shortbred_quantify.py tool (v0.9.5)] against virulence factors of pathogenic bacteria (VFDB) database (</w:t>
      </w:r>
      <w:hyperlink r:id="rId7" w:history="1">
        <w:r w:rsidRPr="00E558AE">
          <w:rPr>
            <w:rStyle w:val="Hyperlink"/>
            <w:sz w:val="22"/>
            <w:szCs w:val="22"/>
            <w:lang w:val="en-GB"/>
          </w:rPr>
          <w:t>http://www.mgc.ac.cn/VFs/main.htm</w:t>
        </w:r>
      </w:hyperlink>
      <w:r w:rsidRPr="00E558AE">
        <w:rPr>
          <w:sz w:val="22"/>
          <w:szCs w:val="22"/>
          <w:lang w:val="en-GB"/>
        </w:rPr>
        <w:t>). Samples were further filtered out by criteria where eukaryotic or viral abundance &gt; 25% of total microbiome content or total read depth &lt; 10 million.</w:t>
      </w:r>
      <w:r w:rsidR="00691095" w:rsidRPr="00E558AE">
        <w:rPr>
          <w:sz w:val="22"/>
          <w:szCs w:val="22"/>
          <w:lang w:val="en-GB"/>
        </w:rPr>
        <w:t xml:space="preserve"> </w:t>
      </w:r>
      <w:r w:rsidRPr="00E558AE">
        <w:rPr>
          <w:sz w:val="22"/>
          <w:szCs w:val="22"/>
          <w:lang w:val="en-GB"/>
        </w:rPr>
        <w:t xml:space="preserve">In total, we identified 958 taxa (10 phyla, 22 class, 38 order, 71 family, 184 genera and 633 species), 536 metabolic pathways, 2255 virulence factors and 958 antibiotic resistance genes. With a prevalence threshold of 10%, 341 taxa (6 phyla, 15 class, 20 order, 35 family, 79 genera and 186 species), 303 metabolic pathways, 492 virulence factors and 357 antibiotic resistance genes were left after filtering. Analyses were performed using locally installed tools and databases on CentOS (release 6.9) on the high-performance computing infrastructure available at UMCG and University of Groningen (RUG). An example of scripts used for microbiome process is available at </w:t>
      </w:r>
      <w:r w:rsidRPr="00E558AE">
        <w:rPr>
          <w:color w:val="0000FF"/>
          <w:sz w:val="22"/>
          <w:szCs w:val="22"/>
          <w:lang w:val="en-GB"/>
        </w:rPr>
        <w:t>https://github.com/GRONINGEN-MICROBIOME-CENTRE/TransplantLines</w:t>
      </w:r>
      <w:r w:rsidRPr="00E558AE">
        <w:rPr>
          <w:sz w:val="22"/>
          <w:szCs w:val="22"/>
          <w:lang w:val="en-GB"/>
        </w:rPr>
        <w:t xml:space="preserve">. </w:t>
      </w:r>
    </w:p>
    <w:p w14:paraId="3A785CA6" w14:textId="77777777" w:rsidR="00E558AE" w:rsidRPr="00E558AE" w:rsidRDefault="00E558AE" w:rsidP="00E558AE">
      <w:pPr>
        <w:spacing w:line="360" w:lineRule="auto"/>
        <w:rPr>
          <w:b/>
          <w:bCs/>
          <w:sz w:val="28"/>
          <w:szCs w:val="28"/>
          <w:lang w:val="en-GB"/>
        </w:rPr>
      </w:pPr>
      <w:r w:rsidRPr="00E558AE">
        <w:rPr>
          <w:b/>
          <w:bCs/>
          <w:sz w:val="28"/>
          <w:szCs w:val="28"/>
          <w:lang w:val="en-GB"/>
        </w:rPr>
        <w:t>Statistical analyses</w:t>
      </w:r>
    </w:p>
    <w:p w14:paraId="36871164" w14:textId="77777777" w:rsidR="00E558AE" w:rsidRPr="00E558AE" w:rsidRDefault="00E558AE" w:rsidP="00E558AE">
      <w:pPr>
        <w:spacing w:line="360" w:lineRule="auto"/>
        <w:rPr>
          <w:b/>
          <w:bCs/>
          <w:sz w:val="28"/>
          <w:szCs w:val="28"/>
          <w:lang w:val="en-GB"/>
        </w:rPr>
      </w:pPr>
      <w:r w:rsidRPr="00E558AE">
        <w:rPr>
          <w:b/>
          <w:bCs/>
          <w:sz w:val="28"/>
          <w:szCs w:val="28"/>
          <w:lang w:val="en-GB"/>
        </w:rPr>
        <w:t>Compositional data analysis </w:t>
      </w:r>
    </w:p>
    <w:p w14:paraId="76B2EEEF" w14:textId="76FB7DBF" w:rsidR="00E558AE" w:rsidRPr="00E558AE" w:rsidRDefault="00E558AE" w:rsidP="00E558AE">
      <w:pPr>
        <w:spacing w:line="276" w:lineRule="auto"/>
        <w:rPr>
          <w:lang w:val="en-GB"/>
        </w:rPr>
      </w:pPr>
      <w:r w:rsidRPr="00E558AE">
        <w:rPr>
          <w:lang w:val="en-GB"/>
        </w:rPr>
        <w:t>High-throughput DNA sequencing produces compositional data in the form of relative abundances, which means that an observed increase of one microbial feature necessarily needs a decrease for another one</w:t>
      </w:r>
      <w:r>
        <w:rPr>
          <w:lang w:val="en-GB"/>
        </w:rPr>
        <w:t xml:space="preserve"> </w:t>
      </w:r>
      <w:r w:rsidR="005B43D3">
        <w:rPr>
          <w:lang w:val="en-GB"/>
        </w:rPr>
        <w:fldChar w:fldCharType="begin"/>
      </w:r>
      <w:r w:rsidR="005B43D3">
        <w:rPr>
          <w:lang w:val="en-GB"/>
        </w:rPr>
        <w:instrText xml:space="preserve"> ADDIN ZOTERO_ITEM CSL_CITATION {"citationID":"VPpUE0CP","properties":{"formattedCitation":"[5]","plainCitation":"[5]","noteIndex":0},"citationItems":[{"id":416,"uris":["http://zotero.org/users/10362293/items/RTFZNDYQ"],"itemData":{"id":416,"type":"article-journal","abstract":"Datasets collected by high-throughput sequencing (HTS) of 16S rRNA gene amplimers, metagenomes or metatranscriptomes are commonplace and being used to study human disease states, ecological differences between sites, and the built environment. There is increasing awareness that microbiome datasets generated by HTS are compositional because they have an arbitrary total imposed by the instrument. However, many investigators are either unaware of this or assume specific properties of the compositional data. The purpose of this review is to alert investigators to the dangers inherent in ignoring the compositional nature of the data, and point out that HTS datasets derived from microbiome studies can and should be treated as compositions at all stages of analysis. We briefly introduce compositional data, illustrate the pathologies that occur when compositional data are analyzed inappropriately, and finally give guidance and point to resources and examples for the analysis of microbiome datasets using compositional data analysis.","container-title":"Frontiers in Microbiology","ISSN":"1664-302X","source":"Frontiers","title":"Microbiome Datasets Are Compositional: And This Is Not Optional","title-short":"Microbiome Datasets Are Compositional","URL":"https://www.frontiersin.org/articles/10.3389/fmicb.2017.02224","volume":"8","author":[{"family":"Gloor","given":"Gregory B."},{"family":"Macklaim","given":"Jean M."},{"family":"Pawlowsky-Glahn","given":"Vera"},{"family":"Egozcue","given":"Juan J."}],"accessed":{"date-parts":[["2023",5,19]]},"issued":{"date-parts":[["2017"]]}}}],"schema":"https://github.com/citation-style-language/schema/raw/master/csl-citation.json"} </w:instrText>
      </w:r>
      <w:r w:rsidR="005B43D3">
        <w:rPr>
          <w:lang w:val="en-GB"/>
        </w:rPr>
        <w:fldChar w:fldCharType="separate"/>
      </w:r>
      <w:r w:rsidR="005B43D3">
        <w:rPr>
          <w:noProof/>
          <w:lang w:val="en-GB"/>
        </w:rPr>
        <w:t>[5]</w:t>
      </w:r>
      <w:r w:rsidR="005B43D3">
        <w:rPr>
          <w:lang w:val="en-GB"/>
        </w:rPr>
        <w:fldChar w:fldCharType="end"/>
      </w:r>
      <w:r w:rsidRPr="00E558AE">
        <w:rPr>
          <w:lang w:val="en-GB"/>
        </w:rPr>
        <w:t>. Compositional data are strictly positive and vary from 0 to 1 if data are represented as proportions, or 0 to 100 if data are represented as percentages. However, standard statistical methodology is usually used for data that are represented by variables varying from -</w:t>
      </w:r>
      <w:r w:rsidRPr="00E558AE">
        <w:rPr>
          <w:noProof/>
          <w:lang w:val="en-GB"/>
        </w:rPr>
        <w:drawing>
          <wp:inline distT="0" distB="0" distL="0" distR="0" wp14:anchorId="0369866C" wp14:editId="47194884">
            <wp:extent cx="123190" cy="48260"/>
            <wp:effectExtent l="0" t="0" r="3810" b="2540"/>
            <wp:docPr id="1776827589" name="Picture 4" descr="page5image63503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5image635031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190" cy="48260"/>
                    </a:xfrm>
                    <a:prstGeom prst="rect">
                      <a:avLst/>
                    </a:prstGeom>
                    <a:noFill/>
                    <a:ln>
                      <a:noFill/>
                    </a:ln>
                  </pic:spPr>
                </pic:pic>
              </a:graphicData>
            </a:graphic>
          </wp:inline>
        </w:drawing>
      </w:r>
      <w:r w:rsidRPr="00E558AE">
        <w:rPr>
          <w:lang w:val="en-GB"/>
        </w:rPr>
        <w:t xml:space="preserve"> to </w:t>
      </w:r>
      <w:r w:rsidRPr="00E558AE">
        <w:rPr>
          <w:noProof/>
          <w:lang w:val="en-GB"/>
        </w:rPr>
        <w:drawing>
          <wp:inline distT="0" distB="0" distL="0" distR="0" wp14:anchorId="0256931D" wp14:editId="79C45235">
            <wp:extent cx="112395" cy="48260"/>
            <wp:effectExtent l="0" t="0" r="1905" b="2540"/>
            <wp:docPr id="1149078892" name="Picture 3" descr="page5image63496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5image634967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395" cy="48260"/>
                    </a:xfrm>
                    <a:prstGeom prst="rect">
                      <a:avLst/>
                    </a:prstGeom>
                    <a:noFill/>
                    <a:ln>
                      <a:noFill/>
                    </a:ln>
                  </pic:spPr>
                </pic:pic>
              </a:graphicData>
            </a:graphic>
          </wp:inline>
        </w:drawing>
      </w:r>
      <w:r w:rsidRPr="00E558AE">
        <w:rPr>
          <w:lang w:val="en-GB"/>
        </w:rPr>
        <w:t xml:space="preserve"> within Euclidean space</w:t>
      </w:r>
      <w:r w:rsidR="005B43D3">
        <w:rPr>
          <w:lang w:val="en-GB"/>
        </w:rPr>
        <w:t xml:space="preserve"> </w:t>
      </w:r>
      <w:r w:rsidR="005B43D3">
        <w:rPr>
          <w:lang w:val="en-GB"/>
        </w:rPr>
        <w:fldChar w:fldCharType="begin"/>
      </w:r>
      <w:r w:rsidR="005B43D3">
        <w:rPr>
          <w:lang w:val="en-GB"/>
        </w:rPr>
        <w:instrText xml:space="preserve"> ADDIN ZOTERO_ITEM CSL_CITATION {"citationID":"eOsfrK8i","properties":{"formattedCitation":"[6]","plainCitation":"[6]","noteIndex":0},"citationItems":[{"id":420,"uris":["http://zotero.org/users/10362293/items/TEKHBNUG"],"itemData":{"id":420,"type":"article-journal","abstract":"Compositional data are those which contain only relative information. They are parts of some whole. In most cases they are recorded as closed data, i.e. data summing to a constant, such as 100% — whole-rock geochemical data being classic examples. Compositional data have important and particular properties that preclude the application of standard statistical techniques on such data in raw form. Standard techniques are designed to be used with data that are free to range from − ∞ to + ∞. Compositional data are always positive and range only from 0 to 100, or any other constant, when given in closed form. If one component increases, others must, perforce, decrease, whether or not there is a genetic link between these components. This means that the results of standard statistical analysis of the relationships between raw components or parts in a compositional dataset are clouded by spurious effects. Although such analyses may give apparently interpretable results, they are, at best, approximations and need to be treated with considerable circumspection. The methods outlined in this volume are based on the premise that it is the relative variation of components which is of interest, rather than absolute variation. Log-ratios of components provide the natural means of studying compositional data. In this contribution the basic terms and operations are introduced using simple numerical examples to illustrate their computation and to familiarize the reader with their use.","container-title":"Geological Society, London, Special Publications","DOI":"10.1144/GSL.SP.2006.264.01.01","issue":"1","note":"publisher: The Geological Society of London","page":"1-10","source":"lyellcollection.org (Atypon)","title":"Compositional data and their analysis: an introduction","title-short":"Compositional data and their analysis","volume":"264","author":[{"family":"Pawlowsky-Glahn","given":"V."},{"family":"Egozcue","given":"J. J."}],"issued":{"date-parts":[["2006",1]]}}}],"schema":"https://github.com/citation-style-language/schema/raw/master/csl-citation.json"} </w:instrText>
      </w:r>
      <w:r w:rsidR="005B43D3">
        <w:rPr>
          <w:lang w:val="en-GB"/>
        </w:rPr>
        <w:fldChar w:fldCharType="separate"/>
      </w:r>
      <w:r w:rsidR="005B43D3">
        <w:rPr>
          <w:noProof/>
          <w:lang w:val="en-GB"/>
        </w:rPr>
        <w:t>[6]</w:t>
      </w:r>
      <w:r w:rsidR="005B43D3">
        <w:rPr>
          <w:lang w:val="en-GB"/>
        </w:rPr>
        <w:fldChar w:fldCharType="end"/>
      </w:r>
      <w:r w:rsidRPr="00E558AE">
        <w:rPr>
          <w:lang w:val="en-GB"/>
        </w:rPr>
        <w:t>. Therefore, a log-ratio transformation is needed to place the compositional data in a log-ratio coordinate space known as the Aitchison geometry in which standard statistical methodology can be used</w:t>
      </w:r>
      <w:r w:rsidR="005B43D3">
        <w:rPr>
          <w:lang w:val="en-GB"/>
        </w:rPr>
        <w:t xml:space="preserve"> </w:t>
      </w:r>
      <w:r w:rsidR="005B43D3">
        <w:rPr>
          <w:lang w:val="en-GB"/>
        </w:rPr>
        <w:fldChar w:fldCharType="begin"/>
      </w:r>
      <w:r w:rsidR="005B43D3">
        <w:rPr>
          <w:lang w:val="en-GB"/>
        </w:rPr>
        <w:instrText xml:space="preserve"> ADDIN ZOTERO_ITEM CSL_CITATION {"citationID":"r1sJLNKf","properties":{"formattedCitation":"[5, 7]","plainCitation":"[5, 7]","noteIndex":0},"citationItems":[{"id":416,"uris":["http://zotero.org/users/10362293/items/RTFZNDYQ"],"itemData":{"id":416,"type":"article-journal","abstract":"Datasets collected by high-throughput sequencing (HTS) of 16S rRNA gene amplimers, metagenomes or metatranscriptomes are commonplace and being used to study human disease states, ecological differences between sites, and the built environment. There is increasing awareness that microbiome datasets generated by HTS are compositional because they have an arbitrary total imposed by the instrument. However, many investigators are either unaware of this or assume specific properties of the compositional data. The purpose of this review is to alert investigators to the dangers inherent in ignoring the compositional nature of the data, and point out that HTS datasets derived from microbiome studies can and should be treated as compositions at all stages of analysis. We briefly introduce compositional data, illustrate the pathologies that occur when compositional data are analyzed inappropriately, and finally give guidance and point to resources and examples for the analysis of microbiome datasets using compositional data analysis.","container-title":"Frontiers in Microbiology","ISSN":"1664-302X","source":"Frontiers","title":"Microbiome Datasets Are Compositional: And This Is Not Optional","title-short":"Microbiome Datasets Are Compositional","URL":"https://www.frontiersin.org/articles/10.3389/fmicb.2017.02224","volume":"8","author":[{"family":"Gloor","given":"Gregory B."},{"family":"Macklaim","given":"Jean M."},{"family":"Pawlowsky-Glahn","given":"Vera"},{"family":"Egozcue","given":"Juan J."}],"accessed":{"date-parts":[["2023",5,19]]},"issued":{"date-parts":[["2017"]]}}},{"id":422,"uris":["http://zotero.org/users/10362293/items/Q268HTPI"],"itemData":{"id":422,"type":"article-journal","abstract":"The geometric interpretation of the expected value and the variance in real Euclidean space is used as a starting point to introduce metric counterparts on an arbitrary finite dimensional Hilbert space. This approach allows us to define general reasonable properties for estimators of parameters, like metric unbiasedness and minimum metric variance, resulting in a useful tool to better understand the logratio approach to the statistical analysis of compositional data, who's natural sample space is the simplex.","container-title":"Stochastic Environmental Research and Risk Assessment","DOI":"10.1007/s004770100077","ISSN":"1436-3259","issue":"5","journalAbbreviation":"Stochastic Environmental Research and Risk Assessment","language":"en","page":"384-398","source":"Springer Link","title":"Geometric approach to statistical analysis on the simplex","volume":"15","author":[{"family":"Pawlowsky-Glahn","given":"V."},{"family":"Egozcue","given":"J. J."}],"issued":{"date-parts":[["2001",10,1]]}}}],"schema":"https://github.com/citation-style-language/schema/raw/master/csl-citation.json"} </w:instrText>
      </w:r>
      <w:r w:rsidR="005B43D3">
        <w:rPr>
          <w:lang w:val="en-GB"/>
        </w:rPr>
        <w:fldChar w:fldCharType="separate"/>
      </w:r>
      <w:r w:rsidR="005B43D3">
        <w:rPr>
          <w:noProof/>
          <w:lang w:val="en-GB"/>
        </w:rPr>
        <w:t>[5, 7]</w:t>
      </w:r>
      <w:r w:rsidR="005B43D3">
        <w:rPr>
          <w:lang w:val="en-GB"/>
        </w:rPr>
        <w:fldChar w:fldCharType="end"/>
      </w:r>
      <w:r w:rsidRPr="00E558AE">
        <w:rPr>
          <w:lang w:val="en-GB"/>
        </w:rPr>
        <w:t>. After the transformation, the data about changes in the abundance of features can be obtained in the form of log-ratios with the denominator as the reference frame, which means that a change in the relative abundance of a given feature (the numerator) is always associated with a reference frame (the denominator) given by one or multiple other features</w:t>
      </w:r>
      <w:r w:rsidR="005B43D3">
        <w:rPr>
          <w:lang w:val="en-GB"/>
        </w:rPr>
        <w:t xml:space="preserve"> </w:t>
      </w:r>
      <w:r w:rsidR="005B43D3">
        <w:rPr>
          <w:lang w:val="en-GB"/>
        </w:rPr>
        <w:fldChar w:fldCharType="begin"/>
      </w:r>
      <w:r w:rsidR="005B43D3">
        <w:rPr>
          <w:lang w:val="en-GB"/>
        </w:rPr>
        <w:instrText xml:space="preserve"> ADDIN ZOTERO_ITEM CSL_CITATION {"citationID":"eevM6fgg","properties":{"formattedCitation":"[8]","plainCitation":"[8]","noteIndex":0},"citationItems":[{"id":418,"uris":["http://zotero.org/users/10362293/items/MGQ4HGCK"],"itemData":{"id":418,"type":"article-journal","abstract":"Differential abundance analysis is controversial throughout microbiome research. Gold standard approaches require laborious measurements of total microbial load, or absolute number of microorganisms, to accurately determine taxonomic shifts. Therefore, most studies rely on relative abundance data. Here, we demonstrate common pitfalls in comparing relative abundance across samples and identify two solutions that reveal microbial changes without the need to estimate total microbial load. We define the notion of “reference frames”, which provide deep intuition about the compositional nature of microbiome data. In an oral time series experiment, reference frames alleviate false positives and produce consistent results on both raw and cell-count normalized data. Furthermore, reference frames identify consistent, differentially abundant microbes previously undetected in two independent published datasets from subjects with atopic dermatitis. These methods allow reassessment of published relative abundance data to reveal reproducible microbial changes from standard sequencing output without the need for new assays.","container-title":"Nature Communications","DOI":"10.1038/s41467-019-10656-5","ISSN":"2041-1723","issue":"1","journalAbbreviation":"Nat Commun","language":"en","license":"2019 The Author(s)","note":"number: 1\npublisher: Nature Publishing Group","page":"2719","source":"www.nature.com","title":"Establishing microbial composition measurement standards with reference frames","volume":"10","author":[{"family":"Morton","given":"James T."},{"family":"Marotz","given":"Clarisse"},{"family":"Washburne","given":"Alex"},{"family":"Silverman","given":"Justin"},{"family":"Zaramela","given":"Livia S."},{"family":"Edlund","given":"Anna"},{"family":"Zengler","given":"Karsten"},{"family":"Knight","given":"Rob"}],"issued":{"date-parts":[["2019",6,20]]}}}],"schema":"https://github.com/citation-style-language/schema/raw/master/csl-citation.json"} </w:instrText>
      </w:r>
      <w:r w:rsidR="005B43D3">
        <w:rPr>
          <w:lang w:val="en-GB"/>
        </w:rPr>
        <w:fldChar w:fldCharType="separate"/>
      </w:r>
      <w:r w:rsidR="005B43D3">
        <w:rPr>
          <w:noProof/>
          <w:lang w:val="en-GB"/>
        </w:rPr>
        <w:t>[8]</w:t>
      </w:r>
      <w:r w:rsidR="005B43D3">
        <w:rPr>
          <w:lang w:val="en-GB"/>
        </w:rPr>
        <w:fldChar w:fldCharType="end"/>
      </w:r>
      <w:r w:rsidRPr="00E558AE">
        <w:rPr>
          <w:lang w:val="en-GB"/>
        </w:rPr>
        <w:t>.</w:t>
      </w:r>
    </w:p>
    <w:p w14:paraId="49853D36" w14:textId="77777777" w:rsidR="00E558AE" w:rsidRPr="00E558AE" w:rsidRDefault="00E558AE" w:rsidP="00E558AE">
      <w:pPr>
        <w:rPr>
          <w:lang w:val="en-GB"/>
        </w:rPr>
      </w:pPr>
    </w:p>
    <w:p w14:paraId="178A1A29" w14:textId="77777777" w:rsidR="00E558AE" w:rsidRPr="005B43D3" w:rsidRDefault="00E558AE" w:rsidP="005B43D3">
      <w:pPr>
        <w:spacing w:line="360" w:lineRule="auto"/>
        <w:rPr>
          <w:b/>
          <w:bCs/>
          <w:sz w:val="28"/>
          <w:szCs w:val="28"/>
          <w:lang w:val="en-GB"/>
        </w:rPr>
      </w:pPr>
      <w:r w:rsidRPr="005B43D3">
        <w:rPr>
          <w:b/>
          <w:bCs/>
          <w:sz w:val="28"/>
          <w:szCs w:val="28"/>
          <w:lang w:val="en-GB"/>
        </w:rPr>
        <w:t xml:space="preserve">Aitchison PCA and PERMANOVA via </w:t>
      </w:r>
      <w:proofErr w:type="spellStart"/>
      <w:r w:rsidRPr="005B43D3">
        <w:rPr>
          <w:b/>
          <w:bCs/>
          <w:sz w:val="28"/>
          <w:szCs w:val="28"/>
          <w:lang w:val="en-GB"/>
        </w:rPr>
        <w:t>adonis</w:t>
      </w:r>
      <w:proofErr w:type="spellEnd"/>
    </w:p>
    <w:p w14:paraId="281A4CB2" w14:textId="4059BC51" w:rsidR="00E558AE" w:rsidRPr="00E558AE" w:rsidRDefault="00E558AE" w:rsidP="005B43D3">
      <w:pPr>
        <w:spacing w:line="276" w:lineRule="auto"/>
        <w:rPr>
          <w:lang w:val="en-GB"/>
        </w:rPr>
      </w:pPr>
      <w:r w:rsidRPr="00E558AE">
        <w:rPr>
          <w:lang w:val="en-GB"/>
        </w:rPr>
        <w:t>The Aitchison distance is the Euclidean distance between CLR-transformed compositions</w:t>
      </w:r>
      <w:r w:rsidR="00F56354">
        <w:rPr>
          <w:lang w:val="en-GB"/>
        </w:rPr>
        <w:t xml:space="preserve"> </w:t>
      </w:r>
      <w:r w:rsidR="00F56354">
        <w:rPr>
          <w:lang w:val="en-GB"/>
        </w:rPr>
        <w:fldChar w:fldCharType="begin"/>
      </w:r>
      <w:r w:rsidR="00F56354">
        <w:rPr>
          <w:lang w:val="en-GB"/>
        </w:rPr>
        <w:instrText xml:space="preserve"> ADDIN ZOTERO_ITEM CSL_CITATION {"citationID":"qjhC2udV","properties":{"formattedCitation":"[6]","plainCitation":"[6]","noteIndex":0},"citationItems":[{"id":420,"uris":["http://zotero.org/users/10362293/items/TEKHBNUG"],"itemData":{"id":420,"type":"article-journal","abstract":"Compositional data are those which contain only relative information. They are parts of some whole. In most cases they are recorded as closed data, i.e. data summing to a constant, such as 100% — whole-rock geochemical data being classic examples. Compositional data have important and particular properties that preclude the application of standard statistical techniques on such data in raw form. Standard techniques are designed to be used with data that are free to range from − ∞ to + ∞. Compositional data are always positive and range only from 0 to 100, or any other constant, when given in closed form. If one component increases, others must, perforce, decrease, whether or not there is a genetic link between these components. This means that the results of standard statistical analysis of the relationships between raw components or parts in a compositional dataset are clouded by spurious effects. Although such analyses may give apparently interpretable results, they are, at best, approximations and need to be treated with considerable circumspection. The methods outlined in this volume are based on the premise that it is the relative variation of components which is of interest, rather than absolute variation. Log-ratios of components provide the natural means of studying compositional data. In this contribution the basic terms and operations are introduced using simple numerical examples to illustrate their computation and to familiarize the reader with their use.","container-title":"Geological Society, London, Special Publications","DOI":"10.1144/GSL.SP.2006.264.01.01","issue":"1","note":"publisher: The Geological Society of London","page":"1-10","source":"lyellcollection.org (Atypon)","title":"Compositional data and their analysis: an introduction","title-short":"Compositional data and their analysis","volume":"264","author":[{"family":"Pawlowsky-Glahn","given":"V."},{"family":"Egozcue","given":"J. J."}],"issued":{"date-parts":[["2006",1]]}}}],"schema":"https://github.com/citation-style-language/schema/raw/master/csl-citation.json"} </w:instrText>
      </w:r>
      <w:r w:rsidR="00F56354">
        <w:rPr>
          <w:lang w:val="en-GB"/>
        </w:rPr>
        <w:fldChar w:fldCharType="separate"/>
      </w:r>
      <w:r w:rsidR="00F56354">
        <w:rPr>
          <w:noProof/>
          <w:lang w:val="en-GB"/>
        </w:rPr>
        <w:t>[6]</w:t>
      </w:r>
      <w:r w:rsidR="00F56354">
        <w:rPr>
          <w:lang w:val="en-GB"/>
        </w:rPr>
        <w:fldChar w:fldCharType="end"/>
      </w:r>
      <w:r w:rsidRPr="00E558AE">
        <w:rPr>
          <w:lang w:val="en-GB"/>
        </w:rPr>
        <w:t xml:space="preserve">, and the CLR transformation is simply the </w:t>
      </w:r>
      <w:r w:rsidR="005B43D3" w:rsidRPr="00E558AE">
        <w:rPr>
          <w:lang w:val="en-GB"/>
        </w:rPr>
        <w:t>centred</w:t>
      </w:r>
      <w:r w:rsidRPr="00E558AE">
        <w:rPr>
          <w:lang w:val="en-GB"/>
        </w:rPr>
        <w:t xml:space="preserve"> log-ratio transformation, which can be obtained by</w:t>
      </w:r>
    </w:p>
    <w:p w14:paraId="13FD0C2D" w14:textId="19A0DEB2" w:rsidR="00E558AE" w:rsidRPr="00E558AE" w:rsidRDefault="005B43D3" w:rsidP="005B43D3">
      <w:pPr>
        <w:spacing w:line="276" w:lineRule="auto"/>
        <w:jc w:val="center"/>
        <w:rPr>
          <w:lang w:val="en-GB"/>
        </w:rPr>
      </w:pPr>
      <w:r w:rsidRPr="00E558AE">
        <w:rPr>
          <w:noProof/>
          <w:lang w:val="en-GB"/>
        </w:rPr>
        <w:drawing>
          <wp:inline distT="0" distB="0" distL="0" distR="0" wp14:anchorId="4B8C2203" wp14:editId="5A01B4A4">
            <wp:extent cx="3999865" cy="304800"/>
            <wp:effectExtent l="0" t="0" r="635" b="0"/>
            <wp:docPr id="581598096" name="Picture 2" descr="page6image63495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6image6349590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99865" cy="304800"/>
                    </a:xfrm>
                    <a:prstGeom prst="rect">
                      <a:avLst/>
                    </a:prstGeom>
                    <a:noFill/>
                    <a:ln>
                      <a:noFill/>
                    </a:ln>
                  </pic:spPr>
                </pic:pic>
              </a:graphicData>
            </a:graphic>
          </wp:inline>
        </w:drawing>
      </w:r>
    </w:p>
    <w:p w14:paraId="6DC8E712" w14:textId="387C010B" w:rsidR="00E558AE" w:rsidRPr="00E558AE" w:rsidRDefault="00E558AE" w:rsidP="005B43D3">
      <w:pPr>
        <w:spacing w:line="276" w:lineRule="auto"/>
        <w:rPr>
          <w:lang w:val="en-GB"/>
        </w:rPr>
      </w:pPr>
      <w:r w:rsidRPr="00E558AE">
        <w:rPr>
          <w:lang w:val="en-GB"/>
        </w:rPr>
        <w:t>where x = [x</w:t>
      </w:r>
      <w:proofErr w:type="gramStart"/>
      <w:r w:rsidRPr="005B43D3">
        <w:rPr>
          <w:vertAlign w:val="subscript"/>
          <w:lang w:val="en-GB"/>
        </w:rPr>
        <w:t>1</w:t>
      </w:r>
      <w:r w:rsidRPr="00E558AE">
        <w:rPr>
          <w:lang w:val="en-GB"/>
        </w:rPr>
        <w:t>,x</w:t>
      </w:r>
      <w:proofErr w:type="gramEnd"/>
      <w:r w:rsidRPr="005B43D3">
        <w:rPr>
          <w:vertAlign w:val="subscript"/>
          <w:lang w:val="en-GB"/>
        </w:rPr>
        <w:t>2</w:t>
      </w:r>
      <w:r w:rsidRPr="00E558AE">
        <w:rPr>
          <w:lang w:val="en-GB"/>
        </w:rPr>
        <w:t>,x</w:t>
      </w:r>
      <w:r w:rsidRPr="005B43D3">
        <w:rPr>
          <w:vertAlign w:val="subscript"/>
          <w:lang w:val="en-GB"/>
        </w:rPr>
        <w:t>3</w:t>
      </w:r>
      <w:r w:rsidRPr="00E558AE">
        <w:rPr>
          <w:lang w:val="en-GB"/>
        </w:rPr>
        <w:t>,...</w:t>
      </w:r>
      <w:proofErr w:type="spellStart"/>
      <w:r w:rsidRPr="00E558AE">
        <w:rPr>
          <w:lang w:val="en-GB"/>
        </w:rPr>
        <w:t>x</w:t>
      </w:r>
      <w:r w:rsidRPr="005B43D3">
        <w:rPr>
          <w:vertAlign w:val="subscript"/>
          <w:lang w:val="en-GB"/>
        </w:rPr>
        <w:t>D</w:t>
      </w:r>
      <w:proofErr w:type="spellEnd"/>
      <w:r w:rsidRPr="00E558AE">
        <w:rPr>
          <w:lang w:val="en-GB"/>
        </w:rPr>
        <w:t>] denotes a sample consisting of D “counted” features (species or pathways), and g</w:t>
      </w:r>
      <w:r w:rsidRPr="005B43D3">
        <w:rPr>
          <w:vertAlign w:val="subscript"/>
          <w:lang w:val="en-GB"/>
        </w:rPr>
        <w:t>r</w:t>
      </w:r>
      <w:r w:rsidRPr="00E558AE">
        <w:rPr>
          <w:lang w:val="en-GB"/>
        </w:rPr>
        <w:t>(x) is the geometric mean defined on all observed features in the focal sample,</w:t>
      </w:r>
      <w:r w:rsidR="005B43D3">
        <w:rPr>
          <w:lang w:val="en-GB"/>
        </w:rPr>
        <w:t xml:space="preserve"> </w:t>
      </w:r>
      <w:r w:rsidRPr="00E558AE">
        <w:rPr>
          <w:lang w:val="en-GB"/>
        </w:rPr>
        <w:t>and functions as the reference frame. The Aitchison distance meets all properties required for compositional data, including sub-compositional coherence and scale invariance</w:t>
      </w:r>
      <w:r w:rsidR="00F56354">
        <w:rPr>
          <w:lang w:val="en-GB"/>
        </w:rPr>
        <w:t xml:space="preserve"> </w:t>
      </w:r>
      <w:r w:rsidR="00F56354">
        <w:rPr>
          <w:lang w:val="en-GB"/>
        </w:rPr>
        <w:fldChar w:fldCharType="begin"/>
      </w:r>
      <w:r w:rsidR="00F56354">
        <w:rPr>
          <w:lang w:val="en-GB"/>
        </w:rPr>
        <w:instrText xml:space="preserve"> ADDIN ZOTERO_ITEM CSL_CITATION {"citationID":"za7bRItk","properties":{"formattedCitation":"[9]","plainCitation":"[9]","noteIndex":0},"citationItems":[{"id":424,"uris":["http://zotero.org/users/10362293/items/92ZWEWLY"],"itemData":{"id":424,"type":"article-journal","abstract":"Simple perceptions about the nature of compositions lead through logical necessity to certain forms of analysis of compositional data. In this paper the consequences of essential requirements of scale, perturbation and permutation invariance, together with that of subcompositional dominance, are applied to the problem of characterizing change and measures of difference between two compositions. It will be shown that one strongly advocated scalar measure of difference fails these tests of logical necessity, and that one particular form of scalar measure of difference (the sum of the squares of all possible logratio differences in the components of the two compositions), although not unique, emerges as the simplest and most tractable satisfying the criteria.","container-title":"Mathematical Geology","DOI":"10.1007/BF00891269","ISSN":"1573-8868","issue":"4","journalAbbreviation":"Math Geol","language":"en","page":"365-379","source":"Springer Link","title":"On criteria for measures of compositional difference","volume":"24","author":[{"family":"Aitchison","given":"John"}],"issued":{"date-parts":[["1992",5,1]]}}}],"schema":"https://github.com/citation-style-language/schema/raw/master/csl-citation.json"} </w:instrText>
      </w:r>
      <w:r w:rsidR="00F56354">
        <w:rPr>
          <w:lang w:val="en-GB"/>
        </w:rPr>
        <w:fldChar w:fldCharType="separate"/>
      </w:r>
      <w:r w:rsidR="00F56354">
        <w:rPr>
          <w:noProof/>
          <w:lang w:val="en-GB"/>
        </w:rPr>
        <w:t>[9]</w:t>
      </w:r>
      <w:r w:rsidR="00F56354">
        <w:rPr>
          <w:lang w:val="en-GB"/>
        </w:rPr>
        <w:fldChar w:fldCharType="end"/>
      </w:r>
      <w:r w:rsidRPr="00E558AE">
        <w:rPr>
          <w:lang w:val="en-GB"/>
        </w:rPr>
        <w:t xml:space="preserve">. Sub-compositional coherence ensures that the subset of </w:t>
      </w:r>
      <w:r w:rsidR="005B43D3" w:rsidRPr="00E558AE">
        <w:rPr>
          <w:lang w:val="en-GB"/>
        </w:rPr>
        <w:t>analysed</w:t>
      </w:r>
      <w:r w:rsidRPr="00E558AE">
        <w:rPr>
          <w:lang w:val="en-GB"/>
        </w:rPr>
        <w:t xml:space="preserve"> features does not influence the conclusions of the analysis; for instance, the results when only common features included will not change after the addition of rare ones. Scale invariance allows the analyst to </w:t>
      </w:r>
      <w:r w:rsidRPr="00E558AE">
        <w:rPr>
          <w:lang w:val="en-GB"/>
        </w:rPr>
        <w:lastRenderedPageBreak/>
        <w:t>treat two communities equally if they have the same relative abundances, even if they have different total abundances.</w:t>
      </w:r>
    </w:p>
    <w:p w14:paraId="4F559DBE" w14:textId="5727C007" w:rsidR="00E558AE" w:rsidRPr="00E558AE" w:rsidRDefault="00E558AE" w:rsidP="004E607C">
      <w:pPr>
        <w:spacing w:line="276" w:lineRule="auto"/>
        <w:ind w:firstLine="720"/>
        <w:rPr>
          <w:lang w:val="en-GB"/>
        </w:rPr>
      </w:pPr>
      <w:r w:rsidRPr="00E558AE">
        <w:rPr>
          <w:lang w:val="en-GB"/>
        </w:rPr>
        <w:t xml:space="preserve">We performed permutational multivariate analysis of variance (PERMANOVA) tests on the Aitchison distances, </w:t>
      </w:r>
      <w:r w:rsidR="004E607C" w:rsidRPr="00E558AE">
        <w:rPr>
          <w:lang w:val="en-GB"/>
        </w:rPr>
        <w:t>to</w:t>
      </w:r>
      <w:r w:rsidRPr="00E558AE">
        <w:rPr>
          <w:lang w:val="en-GB"/>
        </w:rPr>
        <w:t xml:space="preserve"> investigate whether different community configurations observed in the principal component analysis were statistically different from each other (for example</w:t>
      </w:r>
      <w:r w:rsidR="004E607C">
        <w:rPr>
          <w:lang w:val="en-GB"/>
        </w:rPr>
        <w:t xml:space="preserve">, </w:t>
      </w:r>
      <w:r w:rsidRPr="00E558AE">
        <w:rPr>
          <w:lang w:val="en-GB"/>
        </w:rPr>
        <w:t>patients with end-stage diseases versus healthy controls). </w:t>
      </w:r>
    </w:p>
    <w:p w14:paraId="0812C062" w14:textId="77777777" w:rsidR="004E607C" w:rsidRDefault="004E607C" w:rsidP="005B43D3">
      <w:pPr>
        <w:spacing w:line="276" w:lineRule="auto"/>
        <w:rPr>
          <w:lang w:val="en-GB"/>
        </w:rPr>
      </w:pPr>
    </w:p>
    <w:p w14:paraId="229153C6" w14:textId="59E02C5D" w:rsidR="00E558AE" w:rsidRPr="004E607C" w:rsidRDefault="00E558AE" w:rsidP="004E607C">
      <w:pPr>
        <w:spacing w:line="360" w:lineRule="auto"/>
        <w:rPr>
          <w:b/>
          <w:bCs/>
          <w:sz w:val="28"/>
          <w:szCs w:val="28"/>
          <w:lang w:val="en-GB"/>
        </w:rPr>
      </w:pPr>
      <w:r w:rsidRPr="004E607C">
        <w:rPr>
          <w:b/>
          <w:bCs/>
          <w:sz w:val="28"/>
          <w:szCs w:val="28"/>
          <w:lang w:val="en-GB"/>
        </w:rPr>
        <w:t>Differential abundance analysis on CLR abundances</w:t>
      </w:r>
    </w:p>
    <w:p w14:paraId="7CCFAF59" w14:textId="513BB91F" w:rsidR="00E558AE" w:rsidRDefault="00E558AE" w:rsidP="004E607C">
      <w:pPr>
        <w:spacing w:line="276" w:lineRule="auto"/>
        <w:rPr>
          <w:lang w:val="en-GB"/>
        </w:rPr>
      </w:pPr>
      <w:r w:rsidRPr="00E558AE">
        <w:rPr>
          <w:lang w:val="en-GB"/>
        </w:rPr>
        <w:t xml:space="preserve">Differentially abundant microbial features were tested by </w:t>
      </w:r>
      <w:r w:rsidR="004E607C" w:rsidRPr="00E558AE">
        <w:rPr>
          <w:lang w:val="en-GB"/>
        </w:rPr>
        <w:t>modelling</w:t>
      </w:r>
      <w:r w:rsidRPr="00E558AE">
        <w:rPr>
          <w:lang w:val="en-GB"/>
        </w:rPr>
        <w:t xml:space="preserve"> the CLR-transformed abundance of either microbial species or pathways using linear models with FDR correction.</w:t>
      </w:r>
      <w:r w:rsidR="004E607C">
        <w:rPr>
          <w:lang w:val="en-GB"/>
        </w:rPr>
        <w:t xml:space="preserve"> </w:t>
      </w:r>
      <w:r w:rsidRPr="00E558AE">
        <w:rPr>
          <w:lang w:val="en-GB"/>
        </w:rPr>
        <w:t xml:space="preserve">As described above, we </w:t>
      </w:r>
      <w:r w:rsidR="004E607C" w:rsidRPr="00E558AE">
        <w:rPr>
          <w:lang w:val="en-GB"/>
        </w:rPr>
        <w:t>modelled</w:t>
      </w:r>
      <w:r w:rsidRPr="00E558AE">
        <w:rPr>
          <w:lang w:val="en-GB"/>
        </w:rPr>
        <w:t xml:space="preserve"> the CLR-transformed relative abundances of microbial species and pathways by linear models adjusting for confounders including age, </w:t>
      </w:r>
      <w:proofErr w:type="gramStart"/>
      <w:r w:rsidRPr="00E558AE">
        <w:rPr>
          <w:lang w:val="en-GB"/>
        </w:rPr>
        <w:t>sex</w:t>
      </w:r>
      <w:proofErr w:type="gramEnd"/>
      <w:r w:rsidRPr="00E558AE">
        <w:rPr>
          <w:lang w:val="en-GB"/>
        </w:rPr>
        <w:t xml:space="preserve"> and BMI.</w:t>
      </w:r>
      <w:r w:rsidR="004E607C">
        <w:rPr>
          <w:lang w:val="en-GB"/>
        </w:rPr>
        <w:t xml:space="preserve"> </w:t>
      </w:r>
      <w:r w:rsidRPr="00E558AE">
        <w:rPr>
          <w:lang w:val="en-GB"/>
        </w:rPr>
        <w:t xml:space="preserve">The following differential abundance analyses were performed: (1) patients with end-stage lung diseases (ESLD patients) before transplantation versus healthy controls; (2) lung transplant recipients after transplantation versus healthy controls; (3) lung transplant recipients after transplantation versus ESLD patients before transplantation; (4) ESLD patients and lung transplant recipients grouped by specific end-stage lung disease versus healthy controls; (5) compare the lung transplant recipients on different combinations of immunosuppressive drugs and antibiotics pairwise; (6) compare lung transplant recipients in different chronic lung allograft dysfunction stages pairwise; (7) compare the estimated average abundances of each microbial species between each consecutive time point; (8) compare the estimated average abundance of each microbial species in all time points (i.e. 3, 6, 12, and 24 months) after transplantation to its abundance before transplantation. In analysis (1)-(6), we used linear models (with the </w:t>
      </w:r>
      <w:proofErr w:type="spellStart"/>
      <w:r w:rsidRPr="00E558AE">
        <w:rPr>
          <w:lang w:val="en-GB"/>
        </w:rPr>
        <w:t>lm</w:t>
      </w:r>
      <w:proofErr w:type="spellEnd"/>
      <w:r w:rsidRPr="00E558AE">
        <w:rPr>
          <w:lang w:val="en-GB"/>
        </w:rPr>
        <w:t xml:space="preserve"> function in R) just including fixed effects, while in analysis (7) and (8), we used linear mixed models (with the </w:t>
      </w:r>
      <w:proofErr w:type="spellStart"/>
      <w:r w:rsidRPr="00E558AE">
        <w:rPr>
          <w:lang w:val="en-GB"/>
        </w:rPr>
        <w:t>lmer</w:t>
      </w:r>
      <w:proofErr w:type="spellEnd"/>
      <w:r w:rsidRPr="00E558AE">
        <w:rPr>
          <w:lang w:val="en-GB"/>
        </w:rPr>
        <w:t xml:space="preserve"> function from </w:t>
      </w:r>
      <w:proofErr w:type="spellStart"/>
      <w:r w:rsidRPr="00E558AE">
        <w:rPr>
          <w:lang w:val="en-GB"/>
        </w:rPr>
        <w:t>lmerTest</w:t>
      </w:r>
      <w:proofErr w:type="spellEnd"/>
      <w:r w:rsidRPr="00E558AE">
        <w:rPr>
          <w:lang w:val="en-GB"/>
        </w:rPr>
        <w:t xml:space="preserve"> R package)</w:t>
      </w:r>
      <w:r w:rsidR="004E607C">
        <w:rPr>
          <w:lang w:val="en-GB"/>
        </w:rPr>
        <w:t xml:space="preserve"> </w:t>
      </w:r>
      <w:r w:rsidR="004E607C">
        <w:rPr>
          <w:lang w:val="en-GB"/>
        </w:rPr>
        <w:fldChar w:fldCharType="begin"/>
      </w:r>
      <w:r w:rsidR="00F56354">
        <w:rPr>
          <w:lang w:val="en-GB"/>
        </w:rPr>
        <w:instrText xml:space="preserve"> ADDIN ZOTERO_ITEM CSL_CITATION {"citationID":"TWpKeqME","properties":{"formattedCitation":"[10]","plainCitation":"[10]","noteIndex":0},"citationItems":[{"id":429,"uris":["http://zotero.org/users/10362293/items/7PL8F6Y8"],"itemData":{"id":429,"type":"article-journal","abstract":"One of the frequent questions by users of the mixed model function lmer of the lme4 package has been: How can I get p values for the F and t tests for objects returned by lmer? The lmerTest package extends the 'lmerMod' class of the lme4 package, by overloading the anova and summary functions by providing p values for tests for fixed effects. We have implemented the Satterthwaite's method for approximating degrees of freedom for the t and F tests. We have also implemented the construction of Type I - III ANOVA tables. Furthermore, one may also obtain the summary as well as the anova table using the Kenward-Roger approximation for denominator degrees of freedom (based on the KRmodcomp function from the pbkrtest package). Some other convenient mixed model analysis tools such as a step method, that performs backward elimination of nonsignificant effects  -  both random and fixed, calculation of population means and multiple comparison tests together with plot facilities are provided by the package as well.","container-title":"Journal of Statistical Software","DOI":"10.18637/jss.v082.i13","ISSN":"1548-7660","language":"en","license":"Copyright (c) 2017 Alexandra Kuznetsova, Per B. Brockhoff, Rune H. B. Christensen","page":"1-26","source":"www.jstatsoft.org","title":"lmerTest Package: Tests in Linear Mixed Effects Models","title-short":"lmerTest Package","volume":"82","author":[{"family":"Kuznetsova","given":"Alexandra"},{"family":"Brockhoff","given":"Per B."},{"family":"Christensen","given":"Rune H. B."}],"issued":{"date-parts":[["2017",12,6]]}}}],"schema":"https://github.com/citation-style-language/schema/raw/master/csl-citation.json"} </w:instrText>
      </w:r>
      <w:r w:rsidR="004E607C">
        <w:rPr>
          <w:lang w:val="en-GB"/>
        </w:rPr>
        <w:fldChar w:fldCharType="separate"/>
      </w:r>
      <w:r w:rsidR="00F56354">
        <w:rPr>
          <w:noProof/>
          <w:lang w:val="en-GB"/>
        </w:rPr>
        <w:t>[10]</w:t>
      </w:r>
      <w:r w:rsidR="004E607C">
        <w:rPr>
          <w:lang w:val="en-GB"/>
        </w:rPr>
        <w:fldChar w:fldCharType="end"/>
      </w:r>
      <w:r w:rsidRPr="00E558AE">
        <w:rPr>
          <w:lang w:val="en-GB"/>
        </w:rPr>
        <w:t xml:space="preserve"> including participant ID as a random effect. Specially for analysis (8), the estimated marginal means for the time point before transplantation were compared to the grand average of all time points after transplantation by the R package </w:t>
      </w:r>
      <w:proofErr w:type="spellStart"/>
      <w:r w:rsidRPr="00E558AE">
        <w:rPr>
          <w:lang w:val="en-GB"/>
        </w:rPr>
        <w:t>emmeans</w:t>
      </w:r>
      <w:proofErr w:type="spellEnd"/>
      <w:r w:rsidRPr="00E558AE">
        <w:rPr>
          <w:lang w:val="en-GB"/>
        </w:rPr>
        <w:t xml:space="preserve">. Finally, we performed logistic regression on presence-absences of antibiotic resistance genes and virulence factors, both of which were extremely sparse in healthy controls. After each differential analysis, statistical significance was determined by correcting for multiple testing using the </w:t>
      </w:r>
      <w:proofErr w:type="spellStart"/>
      <w:r w:rsidRPr="00E558AE">
        <w:rPr>
          <w:lang w:val="en-GB"/>
        </w:rPr>
        <w:t>Benjamini</w:t>
      </w:r>
      <w:proofErr w:type="spellEnd"/>
      <w:r w:rsidRPr="00E558AE">
        <w:rPr>
          <w:lang w:val="en-GB"/>
        </w:rPr>
        <w:t xml:space="preserve">-Hochberg false discovery rate (FDR) of 10% with the </w:t>
      </w:r>
      <w:proofErr w:type="spellStart"/>
      <w:proofErr w:type="gramStart"/>
      <w:r w:rsidRPr="00E558AE">
        <w:rPr>
          <w:lang w:val="en-GB"/>
        </w:rPr>
        <w:t>Padjust</w:t>
      </w:r>
      <w:proofErr w:type="spellEnd"/>
      <w:r w:rsidRPr="00E558AE">
        <w:rPr>
          <w:lang w:val="en-GB"/>
        </w:rPr>
        <w:t>(</w:t>
      </w:r>
      <w:proofErr w:type="gramEnd"/>
      <w:r w:rsidRPr="00E558AE">
        <w:rPr>
          <w:lang w:val="en-GB"/>
        </w:rPr>
        <w:t>..., n=</w:t>
      </w:r>
      <w:proofErr w:type="spellStart"/>
      <w:r w:rsidRPr="00E558AE">
        <w:rPr>
          <w:lang w:val="en-GB"/>
        </w:rPr>
        <w:t>n_features</w:t>
      </w:r>
      <w:proofErr w:type="spellEnd"/>
      <w:r w:rsidRPr="00E558AE">
        <w:rPr>
          <w:lang w:val="en-GB"/>
        </w:rPr>
        <w:t>, method=”BH”) function in R.</w:t>
      </w:r>
    </w:p>
    <w:p w14:paraId="2492BBFE" w14:textId="77777777" w:rsidR="00726203" w:rsidRDefault="00726203" w:rsidP="004E607C">
      <w:pPr>
        <w:spacing w:line="276" w:lineRule="auto"/>
        <w:rPr>
          <w:lang w:val="en-GB"/>
        </w:rPr>
      </w:pPr>
    </w:p>
    <w:p w14:paraId="53451CDB" w14:textId="77777777" w:rsidR="00984243" w:rsidRDefault="00984243" w:rsidP="004E607C">
      <w:pPr>
        <w:spacing w:line="276" w:lineRule="auto"/>
        <w:rPr>
          <w:lang w:val="en-GB"/>
        </w:rPr>
      </w:pPr>
    </w:p>
    <w:p w14:paraId="0DF88ABD" w14:textId="77777777" w:rsidR="00984243" w:rsidRDefault="00984243" w:rsidP="004E607C">
      <w:pPr>
        <w:spacing w:line="276" w:lineRule="auto"/>
        <w:rPr>
          <w:lang w:val="en-GB"/>
        </w:rPr>
      </w:pPr>
    </w:p>
    <w:p w14:paraId="1D4B80D8" w14:textId="117B1F73" w:rsidR="00984243" w:rsidRPr="00984243" w:rsidRDefault="00984243" w:rsidP="004E607C">
      <w:pPr>
        <w:spacing w:line="276" w:lineRule="auto"/>
        <w:rPr>
          <w:b/>
          <w:bCs/>
          <w:sz w:val="28"/>
          <w:szCs w:val="28"/>
          <w:lang w:val="en-GB"/>
        </w:rPr>
      </w:pPr>
      <w:r w:rsidRPr="00984243">
        <w:rPr>
          <w:b/>
          <w:bCs/>
          <w:sz w:val="28"/>
          <w:szCs w:val="28"/>
          <w:lang w:val="en-GB"/>
        </w:rPr>
        <w:t>References for supplementary materials</w:t>
      </w:r>
      <w:r>
        <w:rPr>
          <w:b/>
          <w:bCs/>
          <w:sz w:val="28"/>
          <w:szCs w:val="28"/>
          <w:lang w:val="en-GB"/>
        </w:rPr>
        <w:t xml:space="preserve"> and methods</w:t>
      </w:r>
    </w:p>
    <w:p w14:paraId="682F24A0" w14:textId="77777777" w:rsidR="00726203" w:rsidRPr="00726203" w:rsidRDefault="00726203" w:rsidP="00726203">
      <w:pPr>
        <w:pStyle w:val="Bibliography"/>
        <w:rPr>
          <w:lang w:val="en-GB"/>
        </w:rPr>
      </w:pPr>
      <w:r>
        <w:rPr>
          <w:lang w:val="en-GB"/>
        </w:rPr>
        <w:fldChar w:fldCharType="begin"/>
      </w:r>
      <w:r>
        <w:rPr>
          <w:lang w:val="en-GB"/>
        </w:rPr>
        <w:instrText xml:space="preserve"> ADDIN ZOTERO_BIBL {"uncited":[],"omitted":[],"custom":[]} CSL_BIBLIOGRAPHY </w:instrText>
      </w:r>
      <w:r>
        <w:rPr>
          <w:lang w:val="en-GB"/>
        </w:rPr>
        <w:fldChar w:fldCharType="separate"/>
      </w:r>
      <w:r w:rsidRPr="00726203">
        <w:rPr>
          <w:lang w:val="en-GB"/>
        </w:rPr>
        <w:t xml:space="preserve">1. </w:t>
      </w:r>
      <w:r w:rsidRPr="00726203">
        <w:rPr>
          <w:lang w:val="en-GB"/>
        </w:rPr>
        <w:tab/>
        <w:t xml:space="preserve">Eisenga MF, Gomes-Neto AW, van Londen M, Ziengs AL, Douwes RM, Stam SP, Osté MCJ, Knobbe TJ, Hessels NR, Buunk AM, Annema C, Siebelink MJ, Racz E, Spikman JM, Bodewes FAJA, Pol RA, Berger SP, Drost G, Porte RJ, Leuvenink HGD, Damman K, Verschuuren EAM, de Meijer VE, Blokzijl H, Bakker SJL. Rationale and design of TransplantLines: a prospective cohort study and biobank of solid organ transplant recipients. </w:t>
      </w:r>
      <w:r w:rsidRPr="00726203">
        <w:rPr>
          <w:i/>
          <w:iCs/>
          <w:lang w:val="en-GB"/>
        </w:rPr>
        <w:t>BMJ Open</w:t>
      </w:r>
      <w:r w:rsidRPr="00726203">
        <w:rPr>
          <w:lang w:val="en-GB"/>
        </w:rPr>
        <w:t xml:space="preserve"> 2018; 8: e024502.</w:t>
      </w:r>
    </w:p>
    <w:p w14:paraId="739CF54C" w14:textId="77777777" w:rsidR="00726203" w:rsidRPr="00726203" w:rsidRDefault="00726203" w:rsidP="00726203">
      <w:pPr>
        <w:pStyle w:val="Bibliography"/>
        <w:rPr>
          <w:lang w:val="en-GB"/>
        </w:rPr>
      </w:pPr>
      <w:r w:rsidRPr="00726203">
        <w:rPr>
          <w:lang w:val="en-GB"/>
        </w:rPr>
        <w:lastRenderedPageBreak/>
        <w:t xml:space="preserve">2. </w:t>
      </w:r>
      <w:r w:rsidRPr="00726203">
        <w:rPr>
          <w:lang w:val="en-GB"/>
        </w:rPr>
        <w:tab/>
        <w:t xml:space="preserve">McIver LJ, Abu-Ali G, Franzosa EA, Schwager R, Morgan XC, Waldron L, Segata N, Huttenhower C. bioBakery: a meta’omic analysis environment. </w:t>
      </w:r>
      <w:r w:rsidRPr="00726203">
        <w:rPr>
          <w:i/>
          <w:iCs/>
          <w:lang w:val="en-GB"/>
        </w:rPr>
        <w:t>Bioinformatics</w:t>
      </w:r>
      <w:r w:rsidRPr="00726203">
        <w:rPr>
          <w:lang w:val="en-GB"/>
        </w:rPr>
        <w:t xml:space="preserve"> 2018; 34: 1235–1237.</w:t>
      </w:r>
    </w:p>
    <w:p w14:paraId="677B6961" w14:textId="77777777" w:rsidR="00726203" w:rsidRPr="00726203" w:rsidRDefault="00726203" w:rsidP="00726203">
      <w:pPr>
        <w:pStyle w:val="Bibliography"/>
        <w:rPr>
          <w:lang w:val="en-GB"/>
        </w:rPr>
      </w:pPr>
      <w:r w:rsidRPr="00726203">
        <w:rPr>
          <w:lang w:val="en-GB"/>
        </w:rPr>
        <w:t xml:space="preserve">3. </w:t>
      </w:r>
      <w:r w:rsidRPr="00726203">
        <w:rPr>
          <w:lang w:val="en-GB"/>
        </w:rPr>
        <w:tab/>
        <w:t xml:space="preserve">Langmead B, Salzberg SL. Fast gapped-read alignment with Bowtie 2. </w:t>
      </w:r>
      <w:r w:rsidRPr="00726203">
        <w:rPr>
          <w:i/>
          <w:iCs/>
          <w:lang w:val="en-GB"/>
        </w:rPr>
        <w:t>Nat Methods</w:t>
      </w:r>
      <w:r w:rsidRPr="00726203">
        <w:rPr>
          <w:lang w:val="en-GB"/>
        </w:rPr>
        <w:t xml:space="preserve"> Nature Publishing Group; 2012; 9: 357–359.</w:t>
      </w:r>
    </w:p>
    <w:p w14:paraId="0486A959" w14:textId="77777777" w:rsidR="00726203" w:rsidRPr="00726203" w:rsidRDefault="00726203" w:rsidP="00726203">
      <w:pPr>
        <w:pStyle w:val="Bibliography"/>
        <w:rPr>
          <w:lang w:val="en-GB"/>
        </w:rPr>
      </w:pPr>
      <w:r w:rsidRPr="00726203">
        <w:rPr>
          <w:lang w:val="en-GB"/>
        </w:rPr>
        <w:t xml:space="preserve">4. </w:t>
      </w:r>
      <w:r w:rsidRPr="00726203">
        <w:rPr>
          <w:lang w:val="en-GB"/>
        </w:rPr>
        <w:tab/>
        <w:t xml:space="preserve">Beghini F, McIver LJ, Blanco-Míguez A, Dubois L, Asnicar F, Maharjan S, Mailyan A, Manghi P, Scholz M, Thomas AM, Valles-Colomer M, Weingart G, Zhang Y, Zolfo M, Huttenhower C, Franzosa EA, Segata N. Integrating taxonomic, functional, and strain-level profiling of diverse microbial communities with bioBakery 3. </w:t>
      </w:r>
      <w:r w:rsidRPr="00726203">
        <w:rPr>
          <w:i/>
          <w:iCs/>
          <w:lang w:val="en-GB"/>
        </w:rPr>
        <w:t>eLife</w:t>
      </w:r>
      <w:r w:rsidRPr="00726203">
        <w:rPr>
          <w:lang w:val="en-GB"/>
        </w:rPr>
        <w:t xml:space="preserve"> 10: e65088.</w:t>
      </w:r>
    </w:p>
    <w:p w14:paraId="3D1B7F84" w14:textId="77777777" w:rsidR="00726203" w:rsidRPr="00726203" w:rsidRDefault="00726203" w:rsidP="00726203">
      <w:pPr>
        <w:pStyle w:val="Bibliography"/>
        <w:rPr>
          <w:lang w:val="en-GB"/>
        </w:rPr>
      </w:pPr>
      <w:r w:rsidRPr="00726203">
        <w:rPr>
          <w:lang w:val="en-GB"/>
        </w:rPr>
        <w:t xml:space="preserve">5. </w:t>
      </w:r>
      <w:r w:rsidRPr="00726203">
        <w:rPr>
          <w:lang w:val="en-GB"/>
        </w:rPr>
        <w:tab/>
        <w:t xml:space="preserve">Gloor GB, Macklaim JM, Pawlowsky-Glahn V, Egozcue JJ. Microbiome Datasets Are Compositional: And This Is Not Optional. </w:t>
      </w:r>
      <w:r w:rsidRPr="00726203">
        <w:rPr>
          <w:i/>
          <w:iCs/>
          <w:lang w:val="en-GB"/>
        </w:rPr>
        <w:t>Frontiers in Microbiology</w:t>
      </w:r>
      <w:r w:rsidRPr="00726203">
        <w:rPr>
          <w:lang w:val="en-GB"/>
        </w:rPr>
        <w:t xml:space="preserve"> [Internet] 2017 [cited 2023 May 19]; 8Available from: https://www.frontiersin.org/articles/10.3389/fmicb.2017.02224.</w:t>
      </w:r>
    </w:p>
    <w:p w14:paraId="62F7D008" w14:textId="77777777" w:rsidR="00726203" w:rsidRPr="00726203" w:rsidRDefault="00726203" w:rsidP="00726203">
      <w:pPr>
        <w:pStyle w:val="Bibliography"/>
        <w:rPr>
          <w:lang w:val="en-GB"/>
        </w:rPr>
      </w:pPr>
      <w:r w:rsidRPr="00726203">
        <w:rPr>
          <w:lang w:val="en-GB"/>
        </w:rPr>
        <w:t xml:space="preserve">6. </w:t>
      </w:r>
      <w:r w:rsidRPr="00726203">
        <w:rPr>
          <w:lang w:val="en-GB"/>
        </w:rPr>
        <w:tab/>
        <w:t xml:space="preserve">Pawlowsky-Glahn V, Egozcue JJ. Compositional data and their analysis: an introduction. </w:t>
      </w:r>
      <w:r w:rsidRPr="00726203">
        <w:rPr>
          <w:i/>
          <w:iCs/>
          <w:lang w:val="en-GB"/>
        </w:rPr>
        <w:t>Geological Society, London, Special Publications</w:t>
      </w:r>
      <w:r w:rsidRPr="00726203">
        <w:rPr>
          <w:lang w:val="en-GB"/>
        </w:rPr>
        <w:t xml:space="preserve"> The Geological Society of London; 2006; 264: 1–10.</w:t>
      </w:r>
    </w:p>
    <w:p w14:paraId="57F49E05" w14:textId="77777777" w:rsidR="00726203" w:rsidRPr="00726203" w:rsidRDefault="00726203" w:rsidP="00726203">
      <w:pPr>
        <w:pStyle w:val="Bibliography"/>
        <w:rPr>
          <w:lang w:val="en-GB"/>
        </w:rPr>
      </w:pPr>
      <w:r w:rsidRPr="00726203">
        <w:rPr>
          <w:lang w:val="en-GB"/>
        </w:rPr>
        <w:t xml:space="preserve">7. </w:t>
      </w:r>
      <w:r w:rsidRPr="00726203">
        <w:rPr>
          <w:lang w:val="en-GB"/>
        </w:rPr>
        <w:tab/>
        <w:t xml:space="preserve">Pawlowsky-Glahn V, Egozcue JJ. Geometric approach to statistical analysis on the simplex. </w:t>
      </w:r>
      <w:r w:rsidRPr="00726203">
        <w:rPr>
          <w:i/>
          <w:iCs/>
          <w:lang w:val="en-GB"/>
        </w:rPr>
        <w:t>Stochastic Environmental Research and Risk Assessment</w:t>
      </w:r>
      <w:r w:rsidRPr="00726203">
        <w:rPr>
          <w:lang w:val="en-GB"/>
        </w:rPr>
        <w:t xml:space="preserve"> 2001; 15: 384–398.</w:t>
      </w:r>
    </w:p>
    <w:p w14:paraId="5E5EFADC" w14:textId="77777777" w:rsidR="00726203" w:rsidRPr="00726203" w:rsidRDefault="00726203" w:rsidP="00726203">
      <w:pPr>
        <w:pStyle w:val="Bibliography"/>
        <w:rPr>
          <w:lang w:val="en-GB"/>
        </w:rPr>
      </w:pPr>
      <w:r w:rsidRPr="00726203">
        <w:rPr>
          <w:lang w:val="en-GB"/>
        </w:rPr>
        <w:t xml:space="preserve">8. </w:t>
      </w:r>
      <w:r w:rsidRPr="00726203">
        <w:rPr>
          <w:lang w:val="en-GB"/>
        </w:rPr>
        <w:tab/>
        <w:t xml:space="preserve">Morton JT, Marotz C, Washburne A, Silverman J, Zaramela LS, Edlund A, Zengler K, Knight R. Establishing microbial composition measurement standards with reference frames. </w:t>
      </w:r>
      <w:r w:rsidRPr="00726203">
        <w:rPr>
          <w:i/>
          <w:iCs/>
          <w:lang w:val="en-GB"/>
        </w:rPr>
        <w:t>Nat Commun</w:t>
      </w:r>
      <w:r w:rsidRPr="00726203">
        <w:rPr>
          <w:lang w:val="en-GB"/>
        </w:rPr>
        <w:t xml:space="preserve"> Nature Publishing Group; 2019; 10: 2719.</w:t>
      </w:r>
    </w:p>
    <w:p w14:paraId="7CCAA9FA" w14:textId="77777777" w:rsidR="00726203" w:rsidRPr="00726203" w:rsidRDefault="00726203" w:rsidP="00726203">
      <w:pPr>
        <w:pStyle w:val="Bibliography"/>
        <w:rPr>
          <w:lang w:val="en-GB"/>
        </w:rPr>
      </w:pPr>
      <w:r w:rsidRPr="00726203">
        <w:rPr>
          <w:lang w:val="en-GB"/>
        </w:rPr>
        <w:t xml:space="preserve">9. </w:t>
      </w:r>
      <w:r w:rsidRPr="00726203">
        <w:rPr>
          <w:lang w:val="en-GB"/>
        </w:rPr>
        <w:tab/>
        <w:t xml:space="preserve">Aitchison J. On criteria for measures of compositional difference. </w:t>
      </w:r>
      <w:r w:rsidRPr="00726203">
        <w:rPr>
          <w:i/>
          <w:iCs/>
          <w:lang w:val="en-GB"/>
        </w:rPr>
        <w:t>Math Geol</w:t>
      </w:r>
      <w:r w:rsidRPr="00726203">
        <w:rPr>
          <w:lang w:val="en-GB"/>
        </w:rPr>
        <w:t xml:space="preserve"> 1992; 24: 365–379.</w:t>
      </w:r>
    </w:p>
    <w:p w14:paraId="05E7D6C8" w14:textId="77777777" w:rsidR="00726203" w:rsidRPr="00726203" w:rsidRDefault="00726203" w:rsidP="00726203">
      <w:pPr>
        <w:pStyle w:val="Bibliography"/>
        <w:rPr>
          <w:lang w:val="en-GB"/>
        </w:rPr>
      </w:pPr>
      <w:r w:rsidRPr="00726203">
        <w:rPr>
          <w:lang w:val="en-GB"/>
        </w:rPr>
        <w:t xml:space="preserve">10. </w:t>
      </w:r>
      <w:r w:rsidRPr="00726203">
        <w:rPr>
          <w:lang w:val="en-GB"/>
        </w:rPr>
        <w:tab/>
        <w:t xml:space="preserve">Kuznetsova A, Brockhoff PB, Christensen RHB. lmerTest Package: Tests in Linear Mixed Effects Models. </w:t>
      </w:r>
      <w:r w:rsidRPr="00726203">
        <w:rPr>
          <w:i/>
          <w:iCs/>
          <w:lang w:val="en-GB"/>
        </w:rPr>
        <w:t>Journal of Statistical Software</w:t>
      </w:r>
      <w:r w:rsidRPr="00726203">
        <w:rPr>
          <w:lang w:val="en-GB"/>
        </w:rPr>
        <w:t xml:space="preserve"> 2017; 82: 1–26.</w:t>
      </w:r>
    </w:p>
    <w:p w14:paraId="15D8E109" w14:textId="0336C5F9" w:rsidR="00726203" w:rsidRPr="00E558AE" w:rsidRDefault="00726203" w:rsidP="004E607C">
      <w:pPr>
        <w:spacing w:line="276" w:lineRule="auto"/>
        <w:rPr>
          <w:lang w:val="en-GB"/>
        </w:rPr>
      </w:pPr>
      <w:r>
        <w:rPr>
          <w:lang w:val="en-GB"/>
        </w:rPr>
        <w:fldChar w:fldCharType="end"/>
      </w:r>
    </w:p>
    <w:p w14:paraId="4BCD383F" w14:textId="1332A515" w:rsidR="00E354CC" w:rsidRPr="00E558AE" w:rsidRDefault="00E354CC">
      <w:pPr>
        <w:rPr>
          <w:b/>
          <w:lang w:val="en-GB"/>
        </w:rPr>
      </w:pPr>
      <w:r w:rsidRPr="00E558AE">
        <w:rPr>
          <w:b/>
          <w:lang w:val="en-GB"/>
        </w:rPr>
        <w:br w:type="page"/>
      </w:r>
    </w:p>
    <w:p w14:paraId="6B050F5A" w14:textId="7FD5F51F" w:rsidR="009B0BB9" w:rsidRPr="00E558AE" w:rsidRDefault="009B0BB9" w:rsidP="009B0BB9">
      <w:pPr>
        <w:spacing w:before="219" w:line="360" w:lineRule="auto"/>
        <w:ind w:left="100" w:right="566" w:hanging="10"/>
        <w:rPr>
          <w:b/>
          <w:bCs/>
          <w:color w:val="000000"/>
          <w:sz w:val="32"/>
          <w:szCs w:val="32"/>
          <w:lang w:val="en-GB"/>
        </w:rPr>
      </w:pPr>
      <w:r w:rsidRPr="00E558AE">
        <w:rPr>
          <w:b/>
          <w:bCs/>
          <w:color w:val="000000"/>
          <w:sz w:val="32"/>
          <w:szCs w:val="32"/>
          <w:lang w:val="en-GB"/>
        </w:rPr>
        <w:lastRenderedPageBreak/>
        <w:t>Supplementary Figures</w:t>
      </w:r>
    </w:p>
    <w:p w14:paraId="0AE9C447" w14:textId="5A4FCE7B" w:rsidR="00060EDE" w:rsidRPr="00E558AE" w:rsidRDefault="00060EDE" w:rsidP="00060EDE">
      <w:pPr>
        <w:spacing w:before="219" w:line="360" w:lineRule="auto"/>
        <w:ind w:left="100" w:right="566" w:hanging="10"/>
        <w:rPr>
          <w:lang w:val="en-GB"/>
        </w:rPr>
      </w:pPr>
      <w:r w:rsidRPr="00E558AE">
        <w:rPr>
          <w:noProof/>
          <w:lang w:val="en-GB"/>
        </w:rPr>
        <w:drawing>
          <wp:anchor distT="0" distB="0" distL="0" distR="0" simplePos="0" relativeHeight="251659264" behindDoc="0" locked="0" layoutInCell="1" allowOverlap="1" wp14:anchorId="451B98D5" wp14:editId="4EC2F054">
            <wp:simplePos x="0" y="0"/>
            <wp:positionH relativeFrom="page">
              <wp:posOffset>909320</wp:posOffset>
            </wp:positionH>
            <wp:positionV relativeFrom="paragraph">
              <wp:posOffset>3175</wp:posOffset>
            </wp:positionV>
            <wp:extent cx="5759450" cy="1983105"/>
            <wp:effectExtent l="0" t="0" r="0" b="0"/>
            <wp:wrapTopAndBottom/>
            <wp:docPr id="21" name="image11.png" descr="A diagram of a cluster dend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1.png" descr="A diagram of a cluster dendrogram&#10;&#10;Description automatically generated"/>
                    <pic:cNvPicPr/>
                  </pic:nvPicPr>
                  <pic:blipFill>
                    <a:blip r:embed="rId11" cstate="print"/>
                    <a:stretch>
                      <a:fillRect/>
                    </a:stretch>
                  </pic:blipFill>
                  <pic:spPr>
                    <a:xfrm>
                      <a:off x="0" y="0"/>
                      <a:ext cx="5759450" cy="1983105"/>
                    </a:xfrm>
                    <a:prstGeom prst="rect">
                      <a:avLst/>
                    </a:prstGeom>
                  </pic:spPr>
                </pic:pic>
              </a:graphicData>
            </a:graphic>
            <wp14:sizeRelH relativeFrom="margin">
              <wp14:pctWidth>0</wp14:pctWidth>
            </wp14:sizeRelH>
            <wp14:sizeRelV relativeFrom="margin">
              <wp14:pctHeight>0</wp14:pctHeight>
            </wp14:sizeRelV>
          </wp:anchor>
        </w:drawing>
      </w:r>
      <w:r w:rsidRPr="00E558AE">
        <w:rPr>
          <w:b/>
          <w:lang w:val="en-GB"/>
        </w:rPr>
        <w:t xml:space="preserve">Figure S1. Dendrogram of unsupervised cluster analysis to identify different medication regimens. </w:t>
      </w:r>
      <w:r w:rsidRPr="00E558AE">
        <w:rPr>
          <w:lang w:val="en-GB"/>
        </w:rPr>
        <w:t>Dendrogram shows the hierarchical relationship among samples from LTR. The height at which two samples are joined together represents the dissimilarity of their medication regimens. The larger the height, the more different the medication regimens. Samples joined together at a height of zero were on the same medication regimen. The dendrogram was cut at the height of zero, and medication regimens with no less than five recipients (different colour rectangles) were selected for further analysis.</w:t>
      </w:r>
    </w:p>
    <w:p w14:paraId="1B868812" w14:textId="77777777" w:rsidR="00060EDE" w:rsidRPr="00E558AE" w:rsidRDefault="00060EDE" w:rsidP="00FF13F8">
      <w:pPr>
        <w:jc w:val="center"/>
        <w:rPr>
          <w:rFonts w:ascii="Arial" w:hAnsi="Arial" w:cs="Arial"/>
          <w:color w:val="000000" w:themeColor="text1"/>
          <w:sz w:val="19"/>
          <w:szCs w:val="19"/>
          <w:lang w:val="en-GB"/>
        </w:rPr>
      </w:pPr>
    </w:p>
    <w:p w14:paraId="22E01DF3" w14:textId="77777777" w:rsidR="00060EDE" w:rsidRPr="00E558AE" w:rsidRDefault="00060EDE">
      <w:pPr>
        <w:rPr>
          <w:rFonts w:ascii="Arial" w:hAnsi="Arial" w:cs="Arial"/>
          <w:color w:val="000000" w:themeColor="text1"/>
          <w:sz w:val="19"/>
          <w:szCs w:val="19"/>
          <w:lang w:val="en-GB"/>
        </w:rPr>
      </w:pPr>
      <w:r w:rsidRPr="00E558AE">
        <w:rPr>
          <w:rFonts w:ascii="Arial" w:hAnsi="Arial" w:cs="Arial"/>
          <w:color w:val="000000" w:themeColor="text1"/>
          <w:sz w:val="19"/>
          <w:szCs w:val="19"/>
          <w:lang w:val="en-GB"/>
        </w:rPr>
        <w:br w:type="page"/>
      </w:r>
    </w:p>
    <w:p w14:paraId="4D50EDD0" w14:textId="131EE266" w:rsidR="003F0AB8" w:rsidRPr="00E558AE" w:rsidRDefault="00FF13F8" w:rsidP="00FF13F8">
      <w:pPr>
        <w:jc w:val="center"/>
        <w:rPr>
          <w:rFonts w:ascii="Arial" w:hAnsi="Arial" w:cs="Arial"/>
          <w:color w:val="000000" w:themeColor="text1"/>
          <w:sz w:val="19"/>
          <w:szCs w:val="19"/>
          <w:lang w:val="en-GB"/>
        </w:rPr>
      </w:pPr>
      <w:r w:rsidRPr="00E558AE">
        <w:rPr>
          <w:noProof/>
          <w:sz w:val="20"/>
          <w:lang w:val="en-GB"/>
        </w:rPr>
        <w:lastRenderedPageBreak/>
        <w:drawing>
          <wp:inline distT="0" distB="0" distL="0" distR="0" wp14:anchorId="6CD204D9" wp14:editId="002501EE">
            <wp:extent cx="5400000" cy="5009659"/>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2" cstate="print"/>
                    <a:stretch>
                      <a:fillRect/>
                    </a:stretch>
                  </pic:blipFill>
                  <pic:spPr>
                    <a:xfrm>
                      <a:off x="0" y="0"/>
                      <a:ext cx="5400000" cy="5009659"/>
                    </a:xfrm>
                    <a:prstGeom prst="rect">
                      <a:avLst/>
                    </a:prstGeom>
                  </pic:spPr>
                </pic:pic>
              </a:graphicData>
            </a:graphic>
          </wp:inline>
        </w:drawing>
      </w:r>
    </w:p>
    <w:p w14:paraId="7C006527" w14:textId="77777777" w:rsidR="00FF13F8" w:rsidRPr="00E558AE" w:rsidRDefault="00FF13F8" w:rsidP="00FF13F8">
      <w:pPr>
        <w:jc w:val="center"/>
        <w:rPr>
          <w:rFonts w:ascii="Arial" w:hAnsi="Arial" w:cs="Arial"/>
          <w:color w:val="000000" w:themeColor="text1"/>
          <w:sz w:val="19"/>
          <w:szCs w:val="19"/>
          <w:lang w:val="en-GB"/>
        </w:rPr>
      </w:pPr>
    </w:p>
    <w:p w14:paraId="2E24E62B" w14:textId="04C277C1" w:rsidR="003369B1" w:rsidRDefault="00FF13F8" w:rsidP="00FF13F8">
      <w:pPr>
        <w:spacing w:before="93" w:line="360" w:lineRule="auto"/>
        <w:ind w:left="100" w:right="574" w:hanging="10"/>
        <w:rPr>
          <w:lang w:val="en-GB"/>
        </w:rPr>
      </w:pPr>
      <w:r w:rsidRPr="00E558AE">
        <w:rPr>
          <w:b/>
          <w:lang w:val="en-GB"/>
        </w:rPr>
        <w:t>Figure S</w:t>
      </w:r>
      <w:r w:rsidR="00060EDE" w:rsidRPr="00E558AE">
        <w:rPr>
          <w:b/>
          <w:lang w:val="en-GB"/>
        </w:rPr>
        <w:t>2</w:t>
      </w:r>
      <w:r w:rsidRPr="00E558AE">
        <w:rPr>
          <w:b/>
          <w:lang w:val="en-GB"/>
        </w:rPr>
        <w:t xml:space="preserve">. The gut microbiome exhibits dysbiosis both before and after transplantation. </w:t>
      </w:r>
      <w:r w:rsidRPr="00E558AE">
        <w:rPr>
          <w:lang w:val="en-GB"/>
        </w:rPr>
        <w:t xml:space="preserve">Violin plots shows the average Aitchison distance to the healthy controls of end-stage disease (ESLD) patients and lung transplant recipients </w:t>
      </w:r>
      <w:r w:rsidRPr="00E558AE">
        <w:rPr>
          <w:spacing w:val="-4"/>
          <w:lang w:val="en-GB"/>
        </w:rPr>
        <w:t>(LTR)</w:t>
      </w:r>
      <w:r w:rsidRPr="00E558AE">
        <w:rPr>
          <w:spacing w:val="-3"/>
          <w:lang w:val="en-GB"/>
        </w:rPr>
        <w:t xml:space="preserve">. </w:t>
      </w:r>
      <w:r w:rsidRPr="00E558AE">
        <w:rPr>
          <w:lang w:val="en-GB"/>
        </w:rPr>
        <w:t>The</w:t>
      </w:r>
      <w:r w:rsidRPr="00E558AE">
        <w:rPr>
          <w:spacing w:val="-5"/>
          <w:lang w:val="en-GB"/>
        </w:rPr>
        <w:t xml:space="preserve"> </w:t>
      </w:r>
      <w:r w:rsidRPr="00E558AE">
        <w:rPr>
          <w:lang w:val="en-GB"/>
        </w:rPr>
        <w:t>value</w:t>
      </w:r>
      <w:r w:rsidRPr="00E558AE">
        <w:rPr>
          <w:spacing w:val="-4"/>
          <w:lang w:val="en-GB"/>
        </w:rPr>
        <w:t xml:space="preserve"> </w:t>
      </w:r>
      <w:r w:rsidRPr="00E558AE">
        <w:rPr>
          <w:lang w:val="en-GB"/>
        </w:rPr>
        <w:t>of</w:t>
      </w:r>
      <w:r w:rsidRPr="00E558AE">
        <w:rPr>
          <w:spacing w:val="-4"/>
          <w:lang w:val="en-GB"/>
        </w:rPr>
        <w:t xml:space="preserve"> </w:t>
      </w:r>
      <w:r w:rsidRPr="00E558AE">
        <w:rPr>
          <w:lang w:val="en-GB"/>
        </w:rPr>
        <w:t>each</w:t>
      </w:r>
      <w:r w:rsidRPr="00E558AE">
        <w:rPr>
          <w:spacing w:val="-4"/>
          <w:lang w:val="en-GB"/>
        </w:rPr>
        <w:t xml:space="preserve"> </w:t>
      </w:r>
      <w:r w:rsidRPr="00E558AE">
        <w:rPr>
          <w:lang w:val="en-GB"/>
        </w:rPr>
        <w:t>dot</w:t>
      </w:r>
      <w:r w:rsidRPr="00E558AE">
        <w:rPr>
          <w:spacing w:val="-4"/>
          <w:lang w:val="en-GB"/>
        </w:rPr>
        <w:t xml:space="preserve"> </w:t>
      </w:r>
      <w:r w:rsidRPr="00E558AE">
        <w:rPr>
          <w:lang w:val="en-GB"/>
        </w:rPr>
        <w:t>is</w:t>
      </w:r>
      <w:r w:rsidRPr="00E558AE">
        <w:rPr>
          <w:spacing w:val="-4"/>
          <w:lang w:val="en-GB"/>
        </w:rPr>
        <w:t xml:space="preserve"> </w:t>
      </w:r>
      <w:r w:rsidRPr="00E558AE">
        <w:rPr>
          <w:lang w:val="en-GB"/>
        </w:rPr>
        <w:t>the</w:t>
      </w:r>
      <w:r w:rsidRPr="00E558AE">
        <w:rPr>
          <w:spacing w:val="-4"/>
          <w:lang w:val="en-GB"/>
        </w:rPr>
        <w:t xml:space="preserve"> </w:t>
      </w:r>
      <w:r w:rsidRPr="00E558AE">
        <w:rPr>
          <w:lang w:val="en-GB"/>
        </w:rPr>
        <w:t>mean</w:t>
      </w:r>
      <w:r w:rsidRPr="00E558AE">
        <w:rPr>
          <w:spacing w:val="-4"/>
          <w:lang w:val="en-GB"/>
        </w:rPr>
        <w:t xml:space="preserve"> </w:t>
      </w:r>
      <w:r w:rsidRPr="00E558AE">
        <w:rPr>
          <w:lang w:val="en-GB"/>
        </w:rPr>
        <w:t>of</w:t>
      </w:r>
      <w:r w:rsidRPr="00E558AE">
        <w:rPr>
          <w:spacing w:val="-4"/>
          <w:lang w:val="en-GB"/>
        </w:rPr>
        <w:t xml:space="preserve"> </w:t>
      </w:r>
      <w:r w:rsidRPr="00E558AE">
        <w:rPr>
          <w:lang w:val="en-GB"/>
        </w:rPr>
        <w:t>the</w:t>
      </w:r>
      <w:r w:rsidRPr="00E558AE">
        <w:rPr>
          <w:spacing w:val="-4"/>
          <w:lang w:val="en-GB"/>
        </w:rPr>
        <w:t xml:space="preserve"> </w:t>
      </w:r>
      <w:r w:rsidRPr="00E558AE">
        <w:rPr>
          <w:lang w:val="en-GB"/>
        </w:rPr>
        <w:t>Aitchison</w:t>
      </w:r>
      <w:r w:rsidRPr="00E558AE">
        <w:rPr>
          <w:spacing w:val="-4"/>
          <w:lang w:val="en-GB"/>
        </w:rPr>
        <w:t xml:space="preserve"> </w:t>
      </w:r>
      <w:r w:rsidRPr="00E558AE">
        <w:rPr>
          <w:lang w:val="en-GB"/>
        </w:rPr>
        <w:t>distance</w:t>
      </w:r>
      <w:r w:rsidRPr="00E558AE">
        <w:rPr>
          <w:spacing w:val="-5"/>
          <w:lang w:val="en-GB"/>
        </w:rPr>
        <w:t xml:space="preserve"> </w:t>
      </w:r>
      <w:r w:rsidRPr="00E558AE">
        <w:rPr>
          <w:lang w:val="en-GB"/>
        </w:rPr>
        <w:t>of</w:t>
      </w:r>
      <w:r w:rsidRPr="00E558AE">
        <w:rPr>
          <w:spacing w:val="-4"/>
          <w:lang w:val="en-GB"/>
        </w:rPr>
        <w:t xml:space="preserve"> </w:t>
      </w:r>
      <w:r w:rsidRPr="00E558AE">
        <w:rPr>
          <w:lang w:val="en-GB"/>
        </w:rPr>
        <w:t>each</w:t>
      </w:r>
      <w:r w:rsidRPr="00E558AE">
        <w:rPr>
          <w:spacing w:val="-4"/>
          <w:lang w:val="en-GB"/>
        </w:rPr>
        <w:t xml:space="preserve"> </w:t>
      </w:r>
      <w:r w:rsidRPr="00E558AE">
        <w:rPr>
          <w:lang w:val="en-GB"/>
        </w:rPr>
        <w:t>sample</w:t>
      </w:r>
      <w:r w:rsidRPr="00E558AE">
        <w:rPr>
          <w:spacing w:val="-4"/>
          <w:lang w:val="en-GB"/>
        </w:rPr>
        <w:t xml:space="preserve"> </w:t>
      </w:r>
      <w:r w:rsidRPr="00E558AE">
        <w:rPr>
          <w:lang w:val="en-GB"/>
        </w:rPr>
        <w:t>to</w:t>
      </w:r>
      <w:r w:rsidRPr="00E558AE">
        <w:rPr>
          <w:spacing w:val="-4"/>
          <w:lang w:val="en-GB"/>
        </w:rPr>
        <w:t xml:space="preserve"> </w:t>
      </w:r>
      <w:r w:rsidRPr="00E558AE">
        <w:rPr>
          <w:lang w:val="en-GB"/>
        </w:rPr>
        <w:t>the</w:t>
      </w:r>
      <w:r w:rsidRPr="00E558AE">
        <w:rPr>
          <w:spacing w:val="-4"/>
          <w:lang w:val="en-GB"/>
        </w:rPr>
        <w:t xml:space="preserve"> </w:t>
      </w:r>
      <w:r w:rsidRPr="00E558AE">
        <w:rPr>
          <w:lang w:val="en-GB"/>
        </w:rPr>
        <w:t>healthy controls.</w:t>
      </w:r>
    </w:p>
    <w:p w14:paraId="38D7BA97" w14:textId="77777777" w:rsidR="00E23B6B" w:rsidRDefault="00E23B6B">
      <w:pPr>
        <w:rPr>
          <w:lang w:val="en-GB"/>
        </w:rPr>
      </w:pPr>
    </w:p>
    <w:p w14:paraId="65C02702" w14:textId="77777777" w:rsidR="00E23B6B" w:rsidRDefault="00E23B6B">
      <w:pPr>
        <w:rPr>
          <w:lang w:val="en-GB"/>
        </w:rPr>
      </w:pPr>
      <w:r>
        <w:rPr>
          <w:lang w:val="en-GB"/>
        </w:rPr>
        <w:br w:type="page"/>
      </w:r>
    </w:p>
    <w:p w14:paraId="66AD29F1" w14:textId="77777777" w:rsidR="00E23B6B" w:rsidRDefault="00E23B6B">
      <w:pPr>
        <w:rPr>
          <w:lang w:val="en-GB"/>
        </w:rPr>
      </w:pPr>
      <w:r>
        <w:rPr>
          <w:noProof/>
          <w:lang w:val="en-GB"/>
        </w:rPr>
        <w:lastRenderedPageBreak/>
        <w:drawing>
          <wp:inline distT="0" distB="0" distL="0" distR="0" wp14:anchorId="0FE8CD91" wp14:editId="66BC4A4A">
            <wp:extent cx="5486400" cy="5486400"/>
            <wp:effectExtent l="0" t="0" r="0" b="0"/>
            <wp:docPr id="15993874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387416" name="Picture 1599387416"/>
                    <pic:cNvPicPr/>
                  </pic:nvPicPr>
                  <pic:blipFill>
                    <a:blip r:embed="rId13">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14:paraId="36AC3C15" w14:textId="20563786" w:rsidR="00E23B6B" w:rsidRDefault="00E23B6B" w:rsidP="00E23B6B">
      <w:pPr>
        <w:pStyle w:val="NormalWeb"/>
        <w:spacing w:line="360" w:lineRule="auto"/>
        <w:rPr>
          <w:lang w:val="en-NL"/>
        </w:rPr>
      </w:pPr>
      <w:r>
        <w:rPr>
          <w:rFonts w:ascii="TimesNewRomanPS" w:hAnsi="TimesNewRomanPS"/>
          <w:b/>
          <w:bCs/>
        </w:rPr>
        <w:t xml:space="preserve">Figure </w:t>
      </w:r>
      <w:r>
        <w:rPr>
          <w:rFonts w:ascii="TimesNewRomanPS" w:hAnsi="TimesNewRomanPS"/>
          <w:b/>
          <w:bCs/>
        </w:rPr>
        <w:t>S3</w:t>
      </w:r>
      <w:r>
        <w:rPr>
          <w:rFonts w:ascii="TimesNewRomanPS" w:hAnsi="TimesNewRomanPS"/>
          <w:b/>
          <w:bCs/>
        </w:rPr>
        <w:t>. Longitudinal</w:t>
      </w:r>
      <w:r>
        <w:rPr>
          <w:rFonts w:ascii="TimesNewRomanPS" w:hAnsi="TimesNewRomanPS"/>
          <w:b/>
          <w:bCs/>
        </w:rPr>
        <w:t xml:space="preserve"> diversity </w:t>
      </w:r>
      <w:r>
        <w:rPr>
          <w:rFonts w:ascii="TimesNewRomanPS" w:hAnsi="TimesNewRomanPS"/>
          <w:b/>
          <w:bCs/>
        </w:rPr>
        <w:t xml:space="preserve">change of the gut microbiome after lung transplantation. </w:t>
      </w:r>
      <w:r>
        <w:rPr>
          <w:rFonts w:ascii="TimesNewRomanPSMT" w:hAnsi="TimesNewRomanPSMT"/>
        </w:rPr>
        <w:t xml:space="preserve">Smoothed conditional means plot displaying the longitudinal changes in Shannon diversity index of the gut microbiome in lung transplant recipients after transplantation (blue line) and in HC (green line). </w:t>
      </w:r>
    </w:p>
    <w:p w14:paraId="3378CF0D" w14:textId="4EA6E488" w:rsidR="003369B1" w:rsidRDefault="003369B1">
      <w:pPr>
        <w:rPr>
          <w:lang w:val="en-GB"/>
        </w:rPr>
      </w:pPr>
      <w:r>
        <w:rPr>
          <w:lang w:val="en-GB"/>
        </w:rPr>
        <w:br w:type="page"/>
      </w:r>
    </w:p>
    <w:p w14:paraId="7761FA0B" w14:textId="3E04ABEA" w:rsidR="00FF13F8" w:rsidRDefault="003369B1" w:rsidP="00FF13F8">
      <w:pPr>
        <w:spacing w:before="93" w:line="360" w:lineRule="auto"/>
        <w:ind w:left="100" w:right="574" w:hanging="10"/>
        <w:rPr>
          <w:lang w:val="en-GB"/>
        </w:rPr>
      </w:pPr>
      <w:r>
        <w:rPr>
          <w:b/>
          <w:noProof/>
          <w:lang w:val="en-GB"/>
        </w:rPr>
        <w:lastRenderedPageBreak/>
        <w:drawing>
          <wp:inline distT="0" distB="0" distL="0" distR="0" wp14:anchorId="5443FFCE" wp14:editId="2728E452">
            <wp:extent cx="5755640" cy="5464175"/>
            <wp:effectExtent l="0" t="0" r="0" b="0"/>
            <wp:docPr id="526484944" name="Picture 1" descr="A diagram of a diagram of a dn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484944" name="Picture 1" descr="A diagram of a diagram of a dna&#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5755640" cy="5464175"/>
                    </a:xfrm>
                    <a:prstGeom prst="rect">
                      <a:avLst/>
                    </a:prstGeom>
                  </pic:spPr>
                </pic:pic>
              </a:graphicData>
            </a:graphic>
          </wp:inline>
        </w:drawing>
      </w:r>
    </w:p>
    <w:p w14:paraId="62BB431F" w14:textId="3D8B000F" w:rsidR="00CB052B" w:rsidRPr="008614EE" w:rsidRDefault="003369B1" w:rsidP="008614EE">
      <w:pPr>
        <w:pStyle w:val="NoSpacing"/>
        <w:spacing w:line="360" w:lineRule="auto"/>
        <w:ind w:left="100" w:hanging="10"/>
        <w:rPr>
          <w:rFonts w:ascii="Times New Roman" w:hAnsi="Times New Roman" w:cs="Times New Roman"/>
          <w:sz w:val="24"/>
          <w:szCs w:val="24"/>
          <w:lang w:val="en-GB"/>
        </w:rPr>
      </w:pPr>
      <w:r w:rsidRPr="00B23F19">
        <w:rPr>
          <w:rFonts w:ascii="Times New Roman" w:hAnsi="Times New Roman" w:cs="Times New Roman"/>
          <w:b/>
          <w:sz w:val="24"/>
          <w:szCs w:val="24"/>
          <w:lang w:val="en-GB"/>
        </w:rPr>
        <w:t xml:space="preserve">Figure </w:t>
      </w:r>
      <w:r>
        <w:rPr>
          <w:rFonts w:ascii="Times New Roman" w:hAnsi="Times New Roman" w:cs="Times New Roman"/>
          <w:b/>
          <w:sz w:val="24"/>
          <w:szCs w:val="24"/>
          <w:lang w:val="en-GB"/>
        </w:rPr>
        <w:t>S</w:t>
      </w:r>
      <w:r w:rsidR="00E23B6B">
        <w:rPr>
          <w:rFonts w:ascii="Times New Roman" w:hAnsi="Times New Roman" w:cs="Times New Roman"/>
          <w:b/>
          <w:sz w:val="24"/>
          <w:szCs w:val="24"/>
          <w:lang w:val="en-GB"/>
        </w:rPr>
        <w:t>4</w:t>
      </w:r>
      <w:r w:rsidRPr="00B23F19">
        <w:rPr>
          <w:rFonts w:ascii="Times New Roman" w:hAnsi="Times New Roman" w:cs="Times New Roman"/>
          <w:b/>
          <w:sz w:val="24"/>
          <w:szCs w:val="24"/>
          <w:lang w:val="en-GB"/>
        </w:rPr>
        <w:t xml:space="preserve">. Gut microbial signatures related to end-stage lung diseases. </w:t>
      </w:r>
      <w:r w:rsidRPr="00B23F19">
        <w:rPr>
          <w:rFonts w:ascii="Times New Roman" w:hAnsi="Times New Roman" w:cs="Times New Roman"/>
          <w:sz w:val="24"/>
          <w:szCs w:val="24"/>
          <w:lang w:val="en-GB"/>
        </w:rPr>
        <w:t>(</w:t>
      </w:r>
      <w:r>
        <w:rPr>
          <w:rFonts w:ascii="Times New Roman" w:hAnsi="Times New Roman" w:cs="Times New Roman"/>
          <w:b/>
          <w:sz w:val="24"/>
          <w:szCs w:val="24"/>
          <w:lang w:val="en-GB"/>
        </w:rPr>
        <w:t>a</w:t>
      </w:r>
      <w:r w:rsidRPr="00B23F19">
        <w:rPr>
          <w:rFonts w:ascii="Times New Roman" w:hAnsi="Times New Roman" w:cs="Times New Roman"/>
          <w:sz w:val="24"/>
          <w:szCs w:val="24"/>
          <w:lang w:val="en-GB"/>
        </w:rPr>
        <w:t>) Violin plots depict the Shannon diversity index of patients with different end-stage diseases (indicated by ESLD followed by the specific disease), lung transplant recipients treated for different end-stage lung diseases (indicated by LTR followed by the specific disease) and healthy controls (HC). (</w:t>
      </w:r>
      <w:r>
        <w:rPr>
          <w:rFonts w:ascii="Times New Roman" w:hAnsi="Times New Roman" w:cs="Times New Roman"/>
          <w:b/>
          <w:sz w:val="24"/>
          <w:szCs w:val="24"/>
          <w:lang w:val="en-GB"/>
        </w:rPr>
        <w:t>b</w:t>
      </w:r>
      <w:r w:rsidRPr="00B23F19">
        <w:rPr>
          <w:rFonts w:ascii="Times New Roman" w:hAnsi="Times New Roman" w:cs="Times New Roman"/>
          <w:sz w:val="24"/>
          <w:szCs w:val="24"/>
          <w:lang w:val="en-GB"/>
        </w:rPr>
        <w:t xml:space="preserve">) PCA scatter plot with samples as dots: healthy controls in grey, COPD patients in red, IPF patients in orange and PAH patients in green. Blue, </w:t>
      </w:r>
      <w:proofErr w:type="gramStart"/>
      <w:r w:rsidRPr="00B23F19">
        <w:rPr>
          <w:rFonts w:ascii="Times New Roman" w:hAnsi="Times New Roman" w:cs="Times New Roman"/>
          <w:sz w:val="24"/>
          <w:szCs w:val="24"/>
          <w:lang w:val="en-GB"/>
        </w:rPr>
        <w:t>purple</w:t>
      </w:r>
      <w:proofErr w:type="gramEnd"/>
      <w:r w:rsidRPr="00B23F19">
        <w:rPr>
          <w:rFonts w:ascii="Times New Roman" w:hAnsi="Times New Roman" w:cs="Times New Roman"/>
          <w:sz w:val="24"/>
          <w:szCs w:val="24"/>
          <w:lang w:val="en-GB"/>
        </w:rPr>
        <w:t xml:space="preserve"> and yellow dots represent samples from LTR treated for COPD, IPF and PAH, respectively. The seven larger circles represent the centroid of each group. The distance is the Aitchison distance, and samples closer to each other have more similar gut microbial community compositions. (</w:t>
      </w:r>
      <w:r>
        <w:rPr>
          <w:rFonts w:ascii="Times New Roman" w:hAnsi="Times New Roman" w:cs="Times New Roman"/>
          <w:b/>
          <w:sz w:val="24"/>
          <w:szCs w:val="24"/>
          <w:lang w:val="en-GB"/>
        </w:rPr>
        <w:t>c</w:t>
      </w:r>
      <w:r w:rsidRPr="00B23F19">
        <w:rPr>
          <w:rFonts w:ascii="Times New Roman" w:hAnsi="Times New Roman" w:cs="Times New Roman"/>
          <w:sz w:val="24"/>
          <w:szCs w:val="24"/>
          <w:lang w:val="en-GB"/>
        </w:rPr>
        <w:t>) Heatmap shows the Log-fold changes (</w:t>
      </w:r>
      <w:proofErr w:type="gramStart"/>
      <w:r w:rsidRPr="00B23F19">
        <w:rPr>
          <w:rFonts w:ascii="Times New Roman" w:hAnsi="Times New Roman" w:cs="Times New Roman"/>
          <w:sz w:val="24"/>
          <w:szCs w:val="24"/>
          <w:lang w:val="en-GB"/>
        </w:rPr>
        <w:t>i.e.</w:t>
      </w:r>
      <w:proofErr w:type="gramEnd"/>
      <w:r w:rsidRPr="00B23F19">
        <w:rPr>
          <w:rFonts w:ascii="Times New Roman" w:hAnsi="Times New Roman" w:cs="Times New Roman"/>
          <w:sz w:val="24"/>
          <w:szCs w:val="24"/>
          <w:lang w:val="en-GB"/>
        </w:rPr>
        <w:t xml:space="preserve"> effect sizes) of differentially abundant microbial species in patients with COPD or LTR treated for COPD, IPF and PAH compared with HC. Cells in red/purple indicate positive/negative Log-fold changes (</w:t>
      </w:r>
      <w:proofErr w:type="gramStart"/>
      <w:r w:rsidRPr="00B23F19">
        <w:rPr>
          <w:rFonts w:ascii="Times New Roman" w:hAnsi="Times New Roman" w:cs="Times New Roman"/>
          <w:sz w:val="24"/>
          <w:szCs w:val="24"/>
          <w:lang w:val="en-GB"/>
        </w:rPr>
        <w:t>i.e.</w:t>
      </w:r>
      <w:proofErr w:type="gramEnd"/>
      <w:r w:rsidRPr="00B23F19">
        <w:rPr>
          <w:rFonts w:ascii="Times New Roman" w:hAnsi="Times New Roman" w:cs="Times New Roman"/>
          <w:sz w:val="24"/>
          <w:szCs w:val="24"/>
          <w:lang w:val="en-GB"/>
        </w:rPr>
        <w:t xml:space="preserve"> effect sizes), which means the focal species showed higher/lower relative abundance in patients with specific end-stage </w:t>
      </w:r>
      <w:r w:rsidRPr="00B23F19">
        <w:rPr>
          <w:rFonts w:ascii="Times New Roman" w:hAnsi="Times New Roman" w:cs="Times New Roman"/>
          <w:sz w:val="24"/>
          <w:szCs w:val="24"/>
          <w:lang w:val="en-GB"/>
        </w:rPr>
        <w:lastRenderedPageBreak/>
        <w:t>disease or LTR treated for specific end-stage disease compared with HC. Cells in grey indicate that the focal species showed no significant difference in the corresponding comparison.</w:t>
      </w:r>
      <w:r w:rsidR="00CB052B" w:rsidRPr="00E558AE">
        <w:rPr>
          <w:b/>
          <w:lang w:val="en-GB"/>
        </w:rPr>
        <w:br w:type="page"/>
      </w:r>
    </w:p>
    <w:p w14:paraId="7BCFF211" w14:textId="446FD628" w:rsidR="00CB052B" w:rsidRPr="00E558AE" w:rsidRDefault="00CB052B" w:rsidP="00CB052B">
      <w:pPr>
        <w:jc w:val="center"/>
        <w:rPr>
          <w:b/>
          <w:lang w:val="en-GB"/>
        </w:rPr>
      </w:pPr>
    </w:p>
    <w:p w14:paraId="711B789B" w14:textId="64408765" w:rsidR="00CB052B" w:rsidRPr="00E558AE" w:rsidRDefault="009E3BB4" w:rsidP="00CB052B">
      <w:pPr>
        <w:spacing w:before="93" w:line="360" w:lineRule="auto"/>
        <w:ind w:left="100" w:right="566" w:hanging="10"/>
        <w:rPr>
          <w:lang w:val="en-GB"/>
        </w:rPr>
      </w:pPr>
      <w:r w:rsidRPr="00E558AE">
        <w:rPr>
          <w:noProof/>
          <w:lang w:val="en-GB"/>
        </w:rPr>
        <w:drawing>
          <wp:inline distT="0" distB="0" distL="0" distR="0" wp14:anchorId="1A972C53" wp14:editId="45263EFB">
            <wp:extent cx="5755640" cy="3017520"/>
            <wp:effectExtent l="0" t="0" r="0" b="5080"/>
            <wp:docPr id="19262642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64296" name="Picture 1926264296"/>
                    <pic:cNvPicPr/>
                  </pic:nvPicPr>
                  <pic:blipFill>
                    <a:blip r:embed="rId15">
                      <a:extLst>
                        <a:ext uri="{28A0092B-C50C-407E-A947-70E740481C1C}">
                          <a14:useLocalDpi xmlns:a14="http://schemas.microsoft.com/office/drawing/2010/main" val="0"/>
                        </a:ext>
                      </a:extLst>
                    </a:blip>
                    <a:stretch>
                      <a:fillRect/>
                    </a:stretch>
                  </pic:blipFill>
                  <pic:spPr>
                    <a:xfrm>
                      <a:off x="0" y="0"/>
                      <a:ext cx="5755640" cy="3017520"/>
                    </a:xfrm>
                    <a:prstGeom prst="rect">
                      <a:avLst/>
                    </a:prstGeom>
                  </pic:spPr>
                </pic:pic>
              </a:graphicData>
            </a:graphic>
          </wp:inline>
        </w:drawing>
      </w:r>
    </w:p>
    <w:p w14:paraId="6C76D70E" w14:textId="202200E7" w:rsidR="009E3BB4" w:rsidRPr="00E558AE" w:rsidRDefault="009E3BB4" w:rsidP="009E3BB4">
      <w:pPr>
        <w:spacing w:before="93" w:line="350" w:lineRule="auto"/>
        <w:ind w:left="100" w:right="596" w:hanging="10"/>
        <w:rPr>
          <w:lang w:val="en-GB"/>
        </w:rPr>
      </w:pPr>
      <w:r w:rsidRPr="00E558AE">
        <w:rPr>
          <w:b/>
          <w:lang w:val="en-GB"/>
        </w:rPr>
        <w:t>Figure S</w:t>
      </w:r>
      <w:r w:rsidR="00E23B6B">
        <w:rPr>
          <w:b/>
          <w:lang w:val="en-GB"/>
        </w:rPr>
        <w:t>5</w:t>
      </w:r>
      <w:r w:rsidRPr="00E558AE">
        <w:rPr>
          <w:b/>
          <w:lang w:val="en-GB"/>
        </w:rPr>
        <w:t xml:space="preserve">. Shannon diversity index and two principal components of gut microbiome in LTR for different CLAD stages and healthy controls. </w:t>
      </w:r>
      <w:r w:rsidRPr="00E558AE">
        <w:rPr>
          <w:lang w:val="en-GB"/>
        </w:rPr>
        <w:t>(</w:t>
      </w:r>
      <w:r w:rsidRPr="00E558AE">
        <w:rPr>
          <w:b/>
          <w:lang w:val="en-GB"/>
        </w:rPr>
        <w:t>a</w:t>
      </w:r>
      <w:r w:rsidRPr="00E558AE">
        <w:rPr>
          <w:lang w:val="en-GB"/>
        </w:rPr>
        <w:t>) There was no significant difference in Shannon diversity among LTR with different CLAD stages (Mann-Whitney U, P</w:t>
      </w:r>
      <w:r w:rsidRPr="00E558AE">
        <w:rPr>
          <w:position w:val="-3"/>
          <w:sz w:val="13"/>
          <w:lang w:val="en-GB"/>
        </w:rPr>
        <w:t>CLAD0 vs. CLAD1</w:t>
      </w:r>
      <w:r w:rsidRPr="00E558AE">
        <w:rPr>
          <w:lang w:val="en-GB"/>
        </w:rPr>
        <w:t>=0.34, U=1820; P</w:t>
      </w:r>
      <w:r w:rsidRPr="00E558AE">
        <w:rPr>
          <w:position w:val="-3"/>
          <w:sz w:val="13"/>
          <w:lang w:val="en-GB"/>
        </w:rPr>
        <w:t>CLAD0 vs. CLAD2-4</w:t>
      </w:r>
      <w:r w:rsidRPr="00E558AE">
        <w:rPr>
          <w:lang w:val="en-GB"/>
        </w:rPr>
        <w:t>=0.25, U=1436; P</w:t>
      </w:r>
      <w:r w:rsidRPr="00E558AE">
        <w:rPr>
          <w:position w:val="-3"/>
          <w:sz w:val="13"/>
          <w:lang w:val="en-GB"/>
        </w:rPr>
        <w:t>CLAD1 vs. CLAD2-4</w:t>
      </w:r>
      <w:r w:rsidRPr="00E558AE">
        <w:rPr>
          <w:lang w:val="en-GB"/>
        </w:rPr>
        <w:t>=0.091, U=502). (</w:t>
      </w:r>
      <w:r w:rsidRPr="00E558AE">
        <w:rPr>
          <w:b/>
          <w:lang w:val="en-GB"/>
        </w:rPr>
        <w:t>b</w:t>
      </w:r>
      <w:r w:rsidRPr="00E558AE">
        <w:rPr>
          <w:lang w:val="en-GB"/>
        </w:rPr>
        <w:t>) The gut microbial composition of recipients with CLAD0 stage was significantly different from those at with CLAD1 stage (PERMANOVA: P</w:t>
      </w:r>
      <w:r w:rsidRPr="00E558AE">
        <w:rPr>
          <w:position w:val="-3"/>
          <w:sz w:val="13"/>
          <w:lang w:val="en-GB"/>
        </w:rPr>
        <w:t>CLAD0 vs. CLAD1</w:t>
      </w:r>
      <w:r w:rsidRPr="00E558AE">
        <w:rPr>
          <w:lang w:val="en-GB"/>
        </w:rPr>
        <w:t>=0.030), while the differences of gut microbial β-diversity in other two comparisons were not significant (PERMANOVA: P</w:t>
      </w:r>
      <w:r w:rsidRPr="00E558AE">
        <w:rPr>
          <w:position w:val="-3"/>
          <w:sz w:val="13"/>
          <w:lang w:val="en-GB"/>
        </w:rPr>
        <w:t>CLAD0 vs. CLAD2-4</w:t>
      </w:r>
      <w:r w:rsidRPr="00E558AE">
        <w:rPr>
          <w:lang w:val="en-GB"/>
        </w:rPr>
        <w:t>=0.339; P</w:t>
      </w:r>
      <w:r w:rsidRPr="00E558AE">
        <w:rPr>
          <w:position w:val="-3"/>
          <w:sz w:val="13"/>
          <w:lang w:val="en-GB"/>
        </w:rPr>
        <w:t>CLAD1 vs. CLAD2-4</w:t>
      </w:r>
      <w:r w:rsidRPr="00E558AE">
        <w:rPr>
          <w:lang w:val="en-GB"/>
        </w:rPr>
        <w:t>=0.127).</w:t>
      </w:r>
    </w:p>
    <w:p w14:paraId="5833DB7C" w14:textId="1BF0BF74" w:rsidR="00FF13F8" w:rsidRPr="00E558AE" w:rsidRDefault="00FF13F8" w:rsidP="00FF13F8">
      <w:pPr>
        <w:rPr>
          <w:lang w:val="en-GB"/>
        </w:rPr>
      </w:pPr>
    </w:p>
    <w:sectPr w:rsidR="00FF13F8" w:rsidRPr="00E558AE" w:rsidSect="00266BCF">
      <w:pgSz w:w="11900" w:h="16840"/>
      <w:pgMar w:top="1361" w:right="1418" w:bottom="136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E5D29"/>
    <w:multiLevelType w:val="multilevel"/>
    <w:tmpl w:val="6B3E87B0"/>
    <w:lvl w:ilvl="0">
      <w:start w:val="1"/>
      <w:numFmt w:val="decimal"/>
      <w:lvlText w:val="(%1)"/>
      <w:lvlJc w:val="left"/>
      <w:pPr>
        <w:ind w:left="502" w:hanging="360"/>
      </w:pPr>
      <w:rPr>
        <w:b/>
        <w:bCs/>
        <w:u w:val="none"/>
      </w:rPr>
    </w:lvl>
    <w:lvl w:ilvl="1">
      <w:start w:val="1"/>
      <w:numFmt w:val="lowerLetter"/>
      <w:lvlText w:val="(%2)"/>
      <w:lvlJc w:val="left"/>
      <w:pPr>
        <w:ind w:left="1222" w:hanging="360"/>
      </w:pPr>
      <w:rPr>
        <w:u w:val="none"/>
      </w:rPr>
    </w:lvl>
    <w:lvl w:ilvl="2">
      <w:start w:val="1"/>
      <w:numFmt w:val="lowerRoman"/>
      <w:lvlText w:val="(%3)"/>
      <w:lvlJc w:val="right"/>
      <w:pPr>
        <w:ind w:left="1942" w:hanging="360"/>
      </w:pPr>
      <w:rPr>
        <w:u w:val="none"/>
      </w:rPr>
    </w:lvl>
    <w:lvl w:ilvl="3">
      <w:start w:val="1"/>
      <w:numFmt w:val="decimal"/>
      <w:lvlText w:val="%4)"/>
      <w:lvlJc w:val="left"/>
      <w:pPr>
        <w:ind w:left="2662" w:hanging="360"/>
      </w:pPr>
      <w:rPr>
        <w:u w:val="none"/>
      </w:rPr>
    </w:lvl>
    <w:lvl w:ilvl="4">
      <w:start w:val="1"/>
      <w:numFmt w:val="lowerLetter"/>
      <w:lvlText w:val="%5)"/>
      <w:lvlJc w:val="left"/>
      <w:pPr>
        <w:ind w:left="3382" w:hanging="360"/>
      </w:pPr>
      <w:rPr>
        <w:u w:val="none"/>
      </w:rPr>
    </w:lvl>
    <w:lvl w:ilvl="5">
      <w:start w:val="1"/>
      <w:numFmt w:val="lowerRoman"/>
      <w:lvlText w:val="%6)"/>
      <w:lvlJc w:val="right"/>
      <w:pPr>
        <w:ind w:left="4102" w:hanging="360"/>
      </w:pPr>
      <w:rPr>
        <w:u w:val="none"/>
      </w:rPr>
    </w:lvl>
    <w:lvl w:ilvl="6">
      <w:start w:val="1"/>
      <w:numFmt w:val="decimal"/>
      <w:lvlText w:val="%7."/>
      <w:lvlJc w:val="left"/>
      <w:pPr>
        <w:ind w:left="4822" w:hanging="360"/>
      </w:pPr>
      <w:rPr>
        <w:u w:val="none"/>
      </w:rPr>
    </w:lvl>
    <w:lvl w:ilvl="7">
      <w:start w:val="1"/>
      <w:numFmt w:val="lowerLetter"/>
      <w:lvlText w:val="%8."/>
      <w:lvlJc w:val="left"/>
      <w:pPr>
        <w:ind w:left="5542" w:hanging="360"/>
      </w:pPr>
      <w:rPr>
        <w:u w:val="none"/>
      </w:rPr>
    </w:lvl>
    <w:lvl w:ilvl="8">
      <w:start w:val="1"/>
      <w:numFmt w:val="lowerRoman"/>
      <w:lvlText w:val="%9."/>
      <w:lvlJc w:val="right"/>
      <w:pPr>
        <w:ind w:left="6262" w:hanging="360"/>
      </w:pPr>
      <w:rPr>
        <w:u w:val="none"/>
      </w:rPr>
    </w:lvl>
  </w:abstractNum>
  <w:abstractNum w:abstractNumId="1" w15:restartNumberingAfterBreak="0">
    <w:nsid w:val="1C13315A"/>
    <w:multiLevelType w:val="multilevel"/>
    <w:tmpl w:val="EA28BF14"/>
    <w:lvl w:ilvl="0">
      <w:start w:val="1"/>
      <w:numFmt w:val="decimal"/>
      <w:lvlText w:val="%1."/>
      <w:lvlJc w:val="left"/>
      <w:pPr>
        <w:ind w:left="360" w:hanging="360"/>
      </w:pPr>
      <w:rPr>
        <w:rFonts w:ascii="Arial" w:eastAsia="Arial" w:hAnsi="Arial" w:cs="Arial"/>
        <w:sz w:val="19"/>
        <w:szCs w:val="19"/>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 w15:restartNumberingAfterBreak="0">
    <w:nsid w:val="4F06619A"/>
    <w:multiLevelType w:val="hybridMultilevel"/>
    <w:tmpl w:val="4D88D110"/>
    <w:lvl w:ilvl="0" w:tplc="171857DE">
      <w:start w:val="3"/>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9C40A3"/>
    <w:multiLevelType w:val="multilevel"/>
    <w:tmpl w:val="0A9678E0"/>
    <w:lvl w:ilvl="0">
      <w:start w:val="1"/>
      <w:numFmt w:val="decimal"/>
      <w:lvlText w:val="%1."/>
      <w:lvlJc w:val="left"/>
      <w:pPr>
        <w:ind w:left="720" w:hanging="360"/>
      </w:pPr>
      <w:rPr>
        <w:sz w:val="15"/>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454787614">
    <w:abstractNumId w:val="3"/>
  </w:num>
  <w:num w:numId="2" w16cid:durableId="1609511163">
    <w:abstractNumId w:val="2"/>
  </w:num>
  <w:num w:numId="3" w16cid:durableId="1259217266">
    <w:abstractNumId w:val="1"/>
  </w:num>
  <w:num w:numId="4" w16cid:durableId="718013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33E"/>
    <w:rsid w:val="00060EDE"/>
    <w:rsid w:val="00077443"/>
    <w:rsid w:val="000954EC"/>
    <w:rsid w:val="000A252D"/>
    <w:rsid w:val="000B68E2"/>
    <w:rsid w:val="000D05C5"/>
    <w:rsid w:val="000D5EF3"/>
    <w:rsid w:val="001022A4"/>
    <w:rsid w:val="001127A1"/>
    <w:rsid w:val="00117664"/>
    <w:rsid w:val="001201B6"/>
    <w:rsid w:val="0013507D"/>
    <w:rsid w:val="001374D5"/>
    <w:rsid w:val="001406AE"/>
    <w:rsid w:val="001518A5"/>
    <w:rsid w:val="00152770"/>
    <w:rsid w:val="0016000D"/>
    <w:rsid w:val="00165B01"/>
    <w:rsid w:val="0019256B"/>
    <w:rsid w:val="00194719"/>
    <w:rsid w:val="00195B52"/>
    <w:rsid w:val="001A1AF9"/>
    <w:rsid w:val="001A5FB3"/>
    <w:rsid w:val="001B323C"/>
    <w:rsid w:val="001D3C15"/>
    <w:rsid w:val="001F5807"/>
    <w:rsid w:val="0022400F"/>
    <w:rsid w:val="00244765"/>
    <w:rsid w:val="00266BCF"/>
    <w:rsid w:val="0028006D"/>
    <w:rsid w:val="00294F4F"/>
    <w:rsid w:val="002C2E70"/>
    <w:rsid w:val="002D42EB"/>
    <w:rsid w:val="002E160A"/>
    <w:rsid w:val="002E5433"/>
    <w:rsid w:val="00331B39"/>
    <w:rsid w:val="003369B1"/>
    <w:rsid w:val="00351AC9"/>
    <w:rsid w:val="0036071F"/>
    <w:rsid w:val="0036214D"/>
    <w:rsid w:val="0039281B"/>
    <w:rsid w:val="003C0E17"/>
    <w:rsid w:val="003E335C"/>
    <w:rsid w:val="003E5DC2"/>
    <w:rsid w:val="003F0AB8"/>
    <w:rsid w:val="003F28F1"/>
    <w:rsid w:val="00444F8A"/>
    <w:rsid w:val="004675CC"/>
    <w:rsid w:val="0047371D"/>
    <w:rsid w:val="00475944"/>
    <w:rsid w:val="004C4DA8"/>
    <w:rsid w:val="004C77ED"/>
    <w:rsid w:val="004D2504"/>
    <w:rsid w:val="004D6815"/>
    <w:rsid w:val="004E607C"/>
    <w:rsid w:val="00517AD3"/>
    <w:rsid w:val="00536090"/>
    <w:rsid w:val="00536495"/>
    <w:rsid w:val="005455D3"/>
    <w:rsid w:val="0055296B"/>
    <w:rsid w:val="00576ABA"/>
    <w:rsid w:val="005850DC"/>
    <w:rsid w:val="005B43D3"/>
    <w:rsid w:val="005C5CC0"/>
    <w:rsid w:val="005C64F9"/>
    <w:rsid w:val="005C708D"/>
    <w:rsid w:val="005E3787"/>
    <w:rsid w:val="006243EB"/>
    <w:rsid w:val="006325BA"/>
    <w:rsid w:val="00657241"/>
    <w:rsid w:val="00674215"/>
    <w:rsid w:val="00691095"/>
    <w:rsid w:val="006B231C"/>
    <w:rsid w:val="006E70C3"/>
    <w:rsid w:val="006E794B"/>
    <w:rsid w:val="007170BE"/>
    <w:rsid w:val="00726203"/>
    <w:rsid w:val="00745A6B"/>
    <w:rsid w:val="00763DF5"/>
    <w:rsid w:val="007B12A2"/>
    <w:rsid w:val="007C154B"/>
    <w:rsid w:val="007F3CB1"/>
    <w:rsid w:val="008071A0"/>
    <w:rsid w:val="008552DB"/>
    <w:rsid w:val="008614EE"/>
    <w:rsid w:val="00864EFC"/>
    <w:rsid w:val="008B6551"/>
    <w:rsid w:val="00907AA4"/>
    <w:rsid w:val="00910312"/>
    <w:rsid w:val="00921407"/>
    <w:rsid w:val="00926201"/>
    <w:rsid w:val="00947FEF"/>
    <w:rsid w:val="009812D7"/>
    <w:rsid w:val="00984243"/>
    <w:rsid w:val="00987B81"/>
    <w:rsid w:val="009931FB"/>
    <w:rsid w:val="00994278"/>
    <w:rsid w:val="009B0BB9"/>
    <w:rsid w:val="009C2976"/>
    <w:rsid w:val="009D4E5F"/>
    <w:rsid w:val="009E3BB4"/>
    <w:rsid w:val="00A30873"/>
    <w:rsid w:val="00A3593B"/>
    <w:rsid w:val="00A37BF3"/>
    <w:rsid w:val="00A41E18"/>
    <w:rsid w:val="00A66CAE"/>
    <w:rsid w:val="00A72F21"/>
    <w:rsid w:val="00A80696"/>
    <w:rsid w:val="00A84C9F"/>
    <w:rsid w:val="00A86C3F"/>
    <w:rsid w:val="00AA0846"/>
    <w:rsid w:val="00AA633E"/>
    <w:rsid w:val="00AF30CA"/>
    <w:rsid w:val="00AF5A19"/>
    <w:rsid w:val="00B018B7"/>
    <w:rsid w:val="00B1627C"/>
    <w:rsid w:val="00B20056"/>
    <w:rsid w:val="00B23F19"/>
    <w:rsid w:val="00B350BA"/>
    <w:rsid w:val="00B54ACC"/>
    <w:rsid w:val="00B550C4"/>
    <w:rsid w:val="00B6614B"/>
    <w:rsid w:val="00C001A1"/>
    <w:rsid w:val="00C50BC3"/>
    <w:rsid w:val="00C65637"/>
    <w:rsid w:val="00C726AB"/>
    <w:rsid w:val="00C77EC7"/>
    <w:rsid w:val="00C83760"/>
    <w:rsid w:val="00C94333"/>
    <w:rsid w:val="00CB052B"/>
    <w:rsid w:val="00CD2616"/>
    <w:rsid w:val="00CE15A3"/>
    <w:rsid w:val="00D0028A"/>
    <w:rsid w:val="00D14D50"/>
    <w:rsid w:val="00D51F8F"/>
    <w:rsid w:val="00D8770A"/>
    <w:rsid w:val="00DB776A"/>
    <w:rsid w:val="00E023E9"/>
    <w:rsid w:val="00E1423C"/>
    <w:rsid w:val="00E148C2"/>
    <w:rsid w:val="00E23B6B"/>
    <w:rsid w:val="00E25379"/>
    <w:rsid w:val="00E354CC"/>
    <w:rsid w:val="00E51A97"/>
    <w:rsid w:val="00E5255C"/>
    <w:rsid w:val="00E558AE"/>
    <w:rsid w:val="00E75516"/>
    <w:rsid w:val="00E96963"/>
    <w:rsid w:val="00EB3A2B"/>
    <w:rsid w:val="00EF473E"/>
    <w:rsid w:val="00EF4EE8"/>
    <w:rsid w:val="00F036DA"/>
    <w:rsid w:val="00F1284F"/>
    <w:rsid w:val="00F13F7D"/>
    <w:rsid w:val="00F471EF"/>
    <w:rsid w:val="00F56354"/>
    <w:rsid w:val="00F84E17"/>
    <w:rsid w:val="00FB390E"/>
    <w:rsid w:val="00FE16B1"/>
    <w:rsid w:val="00FF13F8"/>
    <w:rsid w:val="00FF77A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582B3"/>
  <w14:defaultImageDpi w14:val="32767"/>
  <w15:chartTrackingRefBased/>
  <w15:docId w15:val="{D3974BF7-1A68-2341-A0AE-140F2CD95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57241"/>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A633E"/>
    <w:rPr>
      <w:sz w:val="16"/>
      <w:szCs w:val="16"/>
    </w:rPr>
  </w:style>
  <w:style w:type="paragraph" w:styleId="CommentText">
    <w:name w:val="annotation text"/>
    <w:basedOn w:val="Normal"/>
    <w:link w:val="CommentTextChar"/>
    <w:uiPriority w:val="99"/>
    <w:unhideWhenUsed/>
    <w:rsid w:val="00AA633E"/>
    <w:rPr>
      <w:sz w:val="20"/>
      <w:szCs w:val="20"/>
    </w:rPr>
  </w:style>
  <w:style w:type="character" w:customStyle="1" w:styleId="CommentTextChar">
    <w:name w:val="Comment Text Char"/>
    <w:basedOn w:val="DefaultParagraphFont"/>
    <w:link w:val="CommentText"/>
    <w:uiPriority w:val="99"/>
    <w:rsid w:val="00AA633E"/>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AA633E"/>
    <w:rPr>
      <w:sz w:val="18"/>
      <w:szCs w:val="18"/>
    </w:rPr>
  </w:style>
  <w:style w:type="character" w:customStyle="1" w:styleId="BalloonTextChar">
    <w:name w:val="Balloon Text Char"/>
    <w:basedOn w:val="DefaultParagraphFont"/>
    <w:link w:val="BalloonText"/>
    <w:uiPriority w:val="99"/>
    <w:semiHidden/>
    <w:rsid w:val="00AA633E"/>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AA633E"/>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AA633E"/>
    <w:rPr>
      <w:rFonts w:ascii="Times New Roman" w:eastAsia="Times New Roman" w:hAnsi="Times New Roman" w:cs="Times New Roman"/>
      <w:b/>
      <w:bCs/>
      <w:sz w:val="20"/>
      <w:szCs w:val="20"/>
      <w:lang w:val="en-US"/>
    </w:rPr>
  </w:style>
  <w:style w:type="paragraph" w:styleId="NormalWeb">
    <w:name w:val="Normal (Web)"/>
    <w:basedOn w:val="Normal"/>
    <w:uiPriority w:val="99"/>
    <w:unhideWhenUsed/>
    <w:rsid w:val="0016000D"/>
    <w:pPr>
      <w:spacing w:before="100" w:beforeAutospacing="1" w:after="100" w:afterAutospacing="1"/>
    </w:pPr>
  </w:style>
  <w:style w:type="paragraph" w:styleId="ListParagraph">
    <w:name w:val="List Paragraph"/>
    <w:basedOn w:val="Normal"/>
    <w:uiPriority w:val="34"/>
    <w:qFormat/>
    <w:rsid w:val="0016000D"/>
    <w:pPr>
      <w:ind w:left="720"/>
      <w:contextualSpacing/>
    </w:pPr>
  </w:style>
  <w:style w:type="character" w:styleId="Emphasis">
    <w:name w:val="Emphasis"/>
    <w:basedOn w:val="DefaultParagraphFont"/>
    <w:uiPriority w:val="20"/>
    <w:qFormat/>
    <w:rsid w:val="008B6551"/>
    <w:rPr>
      <w:i/>
      <w:iCs/>
    </w:rPr>
  </w:style>
  <w:style w:type="character" w:customStyle="1" w:styleId="markedcontent">
    <w:name w:val="markedcontent"/>
    <w:basedOn w:val="DefaultParagraphFont"/>
    <w:rsid w:val="005C64F9"/>
  </w:style>
  <w:style w:type="paragraph" w:styleId="Revision">
    <w:name w:val="Revision"/>
    <w:hidden/>
    <w:uiPriority w:val="99"/>
    <w:semiHidden/>
    <w:rsid w:val="001A1AF9"/>
    <w:rPr>
      <w:rFonts w:ascii="Times New Roman" w:eastAsia="Times New Roman" w:hAnsi="Times New Roman" w:cs="Times New Roman"/>
      <w:lang w:val="en-US"/>
    </w:rPr>
  </w:style>
  <w:style w:type="paragraph" w:styleId="NoSpacing">
    <w:name w:val="No Spacing"/>
    <w:uiPriority w:val="1"/>
    <w:qFormat/>
    <w:rsid w:val="00B23F19"/>
    <w:pPr>
      <w:widowControl w:val="0"/>
      <w:autoSpaceDE w:val="0"/>
      <w:autoSpaceDN w:val="0"/>
    </w:pPr>
    <w:rPr>
      <w:rFonts w:ascii="Arial" w:eastAsia="Arial" w:hAnsi="Arial" w:cs="Arial"/>
      <w:sz w:val="22"/>
      <w:szCs w:val="22"/>
      <w:lang w:val="en-US"/>
    </w:rPr>
  </w:style>
  <w:style w:type="paragraph" w:styleId="BodyText">
    <w:name w:val="Body Text"/>
    <w:basedOn w:val="Normal"/>
    <w:link w:val="BodyTextChar"/>
    <w:uiPriority w:val="1"/>
    <w:qFormat/>
    <w:rsid w:val="00B23F19"/>
    <w:pPr>
      <w:widowControl w:val="0"/>
      <w:autoSpaceDE w:val="0"/>
      <w:autoSpaceDN w:val="0"/>
    </w:pPr>
    <w:rPr>
      <w:rFonts w:ascii="Arial" w:eastAsia="Arial" w:hAnsi="Arial" w:cs="Arial"/>
      <w:sz w:val="22"/>
      <w:szCs w:val="22"/>
    </w:rPr>
  </w:style>
  <w:style w:type="character" w:customStyle="1" w:styleId="BodyTextChar">
    <w:name w:val="Body Text Char"/>
    <w:basedOn w:val="DefaultParagraphFont"/>
    <w:link w:val="BodyText"/>
    <w:uiPriority w:val="1"/>
    <w:rsid w:val="00B23F19"/>
    <w:rPr>
      <w:rFonts w:ascii="Arial" w:eastAsia="Arial" w:hAnsi="Arial" w:cs="Arial"/>
      <w:sz w:val="22"/>
      <w:szCs w:val="22"/>
      <w:lang w:val="en-US"/>
    </w:rPr>
  </w:style>
  <w:style w:type="character" w:styleId="Hyperlink">
    <w:name w:val="Hyperlink"/>
    <w:basedOn w:val="DefaultParagraphFont"/>
    <w:uiPriority w:val="99"/>
    <w:unhideWhenUsed/>
    <w:rsid w:val="00E354CC"/>
    <w:rPr>
      <w:color w:val="0000FF"/>
      <w:u w:val="single"/>
    </w:rPr>
  </w:style>
  <w:style w:type="character" w:customStyle="1" w:styleId="apple-tab-span">
    <w:name w:val="apple-tab-span"/>
    <w:basedOn w:val="DefaultParagraphFont"/>
    <w:rsid w:val="00E558AE"/>
  </w:style>
  <w:style w:type="paragraph" w:styleId="Bibliography">
    <w:name w:val="Bibliography"/>
    <w:basedOn w:val="Normal"/>
    <w:next w:val="Normal"/>
    <w:uiPriority w:val="37"/>
    <w:unhideWhenUsed/>
    <w:rsid w:val="00726203"/>
    <w:pPr>
      <w:tabs>
        <w:tab w:val="left" w:pos="500"/>
      </w:tabs>
      <w:spacing w:after="240"/>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97045">
      <w:bodyDiv w:val="1"/>
      <w:marLeft w:val="0"/>
      <w:marRight w:val="0"/>
      <w:marTop w:val="0"/>
      <w:marBottom w:val="0"/>
      <w:divBdr>
        <w:top w:val="none" w:sz="0" w:space="0" w:color="auto"/>
        <w:left w:val="none" w:sz="0" w:space="0" w:color="auto"/>
        <w:bottom w:val="none" w:sz="0" w:space="0" w:color="auto"/>
        <w:right w:val="none" w:sz="0" w:space="0" w:color="auto"/>
      </w:divBdr>
    </w:div>
    <w:div w:id="245579333">
      <w:bodyDiv w:val="1"/>
      <w:marLeft w:val="0"/>
      <w:marRight w:val="0"/>
      <w:marTop w:val="0"/>
      <w:marBottom w:val="0"/>
      <w:divBdr>
        <w:top w:val="none" w:sz="0" w:space="0" w:color="auto"/>
        <w:left w:val="none" w:sz="0" w:space="0" w:color="auto"/>
        <w:bottom w:val="none" w:sz="0" w:space="0" w:color="auto"/>
        <w:right w:val="none" w:sz="0" w:space="0" w:color="auto"/>
      </w:divBdr>
    </w:div>
    <w:div w:id="280763692">
      <w:bodyDiv w:val="1"/>
      <w:marLeft w:val="0"/>
      <w:marRight w:val="0"/>
      <w:marTop w:val="0"/>
      <w:marBottom w:val="0"/>
      <w:divBdr>
        <w:top w:val="none" w:sz="0" w:space="0" w:color="auto"/>
        <w:left w:val="none" w:sz="0" w:space="0" w:color="auto"/>
        <w:bottom w:val="none" w:sz="0" w:space="0" w:color="auto"/>
        <w:right w:val="none" w:sz="0" w:space="0" w:color="auto"/>
      </w:divBdr>
    </w:div>
    <w:div w:id="456070584">
      <w:bodyDiv w:val="1"/>
      <w:marLeft w:val="0"/>
      <w:marRight w:val="0"/>
      <w:marTop w:val="0"/>
      <w:marBottom w:val="0"/>
      <w:divBdr>
        <w:top w:val="none" w:sz="0" w:space="0" w:color="auto"/>
        <w:left w:val="none" w:sz="0" w:space="0" w:color="auto"/>
        <w:bottom w:val="none" w:sz="0" w:space="0" w:color="auto"/>
        <w:right w:val="none" w:sz="0" w:space="0" w:color="auto"/>
      </w:divBdr>
    </w:div>
    <w:div w:id="498932268">
      <w:bodyDiv w:val="1"/>
      <w:marLeft w:val="0"/>
      <w:marRight w:val="0"/>
      <w:marTop w:val="0"/>
      <w:marBottom w:val="0"/>
      <w:divBdr>
        <w:top w:val="none" w:sz="0" w:space="0" w:color="auto"/>
        <w:left w:val="none" w:sz="0" w:space="0" w:color="auto"/>
        <w:bottom w:val="none" w:sz="0" w:space="0" w:color="auto"/>
        <w:right w:val="none" w:sz="0" w:space="0" w:color="auto"/>
      </w:divBdr>
    </w:div>
    <w:div w:id="517281070">
      <w:bodyDiv w:val="1"/>
      <w:marLeft w:val="0"/>
      <w:marRight w:val="0"/>
      <w:marTop w:val="0"/>
      <w:marBottom w:val="0"/>
      <w:divBdr>
        <w:top w:val="none" w:sz="0" w:space="0" w:color="auto"/>
        <w:left w:val="none" w:sz="0" w:space="0" w:color="auto"/>
        <w:bottom w:val="none" w:sz="0" w:space="0" w:color="auto"/>
        <w:right w:val="none" w:sz="0" w:space="0" w:color="auto"/>
      </w:divBdr>
    </w:div>
    <w:div w:id="721058856">
      <w:bodyDiv w:val="1"/>
      <w:marLeft w:val="0"/>
      <w:marRight w:val="0"/>
      <w:marTop w:val="0"/>
      <w:marBottom w:val="0"/>
      <w:divBdr>
        <w:top w:val="none" w:sz="0" w:space="0" w:color="auto"/>
        <w:left w:val="none" w:sz="0" w:space="0" w:color="auto"/>
        <w:bottom w:val="none" w:sz="0" w:space="0" w:color="auto"/>
        <w:right w:val="none" w:sz="0" w:space="0" w:color="auto"/>
      </w:divBdr>
      <w:divsChild>
        <w:div w:id="344328601">
          <w:marLeft w:val="0"/>
          <w:marRight w:val="0"/>
          <w:marTop w:val="0"/>
          <w:marBottom w:val="0"/>
          <w:divBdr>
            <w:top w:val="none" w:sz="0" w:space="0" w:color="auto"/>
            <w:left w:val="none" w:sz="0" w:space="0" w:color="auto"/>
            <w:bottom w:val="none" w:sz="0" w:space="0" w:color="auto"/>
            <w:right w:val="none" w:sz="0" w:space="0" w:color="auto"/>
          </w:divBdr>
        </w:div>
      </w:divsChild>
    </w:div>
    <w:div w:id="739448830">
      <w:bodyDiv w:val="1"/>
      <w:marLeft w:val="0"/>
      <w:marRight w:val="0"/>
      <w:marTop w:val="0"/>
      <w:marBottom w:val="0"/>
      <w:divBdr>
        <w:top w:val="none" w:sz="0" w:space="0" w:color="auto"/>
        <w:left w:val="none" w:sz="0" w:space="0" w:color="auto"/>
        <w:bottom w:val="none" w:sz="0" w:space="0" w:color="auto"/>
        <w:right w:val="none" w:sz="0" w:space="0" w:color="auto"/>
      </w:divBdr>
    </w:div>
    <w:div w:id="772045022">
      <w:bodyDiv w:val="1"/>
      <w:marLeft w:val="0"/>
      <w:marRight w:val="0"/>
      <w:marTop w:val="0"/>
      <w:marBottom w:val="0"/>
      <w:divBdr>
        <w:top w:val="none" w:sz="0" w:space="0" w:color="auto"/>
        <w:left w:val="none" w:sz="0" w:space="0" w:color="auto"/>
        <w:bottom w:val="none" w:sz="0" w:space="0" w:color="auto"/>
        <w:right w:val="none" w:sz="0" w:space="0" w:color="auto"/>
      </w:divBdr>
    </w:div>
    <w:div w:id="960920878">
      <w:bodyDiv w:val="1"/>
      <w:marLeft w:val="0"/>
      <w:marRight w:val="0"/>
      <w:marTop w:val="0"/>
      <w:marBottom w:val="0"/>
      <w:divBdr>
        <w:top w:val="none" w:sz="0" w:space="0" w:color="auto"/>
        <w:left w:val="none" w:sz="0" w:space="0" w:color="auto"/>
        <w:bottom w:val="none" w:sz="0" w:space="0" w:color="auto"/>
        <w:right w:val="none" w:sz="0" w:space="0" w:color="auto"/>
      </w:divBdr>
    </w:div>
    <w:div w:id="1076636210">
      <w:bodyDiv w:val="1"/>
      <w:marLeft w:val="0"/>
      <w:marRight w:val="0"/>
      <w:marTop w:val="0"/>
      <w:marBottom w:val="0"/>
      <w:divBdr>
        <w:top w:val="none" w:sz="0" w:space="0" w:color="auto"/>
        <w:left w:val="none" w:sz="0" w:space="0" w:color="auto"/>
        <w:bottom w:val="none" w:sz="0" w:space="0" w:color="auto"/>
        <w:right w:val="none" w:sz="0" w:space="0" w:color="auto"/>
      </w:divBdr>
    </w:div>
    <w:div w:id="1513639425">
      <w:bodyDiv w:val="1"/>
      <w:marLeft w:val="0"/>
      <w:marRight w:val="0"/>
      <w:marTop w:val="0"/>
      <w:marBottom w:val="0"/>
      <w:divBdr>
        <w:top w:val="none" w:sz="0" w:space="0" w:color="auto"/>
        <w:left w:val="none" w:sz="0" w:space="0" w:color="auto"/>
        <w:bottom w:val="none" w:sz="0" w:space="0" w:color="auto"/>
        <w:right w:val="none" w:sz="0" w:space="0" w:color="auto"/>
      </w:divBdr>
      <w:divsChild>
        <w:div w:id="1002705927">
          <w:marLeft w:val="0"/>
          <w:marRight w:val="0"/>
          <w:marTop w:val="0"/>
          <w:marBottom w:val="0"/>
          <w:divBdr>
            <w:top w:val="none" w:sz="0" w:space="0" w:color="auto"/>
            <w:left w:val="none" w:sz="0" w:space="0" w:color="auto"/>
            <w:bottom w:val="none" w:sz="0" w:space="0" w:color="auto"/>
            <w:right w:val="none" w:sz="0" w:space="0" w:color="auto"/>
          </w:divBdr>
          <w:divsChild>
            <w:div w:id="2128769083">
              <w:marLeft w:val="0"/>
              <w:marRight w:val="0"/>
              <w:marTop w:val="0"/>
              <w:marBottom w:val="0"/>
              <w:divBdr>
                <w:top w:val="none" w:sz="0" w:space="0" w:color="auto"/>
                <w:left w:val="none" w:sz="0" w:space="0" w:color="auto"/>
                <w:bottom w:val="none" w:sz="0" w:space="0" w:color="auto"/>
                <w:right w:val="none" w:sz="0" w:space="0" w:color="auto"/>
              </w:divBdr>
              <w:divsChild>
                <w:div w:id="174568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731078">
      <w:bodyDiv w:val="1"/>
      <w:marLeft w:val="0"/>
      <w:marRight w:val="0"/>
      <w:marTop w:val="0"/>
      <w:marBottom w:val="0"/>
      <w:divBdr>
        <w:top w:val="none" w:sz="0" w:space="0" w:color="auto"/>
        <w:left w:val="none" w:sz="0" w:space="0" w:color="auto"/>
        <w:bottom w:val="none" w:sz="0" w:space="0" w:color="auto"/>
        <w:right w:val="none" w:sz="0" w:space="0" w:color="auto"/>
      </w:divBdr>
    </w:div>
    <w:div w:id="1737244612">
      <w:bodyDiv w:val="1"/>
      <w:marLeft w:val="0"/>
      <w:marRight w:val="0"/>
      <w:marTop w:val="0"/>
      <w:marBottom w:val="0"/>
      <w:divBdr>
        <w:top w:val="none" w:sz="0" w:space="0" w:color="auto"/>
        <w:left w:val="none" w:sz="0" w:space="0" w:color="auto"/>
        <w:bottom w:val="none" w:sz="0" w:space="0" w:color="auto"/>
        <w:right w:val="none" w:sz="0" w:space="0" w:color="auto"/>
      </w:divBdr>
      <w:divsChild>
        <w:div w:id="1426457466">
          <w:marLeft w:val="0"/>
          <w:marRight w:val="0"/>
          <w:marTop w:val="0"/>
          <w:marBottom w:val="0"/>
          <w:divBdr>
            <w:top w:val="none" w:sz="0" w:space="0" w:color="auto"/>
            <w:left w:val="none" w:sz="0" w:space="0" w:color="auto"/>
            <w:bottom w:val="none" w:sz="0" w:space="0" w:color="auto"/>
            <w:right w:val="none" w:sz="0" w:space="0" w:color="auto"/>
          </w:divBdr>
          <w:divsChild>
            <w:div w:id="884486637">
              <w:marLeft w:val="0"/>
              <w:marRight w:val="0"/>
              <w:marTop w:val="0"/>
              <w:marBottom w:val="0"/>
              <w:divBdr>
                <w:top w:val="none" w:sz="0" w:space="0" w:color="auto"/>
                <w:left w:val="none" w:sz="0" w:space="0" w:color="auto"/>
                <w:bottom w:val="none" w:sz="0" w:space="0" w:color="auto"/>
                <w:right w:val="none" w:sz="0" w:space="0" w:color="auto"/>
              </w:divBdr>
              <w:divsChild>
                <w:div w:id="74318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175303">
      <w:bodyDiv w:val="1"/>
      <w:marLeft w:val="0"/>
      <w:marRight w:val="0"/>
      <w:marTop w:val="0"/>
      <w:marBottom w:val="0"/>
      <w:divBdr>
        <w:top w:val="none" w:sz="0" w:space="0" w:color="auto"/>
        <w:left w:val="none" w:sz="0" w:space="0" w:color="auto"/>
        <w:bottom w:val="none" w:sz="0" w:space="0" w:color="auto"/>
        <w:right w:val="none" w:sz="0" w:space="0" w:color="auto"/>
      </w:divBdr>
    </w:div>
    <w:div w:id="1874730443">
      <w:bodyDiv w:val="1"/>
      <w:marLeft w:val="0"/>
      <w:marRight w:val="0"/>
      <w:marTop w:val="0"/>
      <w:marBottom w:val="0"/>
      <w:divBdr>
        <w:top w:val="none" w:sz="0" w:space="0" w:color="auto"/>
        <w:left w:val="none" w:sz="0" w:space="0" w:color="auto"/>
        <w:bottom w:val="none" w:sz="0" w:space="0" w:color="auto"/>
        <w:right w:val="none" w:sz="0" w:space="0" w:color="auto"/>
      </w:divBdr>
    </w:div>
    <w:div w:id="2037463063">
      <w:bodyDiv w:val="1"/>
      <w:marLeft w:val="0"/>
      <w:marRight w:val="0"/>
      <w:marTop w:val="0"/>
      <w:marBottom w:val="0"/>
      <w:divBdr>
        <w:top w:val="none" w:sz="0" w:space="0" w:color="auto"/>
        <w:left w:val="none" w:sz="0" w:space="0" w:color="auto"/>
        <w:bottom w:val="none" w:sz="0" w:space="0" w:color="auto"/>
        <w:right w:val="none" w:sz="0" w:space="0" w:color="auto"/>
      </w:divBdr>
    </w:div>
    <w:div w:id="2099713328">
      <w:bodyDiv w:val="1"/>
      <w:marLeft w:val="0"/>
      <w:marRight w:val="0"/>
      <w:marTop w:val="0"/>
      <w:marBottom w:val="0"/>
      <w:divBdr>
        <w:top w:val="none" w:sz="0" w:space="0" w:color="auto"/>
        <w:left w:val="none" w:sz="0" w:space="0" w:color="auto"/>
        <w:bottom w:val="none" w:sz="0" w:space="0" w:color="auto"/>
        <w:right w:val="none" w:sz="0" w:space="0" w:color="auto"/>
      </w:divBdr>
    </w:div>
    <w:div w:id="2100825906">
      <w:bodyDiv w:val="1"/>
      <w:marLeft w:val="0"/>
      <w:marRight w:val="0"/>
      <w:marTop w:val="0"/>
      <w:marBottom w:val="0"/>
      <w:divBdr>
        <w:top w:val="none" w:sz="0" w:space="0" w:color="auto"/>
        <w:left w:val="none" w:sz="0" w:space="0" w:color="auto"/>
        <w:bottom w:val="none" w:sz="0" w:space="0" w:color="auto"/>
        <w:right w:val="none" w:sz="0" w:space="0" w:color="auto"/>
      </w:divBdr>
      <w:divsChild>
        <w:div w:id="460998134">
          <w:marLeft w:val="0"/>
          <w:marRight w:val="0"/>
          <w:marTop w:val="0"/>
          <w:marBottom w:val="0"/>
          <w:divBdr>
            <w:top w:val="none" w:sz="0" w:space="0" w:color="auto"/>
            <w:left w:val="none" w:sz="0" w:space="0" w:color="auto"/>
            <w:bottom w:val="none" w:sz="0" w:space="0" w:color="auto"/>
            <w:right w:val="none" w:sz="0" w:space="0" w:color="auto"/>
          </w:divBdr>
        </w:div>
        <w:div w:id="161357861">
          <w:marLeft w:val="0"/>
          <w:marRight w:val="0"/>
          <w:marTop w:val="280"/>
          <w:marBottom w:val="280"/>
          <w:divBdr>
            <w:top w:val="none" w:sz="0" w:space="0" w:color="auto"/>
            <w:left w:val="none" w:sz="0" w:space="0" w:color="auto"/>
            <w:bottom w:val="none" w:sz="0" w:space="0" w:color="auto"/>
            <w:right w:val="none" w:sz="0" w:space="0" w:color="auto"/>
          </w:divBdr>
        </w:div>
        <w:div w:id="1260486027">
          <w:marLeft w:val="0"/>
          <w:marRight w:val="0"/>
          <w:marTop w:val="0"/>
          <w:marBottom w:val="0"/>
          <w:divBdr>
            <w:top w:val="none" w:sz="0" w:space="0" w:color="auto"/>
            <w:left w:val="none" w:sz="0" w:space="0" w:color="auto"/>
            <w:bottom w:val="none" w:sz="0" w:space="0" w:color="auto"/>
            <w:right w:val="none" w:sz="0" w:space="0" w:color="auto"/>
          </w:divBdr>
        </w:div>
        <w:div w:id="1970890045">
          <w:marLeft w:val="0"/>
          <w:marRight w:val="0"/>
          <w:marTop w:val="280"/>
          <w:marBottom w:val="280"/>
          <w:divBdr>
            <w:top w:val="none" w:sz="0" w:space="0" w:color="auto"/>
            <w:left w:val="none" w:sz="0" w:space="0" w:color="auto"/>
            <w:bottom w:val="none" w:sz="0" w:space="0" w:color="auto"/>
            <w:right w:val="none" w:sz="0" w:space="0" w:color="auto"/>
          </w:divBdr>
        </w:div>
        <w:div w:id="203324700">
          <w:marLeft w:val="0"/>
          <w:marRight w:val="0"/>
          <w:marTop w:val="0"/>
          <w:marBottom w:val="0"/>
          <w:divBdr>
            <w:top w:val="none" w:sz="0" w:space="0" w:color="auto"/>
            <w:left w:val="none" w:sz="0" w:space="0" w:color="auto"/>
            <w:bottom w:val="none" w:sz="0" w:space="0" w:color="auto"/>
            <w:right w:val="none" w:sz="0" w:space="0" w:color="auto"/>
          </w:divBdr>
        </w:div>
        <w:div w:id="1089935492">
          <w:marLeft w:val="0"/>
          <w:marRight w:val="0"/>
          <w:marTop w:val="280"/>
          <w:marBottom w:val="280"/>
          <w:divBdr>
            <w:top w:val="none" w:sz="0" w:space="0" w:color="auto"/>
            <w:left w:val="none" w:sz="0" w:space="0" w:color="auto"/>
            <w:bottom w:val="none" w:sz="0" w:space="0" w:color="auto"/>
            <w:right w:val="none" w:sz="0" w:space="0" w:color="auto"/>
          </w:divBdr>
        </w:div>
        <w:div w:id="310523078">
          <w:marLeft w:val="0"/>
          <w:marRight w:val="0"/>
          <w:marTop w:val="0"/>
          <w:marBottom w:val="0"/>
          <w:divBdr>
            <w:top w:val="none" w:sz="0" w:space="0" w:color="auto"/>
            <w:left w:val="none" w:sz="0" w:space="0" w:color="auto"/>
            <w:bottom w:val="none" w:sz="0" w:space="0" w:color="auto"/>
            <w:right w:val="none" w:sz="0" w:space="0" w:color="auto"/>
          </w:divBdr>
        </w:div>
        <w:div w:id="789009123">
          <w:marLeft w:val="0"/>
          <w:marRight w:val="0"/>
          <w:marTop w:val="280"/>
          <w:marBottom w:val="280"/>
          <w:divBdr>
            <w:top w:val="none" w:sz="0" w:space="0" w:color="auto"/>
            <w:left w:val="none" w:sz="0" w:space="0" w:color="auto"/>
            <w:bottom w:val="none" w:sz="0" w:space="0" w:color="auto"/>
            <w:right w:val="none" w:sz="0" w:space="0" w:color="auto"/>
          </w:divBdr>
        </w:div>
      </w:divsChild>
    </w:div>
    <w:div w:id="212241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hyperlink" Target="http://www.mgc.ac.cn/VFs/main.htm"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card.mcmaster.ca/"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C1264-F4B2-6F43-A41F-C138BEC8B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565</TotalTime>
  <Pages>12</Pages>
  <Words>6548</Words>
  <Characters>37325</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UMCG</Company>
  <LinksUpToDate>false</LinksUpToDate>
  <CharactersWithSpaces>43786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Zhang, S (mdl)</cp:lastModifiedBy>
  <cp:revision>50</cp:revision>
  <dcterms:created xsi:type="dcterms:W3CDTF">2022-04-04T10:02:00Z</dcterms:created>
  <dcterms:modified xsi:type="dcterms:W3CDTF">2023-10-06T11:25:00Z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id="x0a3As7R"/&gt;&lt;style id="http://www.zotero.org/styles/european-respiratory-journal" hasBibliography="1" bibliographyStyleHasBeenSet="1"/&gt;&lt;prefs&gt;&lt;pref name="fieldType" value="Field"/&gt;&lt;/prefs&gt;&lt;/data&gt;</vt:lpwstr>
  </property>
</Properties>
</file>