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5AC950" w14:textId="018E3393" w:rsidR="006365CC" w:rsidRDefault="006365CC" w:rsidP="006365CC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6365CC">
        <w:rPr>
          <w:rFonts w:ascii="Arial" w:hAnsi="Arial" w:cs="Arial"/>
          <w:sz w:val="20"/>
          <w:szCs w:val="20"/>
        </w:rPr>
        <w:t>Dr Eugen Mengel</w:t>
      </w:r>
    </w:p>
    <w:p w14:paraId="41EA8CA6" w14:textId="77777777" w:rsidR="006365CC" w:rsidRDefault="006365CC" w:rsidP="006365CC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SphinCS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GmBH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1E103611" w14:textId="7539B53B" w:rsidR="006365CC" w:rsidRDefault="006365CC" w:rsidP="006365CC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Institute for Clinical Science for LSD</w:t>
      </w:r>
    </w:p>
    <w:p w14:paraId="0509E7C7" w14:textId="2BDED14D" w:rsidR="006365CC" w:rsidRPr="006365CC" w:rsidRDefault="006365CC" w:rsidP="006365CC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Hochheim</w:t>
      </w:r>
      <w:proofErr w:type="spellEnd"/>
      <w:r>
        <w:rPr>
          <w:rFonts w:ascii="Arial" w:hAnsi="Arial" w:cs="Arial"/>
          <w:sz w:val="20"/>
          <w:szCs w:val="20"/>
        </w:rPr>
        <w:t>, Germany</w:t>
      </w:r>
    </w:p>
    <w:p w14:paraId="165BC47C" w14:textId="77777777" w:rsidR="006365CC" w:rsidRDefault="006365CC" w:rsidP="006365CC">
      <w:pPr>
        <w:spacing w:after="0" w:line="360" w:lineRule="auto"/>
        <w:jc w:val="right"/>
        <w:rPr>
          <w:rFonts w:ascii="Arial" w:hAnsi="Arial" w:cs="Arial"/>
          <w:sz w:val="20"/>
          <w:szCs w:val="20"/>
          <w:highlight w:val="yellow"/>
        </w:rPr>
      </w:pPr>
    </w:p>
    <w:p w14:paraId="04824340" w14:textId="7CF73DCA" w:rsidR="006365CC" w:rsidRDefault="00BB7669" w:rsidP="006365CC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</w:t>
      </w:r>
      <w:r w:rsidR="006365CC">
        <w:rPr>
          <w:rFonts w:ascii="Arial" w:hAnsi="Arial" w:cs="Arial"/>
          <w:sz w:val="20"/>
          <w:szCs w:val="20"/>
        </w:rPr>
        <w:t xml:space="preserve"> June 2020</w:t>
      </w:r>
    </w:p>
    <w:p w14:paraId="06FAEFC1" w14:textId="77777777" w:rsidR="006365CC" w:rsidRDefault="006365CC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Professor </w:t>
      </w:r>
      <w:proofErr w:type="spellStart"/>
      <w:r w:rsidR="00237EE5" w:rsidRPr="00237EE5">
        <w:rPr>
          <w:rFonts w:ascii="Arial" w:hAnsi="Arial" w:cs="Arial"/>
          <w:sz w:val="20"/>
          <w:szCs w:val="20"/>
        </w:rPr>
        <w:t>Francesc</w:t>
      </w:r>
      <w:proofErr w:type="spellEnd"/>
      <w:r w:rsidR="00237EE5" w:rsidRPr="00237EE5">
        <w:rPr>
          <w:rFonts w:ascii="Arial" w:hAnsi="Arial" w:cs="Arial"/>
          <w:sz w:val="20"/>
          <w:szCs w:val="20"/>
        </w:rPr>
        <w:t xml:space="preserve"> Palau</w:t>
      </w:r>
      <w:r w:rsidR="00CF00E0" w:rsidRPr="00237EE5">
        <w:rPr>
          <w:rFonts w:ascii="Arial" w:hAnsi="Arial" w:cs="Arial"/>
          <w:sz w:val="20"/>
          <w:szCs w:val="20"/>
        </w:rPr>
        <w:t xml:space="preserve"> </w:t>
      </w:r>
    </w:p>
    <w:p w14:paraId="7BFF2C4D" w14:textId="779AC16A" w:rsidR="00EC719A" w:rsidRPr="00237EE5" w:rsidRDefault="00CF00E0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237EE5">
        <w:rPr>
          <w:rFonts w:ascii="Arial" w:hAnsi="Arial" w:cs="Arial"/>
          <w:sz w:val="20"/>
          <w:szCs w:val="20"/>
        </w:rPr>
        <w:t>Editor</w:t>
      </w:r>
      <w:r w:rsidR="00237EE5" w:rsidRPr="00237EE5">
        <w:rPr>
          <w:rFonts w:ascii="Arial" w:hAnsi="Arial" w:cs="Arial"/>
          <w:sz w:val="20"/>
          <w:szCs w:val="20"/>
        </w:rPr>
        <w:t>-in-chief</w:t>
      </w:r>
    </w:p>
    <w:p w14:paraId="07538F78" w14:textId="78CCDF76" w:rsidR="00CF00E0" w:rsidRPr="00237EE5" w:rsidRDefault="00237EE5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237EE5">
        <w:rPr>
          <w:rFonts w:ascii="Arial" w:hAnsi="Arial" w:cs="Arial"/>
          <w:iCs/>
          <w:sz w:val="20"/>
          <w:szCs w:val="20"/>
        </w:rPr>
        <w:t xml:space="preserve">Orphanet </w:t>
      </w:r>
      <w:r w:rsidR="004671AC" w:rsidRPr="00237EE5">
        <w:rPr>
          <w:rFonts w:ascii="Arial" w:hAnsi="Arial" w:cs="Arial"/>
          <w:iCs/>
          <w:sz w:val="20"/>
          <w:szCs w:val="20"/>
        </w:rPr>
        <w:t xml:space="preserve">Journal of </w:t>
      </w:r>
      <w:r w:rsidRPr="00237EE5">
        <w:rPr>
          <w:rFonts w:ascii="Arial" w:hAnsi="Arial" w:cs="Arial"/>
          <w:iCs/>
          <w:sz w:val="20"/>
          <w:szCs w:val="20"/>
        </w:rPr>
        <w:t>Rare Disease</w:t>
      </w:r>
      <w:r w:rsidR="004671AC" w:rsidRPr="00237EE5">
        <w:rPr>
          <w:rFonts w:ascii="Arial" w:hAnsi="Arial" w:cs="Arial"/>
          <w:iCs/>
          <w:sz w:val="20"/>
          <w:szCs w:val="20"/>
        </w:rPr>
        <w:t>s</w:t>
      </w:r>
    </w:p>
    <w:p w14:paraId="2BB3AE0F" w14:textId="77777777" w:rsidR="00CF00E0" w:rsidRPr="00237EE5" w:rsidRDefault="00CF00E0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27294985" w14:textId="77777777" w:rsidR="00CF00E0" w:rsidRPr="00237EE5" w:rsidRDefault="00CF00E0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75F64583" w14:textId="6FA224DD" w:rsidR="00EE49CC" w:rsidRPr="00237EE5" w:rsidRDefault="00EE49CC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237EE5">
        <w:rPr>
          <w:rFonts w:ascii="Arial" w:hAnsi="Arial" w:cs="Arial"/>
          <w:sz w:val="20"/>
          <w:szCs w:val="20"/>
        </w:rPr>
        <w:t xml:space="preserve">Dear </w:t>
      </w:r>
      <w:r w:rsidR="005639C5">
        <w:rPr>
          <w:rFonts w:ascii="Arial" w:hAnsi="Arial" w:cs="Arial"/>
          <w:sz w:val="20"/>
          <w:szCs w:val="20"/>
        </w:rPr>
        <w:t>Professor Palau,</w:t>
      </w:r>
    </w:p>
    <w:p w14:paraId="03D59666" w14:textId="77777777" w:rsidR="000E3B71" w:rsidRPr="00237EE5" w:rsidRDefault="000E3B71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3F7786F" w14:textId="47AA013D" w:rsidR="00EE49CC" w:rsidRPr="00237EE5" w:rsidRDefault="00DE66BF" w:rsidP="006F3416">
      <w:pPr>
        <w:spacing w:after="0" w:line="360" w:lineRule="auto"/>
        <w:rPr>
          <w:rFonts w:ascii="Arial" w:hAnsi="Arial" w:cs="Arial"/>
          <w:i/>
          <w:sz w:val="20"/>
          <w:szCs w:val="20"/>
        </w:rPr>
      </w:pPr>
      <w:r w:rsidRPr="00237EE5">
        <w:rPr>
          <w:rFonts w:ascii="Arial" w:hAnsi="Arial" w:cs="Arial"/>
          <w:sz w:val="20"/>
          <w:szCs w:val="20"/>
        </w:rPr>
        <w:t xml:space="preserve">On behalf of my co-authors, I would be grateful if you would consider our manuscript, </w:t>
      </w:r>
      <w:r w:rsidR="00EE49CC" w:rsidRPr="00237EE5">
        <w:rPr>
          <w:rFonts w:ascii="Arial" w:hAnsi="Arial" w:cs="Arial"/>
          <w:sz w:val="20"/>
          <w:szCs w:val="20"/>
        </w:rPr>
        <w:t>entitled ‘</w:t>
      </w:r>
      <w:r w:rsidR="00237EE5" w:rsidRPr="00237EE5">
        <w:rPr>
          <w:rFonts w:ascii="Arial" w:hAnsi="Arial" w:cs="Arial"/>
          <w:i/>
          <w:sz w:val="20"/>
          <w:szCs w:val="20"/>
        </w:rPr>
        <w:t>Clinical disease progression and biomarkers in Niemann</w:t>
      </w:r>
      <w:r w:rsidR="00237EE5">
        <w:rPr>
          <w:rFonts w:ascii="Arial" w:hAnsi="Arial" w:cs="Arial"/>
          <w:i/>
          <w:sz w:val="20"/>
          <w:szCs w:val="20"/>
        </w:rPr>
        <w:t>–</w:t>
      </w:r>
      <w:r w:rsidR="00237EE5" w:rsidRPr="00237EE5">
        <w:rPr>
          <w:rFonts w:ascii="Arial" w:hAnsi="Arial" w:cs="Arial"/>
          <w:i/>
          <w:sz w:val="20"/>
          <w:szCs w:val="20"/>
        </w:rPr>
        <w:t>Pick disease type C: a prospective cohort study</w:t>
      </w:r>
      <w:r w:rsidR="001D040A" w:rsidRPr="00237EE5">
        <w:rPr>
          <w:rFonts w:ascii="Arial" w:hAnsi="Arial" w:cs="Arial"/>
          <w:sz w:val="20"/>
          <w:szCs w:val="20"/>
        </w:rPr>
        <w:t>,</w:t>
      </w:r>
      <w:r w:rsidR="00EE49CC" w:rsidRPr="00237EE5">
        <w:rPr>
          <w:rFonts w:ascii="Arial" w:hAnsi="Arial" w:cs="Arial"/>
          <w:sz w:val="20"/>
          <w:szCs w:val="20"/>
        </w:rPr>
        <w:t xml:space="preserve"> </w:t>
      </w:r>
      <w:r w:rsidRPr="00237EE5">
        <w:rPr>
          <w:rFonts w:ascii="Arial" w:hAnsi="Arial" w:cs="Arial"/>
          <w:sz w:val="20"/>
          <w:szCs w:val="20"/>
        </w:rPr>
        <w:t>for publication as an original research article i</w:t>
      </w:r>
      <w:r w:rsidR="00E62E76" w:rsidRPr="00237EE5">
        <w:rPr>
          <w:rFonts w:ascii="Arial" w:hAnsi="Arial" w:cs="Arial"/>
          <w:sz w:val="20"/>
          <w:szCs w:val="20"/>
        </w:rPr>
        <w:t xml:space="preserve">n the </w:t>
      </w:r>
      <w:r w:rsidR="00237EE5" w:rsidRPr="00237EE5">
        <w:rPr>
          <w:rFonts w:ascii="Arial" w:hAnsi="Arial" w:cs="Arial"/>
          <w:i/>
          <w:sz w:val="20"/>
          <w:szCs w:val="20"/>
        </w:rPr>
        <w:t xml:space="preserve">Orphanet </w:t>
      </w:r>
      <w:r w:rsidR="00E62E76" w:rsidRPr="00237EE5">
        <w:rPr>
          <w:rFonts w:ascii="Arial" w:hAnsi="Arial" w:cs="Arial"/>
          <w:i/>
          <w:sz w:val="20"/>
          <w:szCs w:val="20"/>
        </w:rPr>
        <w:t xml:space="preserve">Journal of </w:t>
      </w:r>
      <w:r w:rsidR="00237EE5" w:rsidRPr="00237EE5">
        <w:rPr>
          <w:rFonts w:ascii="Arial" w:hAnsi="Arial" w:cs="Arial"/>
          <w:i/>
          <w:sz w:val="20"/>
          <w:szCs w:val="20"/>
        </w:rPr>
        <w:t>Rare Disease</w:t>
      </w:r>
      <w:r w:rsidR="00E62E76" w:rsidRPr="00237EE5">
        <w:rPr>
          <w:rFonts w:ascii="Arial" w:hAnsi="Arial" w:cs="Arial"/>
          <w:i/>
          <w:sz w:val="20"/>
          <w:szCs w:val="20"/>
        </w:rPr>
        <w:t>s.</w:t>
      </w:r>
    </w:p>
    <w:p w14:paraId="37D408B3" w14:textId="77777777" w:rsidR="006F3416" w:rsidRPr="00237EE5" w:rsidRDefault="006F3416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788947E9" w14:textId="53D997F3" w:rsidR="005639C5" w:rsidRPr="005639C5" w:rsidRDefault="00DE66BF" w:rsidP="005639C5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 w:rsidRPr="00237EE5">
        <w:rPr>
          <w:rFonts w:ascii="Arial" w:hAnsi="Arial" w:cs="Arial"/>
          <w:sz w:val="20"/>
          <w:szCs w:val="20"/>
        </w:rPr>
        <w:t>This manuscript</w:t>
      </w:r>
      <w:r w:rsidR="00E62E76" w:rsidRPr="00237EE5">
        <w:rPr>
          <w:rFonts w:ascii="Arial" w:hAnsi="Arial" w:cs="Arial"/>
          <w:sz w:val="20"/>
          <w:szCs w:val="20"/>
        </w:rPr>
        <w:t xml:space="preserve"> </w:t>
      </w:r>
      <w:r w:rsidRPr="00237EE5">
        <w:rPr>
          <w:rFonts w:ascii="Arial" w:hAnsi="Arial" w:cs="Arial"/>
          <w:sz w:val="20"/>
          <w:szCs w:val="20"/>
        </w:rPr>
        <w:t xml:space="preserve">describes the results of the </w:t>
      </w:r>
      <w:r w:rsidR="00237EE5" w:rsidRPr="001226DE">
        <w:rPr>
          <w:rFonts w:ascii="Arial" w:hAnsi="Arial" w:cs="Arial"/>
          <w:sz w:val="20"/>
          <w:szCs w:val="20"/>
        </w:rPr>
        <w:t xml:space="preserve">prospective, multi-centre observational study </w:t>
      </w:r>
      <w:r w:rsidR="00237EE5">
        <w:rPr>
          <w:rFonts w:ascii="Arial" w:hAnsi="Arial" w:cs="Arial"/>
          <w:sz w:val="20"/>
          <w:szCs w:val="20"/>
        </w:rPr>
        <w:t>in</w:t>
      </w:r>
      <w:r w:rsidR="00E92519">
        <w:rPr>
          <w:rFonts w:ascii="Arial" w:hAnsi="Arial" w:cs="Arial"/>
          <w:sz w:val="20"/>
          <w:szCs w:val="20"/>
        </w:rPr>
        <w:t xml:space="preserve"> patients with</w:t>
      </w:r>
      <w:r w:rsidR="00237EE5">
        <w:rPr>
          <w:rFonts w:ascii="Arial" w:hAnsi="Arial" w:cs="Arial"/>
          <w:sz w:val="20"/>
          <w:szCs w:val="20"/>
        </w:rPr>
        <w:t xml:space="preserve"> Niemann–Pick disease type C (NPC), a</w:t>
      </w:r>
      <w:r w:rsidR="00237EE5" w:rsidRPr="00237EE5">
        <w:rPr>
          <w:rFonts w:ascii="Arial" w:hAnsi="Arial" w:cs="Arial"/>
          <w:bCs/>
          <w:sz w:val="20"/>
          <w:szCs w:val="20"/>
        </w:rPr>
        <w:t xml:space="preserve"> </w:t>
      </w:r>
      <w:r w:rsidR="00237EE5" w:rsidRPr="003B3392">
        <w:rPr>
          <w:rFonts w:ascii="Arial" w:hAnsi="Arial" w:cs="Arial"/>
          <w:bCs/>
          <w:sz w:val="20"/>
          <w:szCs w:val="20"/>
        </w:rPr>
        <w:t>rare, progressive, neurodegenerative</w:t>
      </w:r>
      <w:r w:rsidR="00237EE5">
        <w:rPr>
          <w:rFonts w:ascii="Arial" w:hAnsi="Arial" w:cs="Arial"/>
          <w:bCs/>
          <w:sz w:val="20"/>
          <w:szCs w:val="20"/>
        </w:rPr>
        <w:t xml:space="preserve"> disease</w:t>
      </w:r>
      <w:r w:rsidR="006365CC">
        <w:rPr>
          <w:rFonts w:ascii="Arial" w:hAnsi="Arial" w:cs="Arial"/>
          <w:bCs/>
          <w:sz w:val="20"/>
          <w:szCs w:val="20"/>
        </w:rPr>
        <w:t xml:space="preserve"> (</w:t>
      </w:r>
      <w:r w:rsidR="006365CC" w:rsidRPr="00237EE5">
        <w:rPr>
          <w:rFonts w:ascii="Arial" w:hAnsi="Arial" w:cs="Arial"/>
          <w:sz w:val="20"/>
          <w:szCs w:val="20"/>
        </w:rPr>
        <w:t>CT-ORZY-NPC-00</w:t>
      </w:r>
      <w:r w:rsidR="006365CC">
        <w:rPr>
          <w:rFonts w:ascii="Arial" w:hAnsi="Arial" w:cs="Arial"/>
          <w:sz w:val="20"/>
          <w:szCs w:val="20"/>
        </w:rPr>
        <w:t>1</w:t>
      </w:r>
      <w:r w:rsidR="006365CC">
        <w:rPr>
          <w:rFonts w:ascii="Arial" w:hAnsi="Arial" w:cs="Arial"/>
          <w:bCs/>
          <w:sz w:val="20"/>
          <w:szCs w:val="20"/>
        </w:rPr>
        <w:t>; ClinicalTrials.gov ID:</w:t>
      </w:r>
      <w:r w:rsidR="00F94089">
        <w:rPr>
          <w:rFonts w:ascii="Arial" w:hAnsi="Arial" w:cs="Arial"/>
          <w:bCs/>
          <w:sz w:val="20"/>
          <w:szCs w:val="20"/>
        </w:rPr>
        <w:t xml:space="preserve"> </w:t>
      </w:r>
      <w:r w:rsidR="00F94089" w:rsidRPr="003B3392">
        <w:rPr>
          <w:rFonts w:ascii="Arial" w:hAnsi="Arial" w:cs="Arial"/>
          <w:bCs/>
          <w:sz w:val="20"/>
          <w:szCs w:val="20"/>
        </w:rPr>
        <w:t>NCT02435030</w:t>
      </w:r>
      <w:r w:rsidR="00F94089">
        <w:rPr>
          <w:rFonts w:ascii="Arial" w:hAnsi="Arial" w:cs="Arial"/>
          <w:bCs/>
          <w:sz w:val="20"/>
          <w:szCs w:val="20"/>
        </w:rPr>
        <w:t>).</w:t>
      </w:r>
      <w:r w:rsidR="006365CC">
        <w:rPr>
          <w:rFonts w:ascii="Arial" w:hAnsi="Arial" w:cs="Arial"/>
          <w:bCs/>
          <w:sz w:val="20"/>
          <w:szCs w:val="20"/>
        </w:rPr>
        <w:t xml:space="preserve"> </w:t>
      </w:r>
      <w:r w:rsidR="005639C5">
        <w:rPr>
          <w:rFonts w:ascii="Arial" w:hAnsi="Arial" w:cs="Arial"/>
          <w:bCs/>
          <w:sz w:val="20"/>
          <w:szCs w:val="20"/>
        </w:rPr>
        <w:t xml:space="preserve">The study was conducted in </w:t>
      </w:r>
      <w:r w:rsidR="005639C5" w:rsidRPr="00237EE5">
        <w:rPr>
          <w:rFonts w:ascii="Arial" w:hAnsi="Arial" w:cs="Arial"/>
          <w:bCs/>
          <w:sz w:val="20"/>
          <w:szCs w:val="20"/>
        </w:rPr>
        <w:t xml:space="preserve">individuals with genetically confirmed NPC1 or NPC2 receiving routine clinical care </w:t>
      </w:r>
      <w:r w:rsidR="00DD56F9">
        <w:rPr>
          <w:rFonts w:ascii="Arial" w:hAnsi="Arial" w:cs="Arial"/>
          <w:bCs/>
          <w:sz w:val="20"/>
          <w:szCs w:val="20"/>
        </w:rPr>
        <w:t>t</w:t>
      </w:r>
      <w:r w:rsidR="005639C5" w:rsidRPr="005639C5">
        <w:rPr>
          <w:rFonts w:ascii="Arial" w:hAnsi="Arial" w:cs="Arial"/>
          <w:bCs/>
          <w:sz w:val="20"/>
          <w:szCs w:val="20"/>
        </w:rPr>
        <w:t xml:space="preserve">o </w:t>
      </w:r>
      <w:r w:rsidR="003A0849">
        <w:rPr>
          <w:rFonts w:ascii="Arial" w:hAnsi="Arial" w:cs="Arial"/>
          <w:bCs/>
          <w:sz w:val="20"/>
          <w:szCs w:val="20"/>
        </w:rPr>
        <w:t xml:space="preserve">better </w:t>
      </w:r>
      <w:r w:rsidR="005639C5" w:rsidRPr="005639C5">
        <w:rPr>
          <w:rFonts w:ascii="Arial" w:hAnsi="Arial" w:cs="Arial"/>
          <w:bCs/>
          <w:sz w:val="20"/>
          <w:szCs w:val="20"/>
        </w:rPr>
        <w:t>understand disease progression patterns in NPC</w:t>
      </w:r>
      <w:r w:rsidR="00DD56F9">
        <w:rPr>
          <w:rFonts w:ascii="Arial" w:hAnsi="Arial" w:cs="Arial"/>
          <w:bCs/>
          <w:sz w:val="20"/>
          <w:szCs w:val="20"/>
        </w:rPr>
        <w:t xml:space="preserve">. </w:t>
      </w:r>
      <w:r w:rsidR="00E92519">
        <w:rPr>
          <w:rFonts w:ascii="Arial" w:hAnsi="Arial" w:cs="Arial"/>
          <w:bCs/>
          <w:sz w:val="20"/>
          <w:szCs w:val="20"/>
        </w:rPr>
        <w:t>Progression</w:t>
      </w:r>
      <w:r w:rsidR="00DD56F9">
        <w:rPr>
          <w:rFonts w:ascii="Arial" w:hAnsi="Arial" w:cs="Arial"/>
          <w:bCs/>
          <w:sz w:val="20"/>
          <w:szCs w:val="20"/>
        </w:rPr>
        <w:t xml:space="preserve"> was</w:t>
      </w:r>
      <w:r w:rsidR="003A0849">
        <w:rPr>
          <w:rFonts w:ascii="Arial" w:hAnsi="Arial" w:cs="Arial"/>
          <w:bCs/>
          <w:sz w:val="20"/>
          <w:szCs w:val="20"/>
        </w:rPr>
        <w:t xml:space="preserve"> monitored</w:t>
      </w:r>
      <w:r w:rsidR="005639C5" w:rsidRPr="005639C5">
        <w:rPr>
          <w:rFonts w:ascii="Arial" w:hAnsi="Arial" w:cs="Arial"/>
          <w:bCs/>
          <w:sz w:val="20"/>
          <w:szCs w:val="20"/>
        </w:rPr>
        <w:t xml:space="preserve"> based on the 5-domain NPC</w:t>
      </w:r>
      <w:r w:rsidR="00DD56F9">
        <w:rPr>
          <w:rFonts w:ascii="Arial" w:hAnsi="Arial" w:cs="Arial"/>
          <w:bCs/>
          <w:sz w:val="20"/>
          <w:szCs w:val="20"/>
        </w:rPr>
        <w:t xml:space="preserve"> </w:t>
      </w:r>
      <w:r w:rsidR="00DD56F9" w:rsidRPr="00237EE5">
        <w:rPr>
          <w:rFonts w:ascii="Arial" w:hAnsi="Arial" w:cs="Arial"/>
          <w:bCs/>
          <w:sz w:val="20"/>
          <w:szCs w:val="20"/>
        </w:rPr>
        <w:t>Clinical Severity Scale (NPCCSS</w:t>
      </w:r>
      <w:r w:rsidR="00DD56F9">
        <w:rPr>
          <w:rFonts w:ascii="Arial" w:hAnsi="Arial" w:cs="Arial"/>
          <w:bCs/>
          <w:sz w:val="20"/>
          <w:szCs w:val="20"/>
        </w:rPr>
        <w:t>) and 17-domain NPCSS outcome scores</w:t>
      </w:r>
      <w:r w:rsidR="005639C5" w:rsidRPr="005639C5">
        <w:rPr>
          <w:rFonts w:ascii="Arial" w:hAnsi="Arial" w:cs="Arial"/>
          <w:bCs/>
          <w:sz w:val="20"/>
          <w:szCs w:val="20"/>
        </w:rPr>
        <w:t xml:space="preserve">. The study also aimed to characterize novel biomarkers associated with the altered NPC1/2 protein function and lipid metabolism in NPC disease, monitoring their expression longitudinally, in order to establish a set of biomarkers for NPC and for interventions targeting the </w:t>
      </w:r>
      <w:r w:rsidR="005639C5">
        <w:rPr>
          <w:rFonts w:ascii="Arial" w:hAnsi="Arial" w:cs="Arial"/>
          <w:bCs/>
          <w:sz w:val="20"/>
          <w:szCs w:val="20"/>
        </w:rPr>
        <w:t xml:space="preserve">heat shock protein </w:t>
      </w:r>
      <w:r w:rsidR="00DB31E9">
        <w:rPr>
          <w:rFonts w:ascii="Arial" w:hAnsi="Arial" w:cs="Arial"/>
          <w:bCs/>
          <w:sz w:val="20"/>
          <w:szCs w:val="20"/>
        </w:rPr>
        <w:t xml:space="preserve">(HSP) </w:t>
      </w:r>
      <w:r w:rsidR="005639C5" w:rsidRPr="005639C5">
        <w:rPr>
          <w:rFonts w:ascii="Arial" w:hAnsi="Arial" w:cs="Arial"/>
          <w:bCs/>
          <w:sz w:val="20"/>
          <w:szCs w:val="20"/>
        </w:rPr>
        <w:t>system in NPC.</w:t>
      </w:r>
      <w:r w:rsidR="00DD56F9" w:rsidRPr="00DD56F9">
        <w:rPr>
          <w:rFonts w:ascii="Arial" w:hAnsi="Arial" w:cs="Arial"/>
          <w:bCs/>
          <w:sz w:val="20"/>
          <w:szCs w:val="20"/>
        </w:rPr>
        <w:t xml:space="preserve"> </w:t>
      </w:r>
      <w:r w:rsidR="00DD56F9" w:rsidRPr="005639C5">
        <w:rPr>
          <w:rFonts w:ascii="Arial" w:hAnsi="Arial" w:cs="Arial"/>
          <w:bCs/>
          <w:sz w:val="20"/>
          <w:szCs w:val="20"/>
        </w:rPr>
        <w:t xml:space="preserve">Additionally, to assess inter- and intra-rater reliability of the 5-domain NPCCSS as a measure of disease severity in NPC, the </w:t>
      </w:r>
      <w:r w:rsidR="006365CC">
        <w:rPr>
          <w:rFonts w:ascii="Arial" w:hAnsi="Arial" w:cs="Arial"/>
          <w:bCs/>
          <w:sz w:val="20"/>
          <w:szCs w:val="20"/>
        </w:rPr>
        <w:t xml:space="preserve">statistical </w:t>
      </w:r>
      <w:r w:rsidR="00DD56F9" w:rsidRPr="005639C5">
        <w:rPr>
          <w:rFonts w:ascii="Arial" w:hAnsi="Arial" w:cs="Arial"/>
          <w:bCs/>
          <w:sz w:val="20"/>
          <w:szCs w:val="20"/>
        </w:rPr>
        <w:t xml:space="preserve">agreement between 5-domain NPCCSS total scores and individual </w:t>
      </w:r>
      <w:r w:rsidR="006365CC">
        <w:rPr>
          <w:rFonts w:ascii="Arial" w:hAnsi="Arial" w:cs="Arial"/>
          <w:bCs/>
          <w:sz w:val="20"/>
          <w:szCs w:val="20"/>
        </w:rPr>
        <w:t>domain scores</w:t>
      </w:r>
      <w:r w:rsidR="00DD56F9" w:rsidRPr="005639C5">
        <w:rPr>
          <w:rFonts w:ascii="Arial" w:hAnsi="Arial" w:cs="Arial"/>
          <w:bCs/>
          <w:sz w:val="20"/>
          <w:szCs w:val="20"/>
        </w:rPr>
        <w:t xml:space="preserve"> was evaluated</w:t>
      </w:r>
      <w:r w:rsidR="00DD56F9">
        <w:rPr>
          <w:rFonts w:ascii="Arial" w:hAnsi="Arial" w:cs="Arial"/>
          <w:bCs/>
          <w:sz w:val="20"/>
          <w:szCs w:val="20"/>
        </w:rPr>
        <w:t>.</w:t>
      </w:r>
    </w:p>
    <w:p w14:paraId="160E7DB2" w14:textId="77777777" w:rsidR="005639C5" w:rsidRDefault="005639C5" w:rsidP="006F3416">
      <w:pPr>
        <w:spacing w:after="0" w:line="360" w:lineRule="auto"/>
        <w:rPr>
          <w:rFonts w:ascii="Arial" w:hAnsi="Arial" w:cs="Arial"/>
          <w:bCs/>
          <w:sz w:val="20"/>
          <w:szCs w:val="20"/>
        </w:rPr>
      </w:pPr>
    </w:p>
    <w:p w14:paraId="281DBED4" w14:textId="79F27BE7" w:rsidR="00E92519" w:rsidRDefault="00DD56F9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237EE5">
        <w:rPr>
          <w:rFonts w:ascii="Arial" w:hAnsi="Arial" w:cs="Arial"/>
          <w:sz w:val="20"/>
          <w:szCs w:val="20"/>
        </w:rPr>
        <w:t xml:space="preserve">We feel the results we present will be of interest </w:t>
      </w:r>
      <w:r>
        <w:rPr>
          <w:rFonts w:ascii="Arial" w:hAnsi="Arial" w:cs="Arial"/>
          <w:sz w:val="20"/>
          <w:szCs w:val="20"/>
        </w:rPr>
        <w:t xml:space="preserve">to your readers because NPC is a rare </w:t>
      </w:r>
      <w:r w:rsidR="00E92519">
        <w:rPr>
          <w:rFonts w:ascii="Arial" w:hAnsi="Arial" w:cs="Arial"/>
          <w:sz w:val="20"/>
          <w:szCs w:val="20"/>
        </w:rPr>
        <w:t xml:space="preserve">and debilitating </w:t>
      </w:r>
      <w:r>
        <w:rPr>
          <w:rFonts w:ascii="Arial" w:hAnsi="Arial" w:cs="Arial"/>
          <w:sz w:val="20"/>
          <w:szCs w:val="20"/>
        </w:rPr>
        <w:t>disease</w:t>
      </w:r>
      <w:r w:rsidR="00E92519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with an unmet need for</w:t>
      </w:r>
      <w:r w:rsidR="00E92519">
        <w:rPr>
          <w:rFonts w:ascii="Arial" w:hAnsi="Arial" w:cs="Arial"/>
          <w:sz w:val="20"/>
          <w:szCs w:val="20"/>
        </w:rPr>
        <w:t xml:space="preserve"> effective </w:t>
      </w:r>
      <w:r>
        <w:rPr>
          <w:rFonts w:ascii="Arial" w:hAnsi="Arial" w:cs="Arial"/>
          <w:sz w:val="20"/>
          <w:szCs w:val="20"/>
        </w:rPr>
        <w:t xml:space="preserve">treatment options, which arise out of well-designed clinical studies. </w:t>
      </w:r>
      <w:r w:rsidR="006365CC">
        <w:rPr>
          <w:rFonts w:ascii="Arial" w:hAnsi="Arial" w:cs="Arial"/>
          <w:sz w:val="20"/>
          <w:szCs w:val="20"/>
        </w:rPr>
        <w:t>Developing a b</w:t>
      </w:r>
      <w:r w:rsidR="005639C5">
        <w:rPr>
          <w:rFonts w:ascii="Arial" w:hAnsi="Arial" w:cs="Arial"/>
          <w:sz w:val="20"/>
          <w:szCs w:val="20"/>
        </w:rPr>
        <w:t xml:space="preserve">etter understanding of </w:t>
      </w:r>
      <w:r w:rsidR="00E92519">
        <w:rPr>
          <w:rFonts w:ascii="Arial" w:hAnsi="Arial" w:cs="Arial"/>
          <w:sz w:val="20"/>
          <w:szCs w:val="20"/>
        </w:rPr>
        <w:t xml:space="preserve">disease </w:t>
      </w:r>
      <w:r w:rsidR="005639C5">
        <w:rPr>
          <w:rFonts w:ascii="Arial" w:hAnsi="Arial" w:cs="Arial"/>
          <w:sz w:val="20"/>
          <w:szCs w:val="20"/>
        </w:rPr>
        <w:t xml:space="preserve">natural history and phenotypic variability </w:t>
      </w:r>
      <w:r w:rsidR="006365CC">
        <w:rPr>
          <w:rFonts w:ascii="Arial" w:hAnsi="Arial" w:cs="Arial"/>
          <w:sz w:val="20"/>
          <w:szCs w:val="20"/>
        </w:rPr>
        <w:t xml:space="preserve">through observational studies </w:t>
      </w:r>
      <w:r w:rsidR="00E92519">
        <w:rPr>
          <w:rFonts w:ascii="Arial" w:hAnsi="Arial" w:cs="Arial"/>
          <w:sz w:val="20"/>
          <w:szCs w:val="20"/>
        </w:rPr>
        <w:t>can</w:t>
      </w:r>
      <w:r w:rsidR="005639C5">
        <w:rPr>
          <w:rFonts w:ascii="Arial" w:hAnsi="Arial" w:cs="Arial"/>
          <w:sz w:val="20"/>
          <w:szCs w:val="20"/>
        </w:rPr>
        <w:t xml:space="preserve"> aid in the design of </w:t>
      </w:r>
      <w:r>
        <w:rPr>
          <w:rFonts w:ascii="Arial" w:hAnsi="Arial" w:cs="Arial"/>
          <w:sz w:val="20"/>
          <w:szCs w:val="20"/>
        </w:rPr>
        <w:t>in</w:t>
      </w:r>
      <w:r w:rsidR="006365CC">
        <w:rPr>
          <w:rFonts w:ascii="Arial" w:hAnsi="Arial" w:cs="Arial"/>
          <w:sz w:val="20"/>
          <w:szCs w:val="20"/>
        </w:rPr>
        <w:t>terventional</w:t>
      </w:r>
      <w:r>
        <w:rPr>
          <w:rFonts w:ascii="Arial" w:hAnsi="Arial" w:cs="Arial"/>
          <w:sz w:val="20"/>
          <w:szCs w:val="20"/>
        </w:rPr>
        <w:t xml:space="preserve"> </w:t>
      </w:r>
      <w:r w:rsidR="005639C5">
        <w:rPr>
          <w:rFonts w:ascii="Arial" w:hAnsi="Arial" w:cs="Arial"/>
          <w:sz w:val="20"/>
          <w:szCs w:val="20"/>
        </w:rPr>
        <w:t>clinical trials</w:t>
      </w:r>
      <w:r w:rsidR="00E92519">
        <w:rPr>
          <w:rFonts w:ascii="Arial" w:hAnsi="Arial" w:cs="Arial"/>
          <w:sz w:val="20"/>
          <w:szCs w:val="20"/>
        </w:rPr>
        <w:t>, particularly in rare and heterogeneous patient populations</w:t>
      </w:r>
      <w:r>
        <w:rPr>
          <w:rFonts w:ascii="Arial" w:hAnsi="Arial" w:cs="Arial"/>
          <w:sz w:val="20"/>
          <w:szCs w:val="20"/>
        </w:rPr>
        <w:t>.</w:t>
      </w:r>
      <w:r w:rsidR="00E92519">
        <w:rPr>
          <w:rFonts w:ascii="Arial" w:hAnsi="Arial" w:cs="Arial"/>
          <w:sz w:val="20"/>
          <w:szCs w:val="20"/>
        </w:rPr>
        <w:t xml:space="preserve"> </w:t>
      </w:r>
    </w:p>
    <w:p w14:paraId="4ED949DA" w14:textId="77777777" w:rsidR="00E92519" w:rsidRDefault="00E92519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9756EAF" w14:textId="7576D7B1" w:rsidR="00E92519" w:rsidRDefault="00E92519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237EE5">
        <w:rPr>
          <w:rFonts w:ascii="Arial" w:hAnsi="Arial" w:cs="Arial"/>
          <w:sz w:val="20"/>
          <w:szCs w:val="20"/>
        </w:rPr>
        <w:t>In this study, the disease course of patients with NPC</w:t>
      </w:r>
      <w:r w:rsidR="003A0849">
        <w:rPr>
          <w:rFonts w:ascii="Arial" w:hAnsi="Arial" w:cs="Arial"/>
          <w:sz w:val="20"/>
          <w:szCs w:val="20"/>
        </w:rPr>
        <w:t xml:space="preserve"> </w:t>
      </w:r>
      <w:r w:rsidRPr="00237EE5">
        <w:rPr>
          <w:rFonts w:ascii="Arial" w:hAnsi="Arial" w:cs="Arial"/>
          <w:sz w:val="20"/>
          <w:szCs w:val="20"/>
        </w:rPr>
        <w:t>was prospectively characterized over a period of 6–14 months using clinical measures and biomarkers</w:t>
      </w:r>
      <w:r>
        <w:rPr>
          <w:rFonts w:ascii="Arial" w:hAnsi="Arial" w:cs="Arial"/>
          <w:sz w:val="20"/>
          <w:szCs w:val="20"/>
        </w:rPr>
        <w:t xml:space="preserve">. </w:t>
      </w:r>
      <w:r w:rsidRPr="00237EE5">
        <w:rPr>
          <w:rFonts w:ascii="Arial" w:hAnsi="Arial" w:cs="Arial"/>
          <w:sz w:val="20"/>
          <w:szCs w:val="20"/>
        </w:rPr>
        <w:t xml:space="preserve">Most patients exhibited disease progression during the observation period as assessed by the 5-domain NPCCSS and by the overall 17-domain NPCCSS. Notably, the abbreviated version </w:t>
      </w:r>
      <w:r w:rsidR="006365CC">
        <w:rPr>
          <w:rFonts w:ascii="Arial" w:hAnsi="Arial" w:cs="Arial"/>
          <w:sz w:val="20"/>
          <w:szCs w:val="20"/>
        </w:rPr>
        <w:t xml:space="preserve">has </w:t>
      </w:r>
      <w:r w:rsidRPr="00237EE5">
        <w:rPr>
          <w:rFonts w:ascii="Arial" w:hAnsi="Arial" w:cs="Arial"/>
          <w:sz w:val="20"/>
          <w:szCs w:val="20"/>
        </w:rPr>
        <w:t>show</w:t>
      </w:r>
      <w:r w:rsidR="006365CC">
        <w:rPr>
          <w:rFonts w:ascii="Arial" w:hAnsi="Arial" w:cs="Arial"/>
          <w:sz w:val="20"/>
          <w:szCs w:val="20"/>
        </w:rPr>
        <w:t>n</w:t>
      </w:r>
      <w:r w:rsidRPr="00237EE5">
        <w:rPr>
          <w:rFonts w:ascii="Arial" w:hAnsi="Arial" w:cs="Arial"/>
          <w:sz w:val="20"/>
          <w:szCs w:val="20"/>
        </w:rPr>
        <w:t xml:space="preserve"> high correlation with the 17-domain NPCCSS</w:t>
      </w:r>
      <w:r w:rsidR="006365CC">
        <w:rPr>
          <w:rFonts w:ascii="Arial" w:hAnsi="Arial" w:cs="Arial"/>
          <w:sz w:val="20"/>
          <w:szCs w:val="20"/>
        </w:rPr>
        <w:t xml:space="preserve"> </w:t>
      </w:r>
      <w:r w:rsidR="006365CC">
        <w:rPr>
          <w:rFonts w:ascii="Arial" w:hAnsi="Arial" w:cs="Arial"/>
          <w:sz w:val="20"/>
          <w:szCs w:val="20"/>
        </w:rPr>
        <w:lastRenderedPageBreak/>
        <w:t>in previous studies</w:t>
      </w:r>
      <w:r w:rsidRPr="00237EE5">
        <w:rPr>
          <w:rFonts w:ascii="Arial" w:hAnsi="Arial" w:cs="Arial"/>
          <w:sz w:val="20"/>
          <w:szCs w:val="20"/>
        </w:rPr>
        <w:t>, which had similar progression rates to those reported</w:t>
      </w:r>
      <w:r w:rsidR="006365CC">
        <w:rPr>
          <w:rFonts w:ascii="Arial" w:hAnsi="Arial" w:cs="Arial"/>
          <w:sz w:val="20"/>
          <w:szCs w:val="20"/>
        </w:rPr>
        <w:t xml:space="preserve"> here</w:t>
      </w:r>
      <w:r w:rsidRPr="00237EE5">
        <w:rPr>
          <w:rFonts w:ascii="Arial" w:hAnsi="Arial" w:cs="Arial"/>
          <w:sz w:val="20"/>
          <w:szCs w:val="20"/>
        </w:rPr>
        <w:t xml:space="preserve">. </w:t>
      </w:r>
      <w:r w:rsidR="00DB31E9">
        <w:rPr>
          <w:rFonts w:ascii="Arial" w:hAnsi="Arial" w:cs="Arial"/>
          <w:sz w:val="20"/>
          <w:szCs w:val="20"/>
        </w:rPr>
        <w:t xml:space="preserve">Our </w:t>
      </w:r>
      <w:r w:rsidRPr="00237EE5">
        <w:rPr>
          <w:rFonts w:ascii="Arial" w:hAnsi="Arial" w:cs="Arial"/>
          <w:sz w:val="20"/>
          <w:szCs w:val="20"/>
        </w:rPr>
        <w:t xml:space="preserve">findings confirm the 5-domain NPCCSS </w:t>
      </w:r>
      <w:r w:rsidR="006365CC">
        <w:rPr>
          <w:rFonts w:ascii="Arial" w:hAnsi="Arial" w:cs="Arial"/>
          <w:sz w:val="20"/>
          <w:szCs w:val="20"/>
        </w:rPr>
        <w:t>i</w:t>
      </w:r>
      <w:r w:rsidRPr="00237EE5">
        <w:rPr>
          <w:rFonts w:ascii="Arial" w:hAnsi="Arial" w:cs="Arial"/>
          <w:sz w:val="20"/>
          <w:szCs w:val="20"/>
        </w:rPr>
        <w:t>s a suitable</w:t>
      </w:r>
      <w:r w:rsidR="00DB31E9">
        <w:rPr>
          <w:rFonts w:ascii="Arial" w:hAnsi="Arial" w:cs="Arial"/>
          <w:sz w:val="20"/>
          <w:szCs w:val="20"/>
        </w:rPr>
        <w:t xml:space="preserve"> and reliable</w:t>
      </w:r>
      <w:r w:rsidRPr="00237EE5">
        <w:rPr>
          <w:rFonts w:ascii="Arial" w:hAnsi="Arial" w:cs="Arial"/>
          <w:sz w:val="20"/>
          <w:szCs w:val="20"/>
        </w:rPr>
        <w:t xml:space="preserve"> abbreviated outcome measure in NPC</w:t>
      </w:r>
      <w:r w:rsidR="00DB31E9">
        <w:rPr>
          <w:rFonts w:ascii="Arial" w:hAnsi="Arial" w:cs="Arial"/>
          <w:sz w:val="20"/>
          <w:szCs w:val="20"/>
        </w:rPr>
        <w:t xml:space="preserve"> for use </w:t>
      </w:r>
      <w:r w:rsidR="00DB31E9" w:rsidRPr="00237EE5">
        <w:rPr>
          <w:rFonts w:ascii="Arial" w:hAnsi="Arial" w:cs="Arial"/>
          <w:sz w:val="20"/>
          <w:szCs w:val="20"/>
        </w:rPr>
        <w:t>as an endpoint for future studies</w:t>
      </w:r>
      <w:r w:rsidR="006365CC">
        <w:rPr>
          <w:rFonts w:ascii="Arial" w:hAnsi="Arial" w:cs="Arial"/>
          <w:sz w:val="20"/>
          <w:szCs w:val="20"/>
        </w:rPr>
        <w:t>.</w:t>
      </w:r>
    </w:p>
    <w:p w14:paraId="0B2F68AE" w14:textId="77777777" w:rsidR="00E92519" w:rsidRDefault="00E92519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81A7970" w14:textId="3E933D0E" w:rsidR="00E92519" w:rsidRDefault="00DB31E9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addition, </w:t>
      </w:r>
      <w:r w:rsidR="00F94089">
        <w:rPr>
          <w:rFonts w:ascii="Arial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 xml:space="preserve">biomarker results presented here </w:t>
      </w:r>
      <w:r w:rsidR="00E92519" w:rsidRPr="00E92519">
        <w:rPr>
          <w:rFonts w:ascii="Arial" w:hAnsi="Arial" w:cs="Arial"/>
          <w:sz w:val="20"/>
          <w:szCs w:val="20"/>
        </w:rPr>
        <w:t xml:space="preserve">support the use of cholestane-triol as a disease monitoring biomarker and the novel methods of measuring unesterified cholesterol could be applicable to support NPC diagnosis. </w:t>
      </w:r>
      <w:r w:rsidR="00F94089">
        <w:rPr>
          <w:rFonts w:ascii="Arial" w:hAnsi="Arial" w:cs="Arial"/>
          <w:sz w:val="20"/>
          <w:szCs w:val="20"/>
        </w:rPr>
        <w:t>The l</w:t>
      </w:r>
      <w:r w:rsidR="00E92519" w:rsidRPr="00E92519">
        <w:rPr>
          <w:rFonts w:ascii="Arial" w:hAnsi="Arial" w:cs="Arial"/>
          <w:sz w:val="20"/>
          <w:szCs w:val="20"/>
        </w:rPr>
        <w:t>evels of</w:t>
      </w:r>
      <w:r>
        <w:rPr>
          <w:rFonts w:ascii="Arial" w:hAnsi="Arial" w:cs="Arial"/>
          <w:sz w:val="20"/>
          <w:szCs w:val="20"/>
        </w:rPr>
        <w:t xml:space="preserve"> </w:t>
      </w:r>
      <w:r w:rsidR="00E92519" w:rsidRPr="00E92519">
        <w:rPr>
          <w:rFonts w:ascii="Arial" w:hAnsi="Arial" w:cs="Arial"/>
          <w:sz w:val="20"/>
          <w:szCs w:val="20"/>
        </w:rPr>
        <w:t xml:space="preserve">HSP70 in individuals with NPC </w:t>
      </w:r>
      <w:r>
        <w:rPr>
          <w:rFonts w:ascii="Arial" w:hAnsi="Arial" w:cs="Arial"/>
          <w:sz w:val="20"/>
          <w:szCs w:val="20"/>
        </w:rPr>
        <w:t>we</w:t>
      </w:r>
      <w:r w:rsidR="00E92519" w:rsidRPr="00E92519">
        <w:rPr>
          <w:rFonts w:ascii="Arial" w:hAnsi="Arial" w:cs="Arial"/>
          <w:sz w:val="20"/>
          <w:szCs w:val="20"/>
        </w:rPr>
        <w:t>re significantly decreased compared with a cohort of healthy individuals.</w:t>
      </w:r>
      <w:r>
        <w:rPr>
          <w:rFonts w:ascii="Arial" w:hAnsi="Arial" w:cs="Arial"/>
          <w:sz w:val="20"/>
          <w:szCs w:val="20"/>
        </w:rPr>
        <w:t xml:space="preserve"> This finding </w:t>
      </w:r>
      <w:r w:rsidRPr="00237EE5">
        <w:rPr>
          <w:rFonts w:ascii="Arial" w:hAnsi="Arial" w:cs="Arial"/>
          <w:sz w:val="20"/>
          <w:szCs w:val="20"/>
        </w:rPr>
        <w:t>is particularly interesting given the role of HSP70 in ensuring proper NPC1 function</w:t>
      </w:r>
      <w:r>
        <w:rPr>
          <w:rFonts w:ascii="Arial" w:hAnsi="Arial" w:cs="Arial"/>
          <w:sz w:val="20"/>
          <w:szCs w:val="20"/>
        </w:rPr>
        <w:t xml:space="preserve"> </w:t>
      </w:r>
      <w:r w:rsidRPr="00237EE5">
        <w:rPr>
          <w:rFonts w:ascii="Arial" w:hAnsi="Arial" w:cs="Arial"/>
          <w:sz w:val="20"/>
          <w:szCs w:val="20"/>
        </w:rPr>
        <w:t>and the mechanism of action of arimoclomol</w:t>
      </w:r>
      <w:r>
        <w:rPr>
          <w:rFonts w:ascii="Arial" w:hAnsi="Arial" w:cs="Arial"/>
          <w:sz w:val="20"/>
          <w:szCs w:val="20"/>
        </w:rPr>
        <w:t xml:space="preserve">, </w:t>
      </w:r>
      <w:r w:rsidRPr="00237EE5">
        <w:rPr>
          <w:rFonts w:ascii="Arial" w:hAnsi="Arial" w:cs="Arial"/>
          <w:sz w:val="20"/>
          <w:szCs w:val="20"/>
        </w:rPr>
        <w:t xml:space="preserve">an HSP70 amplifier </w:t>
      </w:r>
      <w:r w:rsidR="00F94089">
        <w:rPr>
          <w:rFonts w:ascii="Arial" w:hAnsi="Arial" w:cs="Arial"/>
          <w:sz w:val="20"/>
          <w:szCs w:val="20"/>
        </w:rPr>
        <w:t xml:space="preserve">which is currently </w:t>
      </w:r>
      <w:r w:rsidRPr="00237EE5">
        <w:rPr>
          <w:rFonts w:ascii="Arial" w:hAnsi="Arial" w:cs="Arial"/>
          <w:sz w:val="20"/>
          <w:szCs w:val="20"/>
        </w:rPr>
        <w:t>being evaluated for its efficacy and safety in the CT-ORZY-NPC-002 clinical trial in NPC</w:t>
      </w:r>
      <w:r>
        <w:rPr>
          <w:rFonts w:ascii="Arial" w:hAnsi="Arial" w:cs="Arial"/>
          <w:sz w:val="20"/>
          <w:szCs w:val="20"/>
        </w:rPr>
        <w:t>.</w:t>
      </w:r>
    </w:p>
    <w:p w14:paraId="1CB4F388" w14:textId="77777777" w:rsidR="0089049D" w:rsidRPr="00237EE5" w:rsidRDefault="0089049D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5BC86A5" w14:textId="392A73B8" w:rsidR="00F94089" w:rsidRDefault="00DE66BF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237EE5">
        <w:rPr>
          <w:rFonts w:ascii="Arial" w:hAnsi="Arial" w:cs="Arial"/>
          <w:sz w:val="20"/>
          <w:szCs w:val="20"/>
        </w:rPr>
        <w:t>The analyses were sponsored by</w:t>
      </w:r>
      <w:r w:rsidR="00237EE5">
        <w:rPr>
          <w:rFonts w:ascii="Arial" w:hAnsi="Arial" w:cs="Arial"/>
          <w:sz w:val="20"/>
          <w:szCs w:val="20"/>
        </w:rPr>
        <w:t xml:space="preserve"> Orphazyme A/S</w:t>
      </w:r>
      <w:r w:rsidRPr="00237EE5">
        <w:rPr>
          <w:rFonts w:ascii="Arial" w:hAnsi="Arial" w:cs="Arial"/>
          <w:sz w:val="20"/>
          <w:szCs w:val="20"/>
        </w:rPr>
        <w:t xml:space="preserve"> but</w:t>
      </w:r>
      <w:r w:rsidR="002462D5" w:rsidRPr="00237EE5">
        <w:rPr>
          <w:rFonts w:ascii="Arial" w:hAnsi="Arial" w:cs="Arial"/>
          <w:sz w:val="20"/>
          <w:szCs w:val="20"/>
        </w:rPr>
        <w:t>,</w:t>
      </w:r>
      <w:r w:rsidRPr="00237EE5">
        <w:rPr>
          <w:rFonts w:ascii="Arial" w:hAnsi="Arial" w:cs="Arial"/>
          <w:sz w:val="20"/>
          <w:szCs w:val="20"/>
        </w:rPr>
        <w:t xml:space="preserve"> as corresponding author, I take full responsibility for the data, the analyses and their interpretation, as well as for the conduct of the research. I have had full access to all of the data and have the right to publish any and all data separate and apart from the sponsor. </w:t>
      </w:r>
      <w:r w:rsidR="00E62E76" w:rsidRPr="00237EE5">
        <w:rPr>
          <w:rFonts w:ascii="Arial" w:hAnsi="Arial" w:cs="Arial"/>
          <w:sz w:val="20"/>
          <w:szCs w:val="20"/>
        </w:rPr>
        <w:t xml:space="preserve">Editorial support was provided by Oxford PharmaGenesis Ltd and was funded by </w:t>
      </w:r>
      <w:r w:rsidR="00237EE5">
        <w:rPr>
          <w:rFonts w:ascii="Arial" w:hAnsi="Arial" w:cs="Arial"/>
          <w:sz w:val="20"/>
          <w:szCs w:val="20"/>
        </w:rPr>
        <w:t>Orphazyme A/S</w:t>
      </w:r>
      <w:r w:rsidR="00E62E76" w:rsidRPr="00237EE5">
        <w:rPr>
          <w:rFonts w:ascii="Arial" w:hAnsi="Arial" w:cs="Arial"/>
          <w:sz w:val="20"/>
          <w:szCs w:val="20"/>
        </w:rPr>
        <w:t xml:space="preserve">. </w:t>
      </w:r>
      <w:r w:rsidRPr="00237EE5">
        <w:rPr>
          <w:rFonts w:ascii="Arial" w:hAnsi="Arial" w:cs="Arial"/>
          <w:sz w:val="20"/>
          <w:szCs w:val="20"/>
        </w:rPr>
        <w:t xml:space="preserve">No patients are identified in these analyses and a statement is made in the Methods section to confirm that </w:t>
      </w:r>
      <w:r w:rsidR="00237EE5" w:rsidRPr="00364FBC">
        <w:rPr>
          <w:rFonts w:ascii="Arial" w:hAnsi="Arial" w:cs="Arial"/>
          <w:sz w:val="20"/>
          <w:szCs w:val="20"/>
        </w:rPr>
        <w:t xml:space="preserve">written informed consent was obtained at </w:t>
      </w:r>
      <w:r w:rsidR="00237EE5">
        <w:rPr>
          <w:rFonts w:ascii="Arial" w:hAnsi="Arial" w:cs="Arial"/>
          <w:sz w:val="20"/>
          <w:szCs w:val="20"/>
        </w:rPr>
        <w:t>enrolment</w:t>
      </w:r>
      <w:r w:rsidR="00237EE5" w:rsidRPr="00364FBC">
        <w:rPr>
          <w:rFonts w:ascii="Arial" w:hAnsi="Arial" w:cs="Arial"/>
          <w:sz w:val="20"/>
          <w:szCs w:val="20"/>
        </w:rPr>
        <w:t xml:space="preserve"> from either the individual or their legal guardian</w:t>
      </w:r>
      <w:r w:rsidRPr="00237EE5">
        <w:rPr>
          <w:rFonts w:ascii="Arial" w:hAnsi="Arial" w:cs="Arial"/>
          <w:sz w:val="20"/>
          <w:szCs w:val="20"/>
        </w:rPr>
        <w:t xml:space="preserve">. </w:t>
      </w:r>
      <w:r w:rsidR="00EE49CC" w:rsidRPr="00237EE5">
        <w:rPr>
          <w:rFonts w:ascii="Arial" w:hAnsi="Arial" w:cs="Arial"/>
          <w:sz w:val="20"/>
          <w:szCs w:val="20"/>
        </w:rPr>
        <w:t>I can confirm</w:t>
      </w:r>
      <w:r w:rsidR="00F94089">
        <w:rPr>
          <w:rFonts w:ascii="Arial" w:hAnsi="Arial" w:cs="Arial"/>
          <w:sz w:val="20"/>
          <w:szCs w:val="20"/>
        </w:rPr>
        <w:t xml:space="preserve"> this manuscript</w:t>
      </w:r>
      <w:r w:rsidR="00EE49CC" w:rsidRPr="00237EE5">
        <w:rPr>
          <w:rFonts w:ascii="Arial" w:hAnsi="Arial" w:cs="Arial"/>
          <w:sz w:val="20"/>
          <w:szCs w:val="20"/>
        </w:rPr>
        <w:t xml:space="preserve"> is not under consideration by any other journal. </w:t>
      </w:r>
      <w:r w:rsidR="00237EE5">
        <w:rPr>
          <w:rFonts w:ascii="Arial" w:hAnsi="Arial" w:cs="Arial"/>
          <w:sz w:val="20"/>
          <w:szCs w:val="20"/>
        </w:rPr>
        <w:t xml:space="preserve">All authors have </w:t>
      </w:r>
      <w:r w:rsidR="00F94089">
        <w:rPr>
          <w:rFonts w:ascii="Arial" w:hAnsi="Arial" w:cs="Arial"/>
          <w:sz w:val="20"/>
          <w:szCs w:val="20"/>
        </w:rPr>
        <w:t xml:space="preserve">approved the manuscript for submission and have </w:t>
      </w:r>
      <w:r w:rsidR="00237EE5">
        <w:rPr>
          <w:rFonts w:ascii="Arial" w:hAnsi="Arial" w:cs="Arial"/>
          <w:sz w:val="20"/>
          <w:szCs w:val="20"/>
        </w:rPr>
        <w:t>provided their disclosures</w:t>
      </w:r>
      <w:r w:rsidR="00F94089">
        <w:rPr>
          <w:rFonts w:ascii="Arial" w:hAnsi="Arial" w:cs="Arial"/>
          <w:sz w:val="20"/>
          <w:szCs w:val="20"/>
        </w:rPr>
        <w:t>.</w:t>
      </w:r>
    </w:p>
    <w:p w14:paraId="616BF74E" w14:textId="77777777" w:rsidR="00F94089" w:rsidRDefault="00F94089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5330719E" w14:textId="0DDC9D58" w:rsidR="00EE49CC" w:rsidRPr="00237EE5" w:rsidRDefault="00EE49CC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237EE5">
        <w:rPr>
          <w:rFonts w:ascii="Arial" w:hAnsi="Arial" w:cs="Arial"/>
          <w:sz w:val="20"/>
          <w:szCs w:val="20"/>
        </w:rPr>
        <w:t>My co-author</w:t>
      </w:r>
      <w:r w:rsidR="00237EE5">
        <w:rPr>
          <w:rFonts w:ascii="Arial" w:hAnsi="Arial" w:cs="Arial"/>
          <w:sz w:val="20"/>
          <w:szCs w:val="20"/>
        </w:rPr>
        <w:t>s</w:t>
      </w:r>
      <w:r w:rsidRPr="00237EE5">
        <w:rPr>
          <w:rFonts w:ascii="Arial" w:hAnsi="Arial" w:cs="Arial"/>
          <w:sz w:val="20"/>
          <w:szCs w:val="20"/>
        </w:rPr>
        <w:t xml:space="preserve"> and I hope you will find </w:t>
      </w:r>
      <w:r w:rsidR="003A0849">
        <w:rPr>
          <w:rFonts w:ascii="Arial" w:hAnsi="Arial" w:cs="Arial"/>
          <w:sz w:val="20"/>
          <w:szCs w:val="20"/>
        </w:rPr>
        <w:t>this manuscript</w:t>
      </w:r>
      <w:r w:rsidRPr="00237EE5">
        <w:rPr>
          <w:rFonts w:ascii="Arial" w:hAnsi="Arial" w:cs="Arial"/>
          <w:sz w:val="20"/>
          <w:szCs w:val="20"/>
        </w:rPr>
        <w:t xml:space="preserve"> of interest and look forward to receiving your response.</w:t>
      </w:r>
      <w:r w:rsidR="00C16676" w:rsidRPr="00237EE5">
        <w:rPr>
          <w:rFonts w:ascii="Arial" w:hAnsi="Arial" w:cs="Arial"/>
          <w:sz w:val="20"/>
          <w:szCs w:val="20"/>
        </w:rPr>
        <w:t xml:space="preserve"> Thank you for considering this article.</w:t>
      </w:r>
    </w:p>
    <w:p w14:paraId="04838BC6" w14:textId="77777777" w:rsidR="0089049D" w:rsidRPr="00237EE5" w:rsidRDefault="0089049D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4595E872" w14:textId="77777777" w:rsidR="00F551E3" w:rsidRPr="00237EE5" w:rsidRDefault="00EE49CC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237EE5">
        <w:rPr>
          <w:rFonts w:ascii="Arial" w:hAnsi="Arial" w:cs="Arial"/>
          <w:sz w:val="20"/>
          <w:szCs w:val="20"/>
        </w:rPr>
        <w:t>Yours sincerely,</w:t>
      </w:r>
    </w:p>
    <w:p w14:paraId="23033C20" w14:textId="77777777" w:rsidR="006F3416" w:rsidRPr="00237EE5" w:rsidRDefault="006F3416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4E2661E1" w14:textId="3ACF8C9B" w:rsidR="006F3416" w:rsidRPr="00237EE5" w:rsidRDefault="00F94089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Dr </w:t>
      </w:r>
      <w:r w:rsidR="00237EE5">
        <w:rPr>
          <w:rFonts w:ascii="Arial" w:hAnsi="Arial" w:cs="Arial"/>
          <w:sz w:val="20"/>
          <w:szCs w:val="20"/>
        </w:rPr>
        <w:t>Eugen Mengel</w:t>
      </w:r>
    </w:p>
    <w:p w14:paraId="3185CECE" w14:textId="77777777" w:rsidR="006F3416" w:rsidRPr="00237EE5" w:rsidRDefault="006F3416" w:rsidP="006F341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5C50109" w14:textId="48CBE08E" w:rsidR="00237EE5" w:rsidRDefault="00237EE5" w:rsidP="006F3416">
      <w:pPr>
        <w:spacing w:after="0" w:line="36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SphinCS</w:t>
      </w:r>
      <w:proofErr w:type="spellEnd"/>
      <w:r>
        <w:rPr>
          <w:rFonts w:ascii="Arial" w:hAnsi="Arial" w:cs="Arial"/>
          <w:sz w:val="20"/>
          <w:szCs w:val="20"/>
        </w:rPr>
        <w:t xml:space="preserve"> GmbH, Institute of Clinical Science for LSD, </w:t>
      </w:r>
      <w:proofErr w:type="spellStart"/>
      <w:r>
        <w:rPr>
          <w:rFonts w:ascii="Arial" w:hAnsi="Arial" w:cs="Arial"/>
          <w:sz w:val="20"/>
          <w:szCs w:val="20"/>
        </w:rPr>
        <w:t>Hochheim</w:t>
      </w:r>
      <w:proofErr w:type="spellEnd"/>
      <w:r>
        <w:rPr>
          <w:rFonts w:ascii="Arial" w:hAnsi="Arial" w:cs="Arial"/>
          <w:sz w:val="20"/>
          <w:szCs w:val="20"/>
        </w:rPr>
        <w:t>, Germany</w:t>
      </w:r>
    </w:p>
    <w:sectPr w:rsidR="00237EE5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4FAAC9" w14:textId="77777777" w:rsidR="001264D0" w:rsidRDefault="001264D0" w:rsidP="00EC719A">
      <w:pPr>
        <w:spacing w:after="0" w:line="240" w:lineRule="auto"/>
      </w:pPr>
      <w:r>
        <w:separator/>
      </w:r>
    </w:p>
  </w:endnote>
  <w:endnote w:type="continuationSeparator" w:id="0">
    <w:p w14:paraId="1FB66414" w14:textId="77777777" w:rsidR="001264D0" w:rsidRDefault="001264D0" w:rsidP="00EC7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1207A1" w14:textId="77777777" w:rsidR="001264D0" w:rsidRDefault="001264D0" w:rsidP="00EC719A">
      <w:pPr>
        <w:spacing w:after="0" w:line="240" w:lineRule="auto"/>
      </w:pPr>
      <w:r>
        <w:separator/>
      </w:r>
    </w:p>
  </w:footnote>
  <w:footnote w:type="continuationSeparator" w:id="0">
    <w:p w14:paraId="6DDEB53C" w14:textId="77777777" w:rsidR="001264D0" w:rsidRDefault="001264D0" w:rsidP="00EC71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4DF649" w14:textId="223189E0" w:rsidR="00EC719A" w:rsidRPr="00237EE5" w:rsidRDefault="00237EE5">
    <w:pPr>
      <w:pStyle w:val="Header"/>
      <w:rPr>
        <w:rFonts w:ascii="Arial" w:hAnsi="Arial" w:cs="Arial"/>
        <w:szCs w:val="20"/>
      </w:rPr>
    </w:pPr>
    <w:r w:rsidRPr="00856506">
      <w:rPr>
        <w:rFonts w:ascii="Arial" w:hAnsi="Arial" w:cs="Arial"/>
        <w:szCs w:val="20"/>
        <w:lang w:val="da-DK"/>
      </w:rPr>
      <w:t>NPC-001</w:t>
    </w:r>
    <w:r w:rsidR="00EC719A" w:rsidRPr="00856506">
      <w:rPr>
        <w:rFonts w:ascii="Arial" w:hAnsi="Arial" w:cs="Arial"/>
        <w:szCs w:val="20"/>
        <w:lang w:val="da-DK"/>
      </w:rPr>
      <w:t xml:space="preserve"> manuscript_ </w:t>
    </w:r>
    <w:r w:rsidRPr="00856506">
      <w:rPr>
        <w:rFonts w:ascii="Arial" w:hAnsi="Arial" w:cs="Arial"/>
        <w:szCs w:val="20"/>
        <w:lang w:val="da-DK"/>
      </w:rPr>
      <w:t>Mengel</w:t>
    </w:r>
    <w:r w:rsidR="00EC719A" w:rsidRPr="00856506">
      <w:rPr>
        <w:rFonts w:ascii="Arial" w:hAnsi="Arial" w:cs="Arial"/>
        <w:szCs w:val="20"/>
        <w:lang w:val="da-DK"/>
      </w:rPr>
      <w:t xml:space="preserve"> </w:t>
    </w:r>
    <w:r w:rsidR="00EC719A" w:rsidRPr="00856506">
      <w:rPr>
        <w:rFonts w:ascii="Arial" w:hAnsi="Arial" w:cs="Arial"/>
        <w:i/>
        <w:szCs w:val="20"/>
        <w:lang w:val="da-DK"/>
      </w:rPr>
      <w:t>et al</w:t>
    </w:r>
    <w:r w:rsidR="00EC719A" w:rsidRPr="00856506">
      <w:rPr>
        <w:rFonts w:ascii="Arial" w:hAnsi="Arial" w:cs="Arial"/>
        <w:szCs w:val="20"/>
        <w:lang w:val="da-DK"/>
      </w:rPr>
      <w:t>.</w:t>
    </w:r>
    <w:r w:rsidR="00EC719A" w:rsidRPr="00856506">
      <w:rPr>
        <w:rFonts w:ascii="Arial" w:hAnsi="Arial" w:cs="Arial"/>
        <w:szCs w:val="20"/>
        <w:lang w:val="da-DK"/>
      </w:rPr>
      <w:tab/>
    </w:r>
    <w:r w:rsidR="00EC719A" w:rsidRPr="00856506">
      <w:rPr>
        <w:rFonts w:ascii="Arial" w:hAnsi="Arial" w:cs="Arial"/>
        <w:szCs w:val="20"/>
        <w:lang w:val="da-DK"/>
      </w:rPr>
      <w:tab/>
    </w:r>
    <w:r w:rsidR="00EC719A" w:rsidRPr="00237EE5">
      <w:rPr>
        <w:rFonts w:ascii="Arial" w:hAnsi="Arial" w:cs="Arial"/>
        <w:szCs w:val="20"/>
      </w:rPr>
      <w:t>Covering letter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E15AFA"/>
    <w:multiLevelType w:val="hybridMultilevel"/>
    <w:tmpl w:val="DC86A2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>
      <w:start w:val="1"/>
      <w:numFmt w:val="lowerRoman"/>
      <w:lvlText w:val="%3."/>
      <w:lvlJc w:val="right"/>
      <w:pPr>
        <w:ind w:left="2160" w:hanging="180"/>
      </w:pPr>
    </w:lvl>
    <w:lvl w:ilvl="3" w:tplc="0807000F">
      <w:start w:val="1"/>
      <w:numFmt w:val="decimal"/>
      <w:lvlText w:val="%4."/>
      <w:lvlJc w:val="left"/>
      <w:pPr>
        <w:ind w:left="2880" w:hanging="360"/>
      </w:pPr>
    </w:lvl>
    <w:lvl w:ilvl="4" w:tplc="08070019">
      <w:start w:val="1"/>
      <w:numFmt w:val="lowerLetter"/>
      <w:lvlText w:val="%5."/>
      <w:lvlJc w:val="left"/>
      <w:pPr>
        <w:ind w:left="3600" w:hanging="360"/>
      </w:pPr>
    </w:lvl>
    <w:lvl w:ilvl="5" w:tplc="0807001B">
      <w:start w:val="1"/>
      <w:numFmt w:val="lowerRoman"/>
      <w:lvlText w:val="%6."/>
      <w:lvlJc w:val="right"/>
      <w:pPr>
        <w:ind w:left="4320" w:hanging="180"/>
      </w:pPr>
    </w:lvl>
    <w:lvl w:ilvl="6" w:tplc="0807000F">
      <w:start w:val="1"/>
      <w:numFmt w:val="decimal"/>
      <w:lvlText w:val="%7."/>
      <w:lvlJc w:val="left"/>
      <w:pPr>
        <w:ind w:left="5040" w:hanging="360"/>
      </w:pPr>
    </w:lvl>
    <w:lvl w:ilvl="7" w:tplc="08070019">
      <w:start w:val="1"/>
      <w:numFmt w:val="lowerLetter"/>
      <w:lvlText w:val="%8."/>
      <w:lvlJc w:val="left"/>
      <w:pPr>
        <w:ind w:left="5760" w:hanging="360"/>
      </w:pPr>
    </w:lvl>
    <w:lvl w:ilvl="8" w:tplc="08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08A"/>
    <w:rsid w:val="0001450F"/>
    <w:rsid w:val="00083F18"/>
    <w:rsid w:val="000D4417"/>
    <w:rsid w:val="000E3B71"/>
    <w:rsid w:val="001264D0"/>
    <w:rsid w:val="001D040A"/>
    <w:rsid w:val="00237EE5"/>
    <w:rsid w:val="002462D5"/>
    <w:rsid w:val="002D6B4A"/>
    <w:rsid w:val="003209EF"/>
    <w:rsid w:val="0038568B"/>
    <w:rsid w:val="003A0849"/>
    <w:rsid w:val="004671AC"/>
    <w:rsid w:val="005639C5"/>
    <w:rsid w:val="00603A4E"/>
    <w:rsid w:val="006365CC"/>
    <w:rsid w:val="006F3416"/>
    <w:rsid w:val="00784C44"/>
    <w:rsid w:val="00856506"/>
    <w:rsid w:val="0089049D"/>
    <w:rsid w:val="00957E0C"/>
    <w:rsid w:val="00BB7669"/>
    <w:rsid w:val="00BF208A"/>
    <w:rsid w:val="00C141B5"/>
    <w:rsid w:val="00C16676"/>
    <w:rsid w:val="00C333AC"/>
    <w:rsid w:val="00C35435"/>
    <w:rsid w:val="00CF00E0"/>
    <w:rsid w:val="00DB31E9"/>
    <w:rsid w:val="00DD56F9"/>
    <w:rsid w:val="00DD7360"/>
    <w:rsid w:val="00DE66BF"/>
    <w:rsid w:val="00E62E76"/>
    <w:rsid w:val="00E92519"/>
    <w:rsid w:val="00EC719A"/>
    <w:rsid w:val="00EC72DF"/>
    <w:rsid w:val="00EE49CC"/>
    <w:rsid w:val="00EE4CD2"/>
    <w:rsid w:val="00F15CE3"/>
    <w:rsid w:val="00F45677"/>
    <w:rsid w:val="00F551E3"/>
    <w:rsid w:val="00F9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EDAC8"/>
  <w15:docId w15:val="{1B161D11-0BF5-449C-8929-C1A41EF98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C71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71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71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71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719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7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19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C7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C719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C71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19A"/>
  </w:style>
  <w:style w:type="paragraph" w:styleId="Footer">
    <w:name w:val="footer"/>
    <w:basedOn w:val="Normal"/>
    <w:link w:val="FooterChar"/>
    <w:uiPriority w:val="99"/>
    <w:unhideWhenUsed/>
    <w:rsid w:val="00EC71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19A"/>
  </w:style>
  <w:style w:type="character" w:styleId="IntenseReference">
    <w:name w:val="Intense Reference"/>
    <w:basedOn w:val="DefaultParagraphFont"/>
    <w:uiPriority w:val="32"/>
    <w:qFormat/>
    <w:rsid w:val="00237EE5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072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6D356270D9F034DA85187F709ADD54F" ma:contentTypeVersion="11" ma:contentTypeDescription="Opret et nyt dokument." ma:contentTypeScope="" ma:versionID="61261190274eba1a36ec7a6c81d1d0a6">
  <xsd:schema xmlns:xsd="http://www.w3.org/2001/XMLSchema" xmlns:xs="http://www.w3.org/2001/XMLSchema" xmlns:p="http://schemas.microsoft.com/office/2006/metadata/properties" xmlns:ns3="4360b0ce-74b9-4b54-95cf-1339d6ec5e7b" xmlns:ns4="0e01ca87-0ed8-417a-bcd8-55a5b8ea2ff0" targetNamespace="http://schemas.microsoft.com/office/2006/metadata/properties" ma:root="true" ma:fieldsID="fb50ae2556494dc8c0be5112c05044e6" ns3:_="" ns4:_="">
    <xsd:import namespace="4360b0ce-74b9-4b54-95cf-1339d6ec5e7b"/>
    <xsd:import namespace="0e01ca87-0ed8-417a-bcd8-55a5b8ea2f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60b0ce-74b9-4b54-95cf-1339d6ec5e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01ca87-0ed8-417a-bcd8-55a5b8ea2f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170604-3BF3-41AD-9C37-8904D06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60b0ce-74b9-4b54-95cf-1339d6ec5e7b"/>
    <ds:schemaRef ds:uri="0e01ca87-0ed8-417a-bcd8-55a5b8ea2f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8F5336-338B-42A8-8AF2-DC0E16534845}">
  <ds:schemaRefs>
    <ds:schemaRef ds:uri="http://schemas.microsoft.com/office/2006/documentManagement/types"/>
    <ds:schemaRef ds:uri="http://purl.org/dc/dcmitype/"/>
    <ds:schemaRef ds:uri="0e01ca87-0ed8-417a-bcd8-55a5b8ea2ff0"/>
    <ds:schemaRef ds:uri="4360b0ce-74b9-4b54-95cf-1339d6ec5e7b"/>
    <ds:schemaRef ds:uri="http://schemas.microsoft.com/office/2006/metadata/properties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D35DCC67-A1F8-49B2-9A2D-8D3D04F3527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Griffiths</dc:creator>
  <cp:lastModifiedBy>Adeline Rosenberg</cp:lastModifiedBy>
  <cp:revision>2</cp:revision>
  <dcterms:created xsi:type="dcterms:W3CDTF">2020-06-09T09:53:00Z</dcterms:created>
  <dcterms:modified xsi:type="dcterms:W3CDTF">2020-06-09T09:53:00Z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0x01010096D356270D9F034DA85187F709ADD54F</vt:lpwstr>
  </property>
</Properties>
</file>