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3.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Eleven</w:t>
      </w:r>
      <w:r>
        <w:rPr>
          <w:rFonts w:ascii="Times New Roman" w:hAnsi="Times New Roman" w:cs="Times New Roman"/>
          <w:sz w:val="24"/>
          <w:szCs w:val="24"/>
        </w:rPr>
        <w:t xml:space="preserve"> Genes were analyzed by univariate Cox regression in the four cohorts.</w:t>
      </w:r>
    </w:p>
    <w:tbl>
      <w:tblPr>
        <w:tblStyle w:val="8"/>
        <w:tblW w:w="8306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045"/>
        <w:gridCol w:w="751"/>
        <w:gridCol w:w="1045"/>
        <w:gridCol w:w="751"/>
        <w:gridCol w:w="1045"/>
        <w:gridCol w:w="751"/>
        <w:gridCol w:w="1045"/>
        <w:gridCol w:w="75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Genes</w:t>
            </w:r>
          </w:p>
        </w:tc>
        <w:tc>
          <w:tcPr>
            <w:tcW w:w="179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TCGA_BLCA</w:t>
            </w:r>
          </w:p>
        </w:tc>
        <w:tc>
          <w:tcPr>
            <w:tcW w:w="179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GSE13507</w:t>
            </w:r>
          </w:p>
        </w:tc>
        <w:tc>
          <w:tcPr>
            <w:tcW w:w="179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GS</w:t>
            </w: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E32548</w:t>
            </w:r>
          </w:p>
        </w:tc>
        <w:tc>
          <w:tcPr>
            <w:tcW w:w="179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GSE32894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HR (95% CI)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P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HR (95% CI)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P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HR (95% CI)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P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HR (95% CI)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SERPINE2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1.13(1.05-1.22)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1.81E-03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1.32(1.12-1.54)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6.98E-04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1.53(1.22-1.92)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2.57E-04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1.64(1.3-2.06)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2.48E-05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PRR11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1.23(1.05-1.44)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8.71E-03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1.45(1.09-1.94)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1.16E-02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2.08(1.13-3.81)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1.83E-02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3.62(1.97-6.63)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3.33E-05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FABP6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0.54(0.41-0.72)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2.18E-05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0.84(0.72-0.99)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3.92E-02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0.61(0.45-0.83)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1.66E-03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0.54(0.41-0.72)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2.18E-05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C16orf74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0.35(0.2-0.63)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4.02E-04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0.7(0.54-0.92)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8.75E-03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0.54(0.31-0.96)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3.54E-02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0.35(0.2-0.63)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4.02E-04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DSEL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1.23(1.11-1.37)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1.27E-04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1.59(1.01-2.51)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4.35E-02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5.9(1.83-19.03)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2.98E-03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4.84(1.69-13.87)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3.35E-03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DNM1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1.17(1.05-1.3)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3.33E-03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1.74(1.25-2.42)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1.06E-03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4.54(2-10.29)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2.94E-04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6.11(3.06-12.2)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2.87E-07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COMP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1.07(1.02-1.12)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9.72E-03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1.41(1.14-1.74)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1.47E-03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1.49(1.14-1.96)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3.96E-03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1.72(1.32-2.23)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5.29E-05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TNK1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0.03(0-0.24)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1.17E-03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0.49(0.27-0.89)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1.81E-02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0.06(0-0.83)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3.56E-02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0.03(0-0.24)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1.17E-03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ELOVL4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1.14(1.04-1.23)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2.94E-03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1.63(1.27-2.09)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1.38E-04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1.81(1.21-2.71)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3.79E-03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2.52(1.62-3.91)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4.05E-05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RTKN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1.23(1.07-1.42)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3.74E-03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1.36(1.04-1.78)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2.24E-02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1.92(1.11-3.32)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1.97E-02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2.58(1.46-4.55)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1.04E-03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MAPK12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1.17(1.04-1.32)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9.95E-03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1.89(1.31-2.72)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6.01E-04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2.41(1.07-5.47)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3.46E-02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3.39(1.67-6.89)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bottom"/>
          </w:tcPr>
          <w:p>
            <w:pPr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4"/>
              </w:rPr>
              <w:t>7.53E-04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HR, hazard ratio; CI, confidence interval.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55616C1A-7CCD-451B-A618-F478CEEF379B}"/>
    <w:docVar w:name="KY_MEDREF_VERSION" w:val="3"/>
  </w:docVars>
  <w:rsids>
    <w:rsidRoot w:val="009345DE"/>
    <w:rsid w:val="0022652A"/>
    <w:rsid w:val="009345DE"/>
    <w:rsid w:val="00AB2A0C"/>
    <w:rsid w:val="00C3438D"/>
    <w:rsid w:val="00DE762D"/>
    <w:rsid w:val="00E20B32"/>
    <w:rsid w:val="00F55598"/>
    <w:rsid w:val="472F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table" w:customStyle="1" w:styleId="8">
    <w:name w:val="网格型2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1186</Characters>
  <Lines>9</Lines>
  <Paragraphs>2</Paragraphs>
  <TotalTime>3</TotalTime>
  <ScaleCrop>false</ScaleCrop>
  <LinksUpToDate>false</LinksUpToDate>
  <CharactersWithSpaces>1391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2020-06-10T16:52:00Z</dcterms:created>
  <dc:creator>jiaxing lin</dc:creator>
  <cp:lastModifiedBy>林佳兴</cp:lastModifiedBy>
  <dcterms:modified xsi:type="dcterms:W3CDTF">2020-06-11T07:08:33Z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