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31A" w:rsidRDefault="0048131A"/>
    <w:p w:rsidR="00F27547" w:rsidRPr="00C741E0" w:rsidRDefault="00F27547" w:rsidP="00F27547">
      <w:pPr>
        <w:pStyle w:val="Caption"/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en-GB"/>
        </w:rPr>
      </w:pPr>
      <w:bookmarkStart w:id="0" w:name="_Toc145864410"/>
      <w:r w:rsidRPr="00C741E0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S1</w:t>
      </w:r>
      <w:proofErr w:type="spellEnd"/>
      <w:r w:rsidRPr="00C741E0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: Bivariate analysis of factors associated with occurrence of complications</w:t>
      </w:r>
      <w:r w:rsidRPr="00C741E0">
        <w:rPr>
          <w:rFonts w:ascii="Times New Roman" w:hAnsi="Times New Roman"/>
          <w:b/>
          <w:bCs/>
          <w:i w:val="0"/>
          <w:color w:val="000000" w:themeColor="text1"/>
          <w:sz w:val="24"/>
          <w:szCs w:val="24"/>
          <w:lang w:val="en-GB"/>
        </w:rPr>
        <w:t>.</w:t>
      </w:r>
      <w:bookmarkEnd w:id="0"/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t xml:space="preserve"> more likely to have blood culture positive sepsiss (aOR=red patient who had a d the symptoms was </w:t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</w:p>
    <w:tbl>
      <w:tblPr>
        <w:tblStyle w:val="TableGrid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1"/>
        <w:gridCol w:w="1691"/>
        <w:gridCol w:w="1758"/>
        <w:gridCol w:w="836"/>
        <w:gridCol w:w="1906"/>
        <w:gridCol w:w="894"/>
      </w:tblGrid>
      <w:tr w:rsidR="00F27547" w:rsidRPr="00C07012" w:rsidTr="005F3A4C">
        <w:trPr>
          <w:trHeight w:val="566"/>
        </w:trPr>
        <w:tc>
          <w:tcPr>
            <w:tcW w:w="1075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Characteristic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No complications, N=81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Complications, N= </w:t>
            </w: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01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Bivariate analysis</w:t>
            </w:r>
          </w:p>
        </w:tc>
      </w:tr>
      <w:tr w:rsidR="00F27547" w:rsidRPr="00C07012" w:rsidTr="005F3A4C">
        <w:trPr>
          <w:trHeight w:val="566"/>
        </w:trPr>
        <w:tc>
          <w:tcPr>
            <w:tcW w:w="107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cRR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  <w:tcBorders>
              <w:top w:val="single" w:sz="4" w:space="0" w:color="auto"/>
            </w:tcBorders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Age(years)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</w:tcBorders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  <w:tcBorders>
              <w:top w:val="single" w:sz="4" w:space="0" w:color="auto"/>
            </w:tcBorders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</w:tcBorders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6-17 (Children)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24(23.5)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3(2.9)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18 - 45 (Adults)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50(49.0)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14(13.7)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2.240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0.587-8.542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0.238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46-61(older Adults)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7(6.9)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4(3.9)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4.571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0.821-25.465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0.083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Male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64(62.7)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15(14.7)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Female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17(16.7)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6(5.9)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1.506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0.508-4.467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0.461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Education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None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8(7.8)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2(2.0)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1.437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0.220-9.405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0.705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Primary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30(29.4)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7(6.9)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1.342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0.350-5.140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0.668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Secondary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20(19.6)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8(7.8)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2.300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0.601-8.797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0.224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Tertiary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23(22.5)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4(3.9)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Residence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Rural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58(56.9)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16(15.7)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1.269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0.416-3.867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0.675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Urban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23(22.5)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5(4.9)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Smoking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66(64.7)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17(16.7)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Yes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15(14.7)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4(3.9)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1.035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0.304-3.524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0.956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Hypertension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77(75.5)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18(17.6)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Yes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4(3.9)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3(2.3)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3.208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0.659-15.615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0.149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Diabetes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74(72.5)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18(17.6)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Yes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7(6.9)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3(2.9)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1.762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0.414-7.491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0.443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HIV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Negative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70(68.6)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18(17.6)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Positive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11(10.8)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3(2.9)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1.061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0.267-4.206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0.933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Symptoms(days)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≤ median (3)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49(48.0)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4(3.9)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4+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32(31.4)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17(16.7)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1.312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1.128-1.526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" w:type="pct"/>
            <w:gridSpan w:val="3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Instability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 xml:space="preserve"> (Hypotension and tachycardia)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66(64.7)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16(15.7)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Yes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15(14.7)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5(4.9)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1.375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0.435-4.343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0.587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Alvarado score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5-6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18(17.6)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2(2.0)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7-10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63(61.8)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19(18.6)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1.141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0.972-1.339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0.107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Anemia (</w:t>
            </w:r>
            <w:proofErr w:type="spellStart"/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Hb</w:t>
            </w:r>
            <w:proofErr w:type="spellEnd"/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&lt;8)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58(56.9)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3(2.9)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Yes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23(22.5)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18(17.6)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1.477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1.257-1.735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&lt;0.001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Leucocytosis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14(13.7)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2(2.0)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lastRenderedPageBreak/>
              <w:t>Yes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67(65.7)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19(18.6)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1.985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0.414-9.510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0.391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Pattern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Simple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68(66.7)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8(7.8)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0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Perforated</w:t>
            </w:r>
          </w:p>
        </w:tc>
        <w:tc>
          <w:tcPr>
            <w:tcW w:w="937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13(12.7)</w:t>
            </w:r>
          </w:p>
        </w:tc>
        <w:tc>
          <w:tcPr>
            <w:tcW w:w="974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13(12.7)</w:t>
            </w:r>
          </w:p>
        </w:tc>
        <w:tc>
          <w:tcPr>
            <w:tcW w:w="463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1.484</w:t>
            </w:r>
          </w:p>
        </w:tc>
        <w:tc>
          <w:tcPr>
            <w:tcW w:w="1056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1.210-1.820</w:t>
            </w:r>
          </w:p>
        </w:tc>
        <w:tc>
          <w:tcPr>
            <w:tcW w:w="49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&lt;0.001</w:t>
            </w:r>
          </w:p>
        </w:tc>
      </w:tr>
    </w:tbl>
    <w:p w:rsidR="00F27547" w:rsidRPr="00C07012" w:rsidRDefault="00F27547" w:rsidP="00F27547">
      <w:pPr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C07012">
        <w:rPr>
          <w:rFonts w:ascii="Times New Roman" w:hAnsi="Times New Roman"/>
          <w:i/>
          <w:color w:val="000000" w:themeColor="text1"/>
          <w:sz w:val="24"/>
          <w:szCs w:val="24"/>
        </w:rPr>
        <w:t xml:space="preserve">Ref= Reference category, </w:t>
      </w:r>
      <w:proofErr w:type="spellStart"/>
      <w:r w:rsidRPr="00C07012">
        <w:rPr>
          <w:rFonts w:ascii="Times New Roman" w:hAnsi="Times New Roman"/>
          <w:i/>
          <w:color w:val="000000" w:themeColor="text1"/>
          <w:sz w:val="24"/>
          <w:szCs w:val="24"/>
        </w:rPr>
        <w:t>cRR</w:t>
      </w:r>
      <w:proofErr w:type="spellEnd"/>
      <w:r w:rsidRPr="00C07012">
        <w:rPr>
          <w:rFonts w:ascii="Times New Roman" w:hAnsi="Times New Roman"/>
          <w:i/>
          <w:color w:val="000000" w:themeColor="text1"/>
          <w:sz w:val="24"/>
          <w:szCs w:val="24"/>
        </w:rPr>
        <w:t xml:space="preserve">= Crude risk ratio, CI= Confidence interval, </w:t>
      </w:r>
    </w:p>
    <w:p w:rsidR="00F27547" w:rsidRDefault="00F27547" w:rsidP="00F2754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27547" w:rsidRDefault="00F27547" w:rsidP="00F2754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27547" w:rsidRPr="00C741E0" w:rsidRDefault="00F27547" w:rsidP="00F27547">
      <w:pPr>
        <w:pStyle w:val="Caption"/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en-GB"/>
        </w:rPr>
      </w:pPr>
      <w:bookmarkStart w:id="1" w:name="_Toc145864412"/>
      <w:bookmarkStart w:id="2" w:name="_GoBack"/>
      <w:bookmarkEnd w:id="2"/>
      <w:r w:rsidRPr="00F27547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Table </w:t>
      </w:r>
      <w:proofErr w:type="spellStart"/>
      <w:r w:rsidRPr="00F27547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S2</w:t>
      </w:r>
      <w:proofErr w:type="spellEnd"/>
      <w:r w:rsidRPr="00F27547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: Bivariate </w:t>
      </w:r>
      <w:r w:rsidRPr="00C741E0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analysis of factors associated with prolonged hospital stay</w:t>
      </w:r>
      <w:r w:rsidRPr="00C741E0">
        <w:rPr>
          <w:rFonts w:ascii="Times New Roman" w:hAnsi="Times New Roman"/>
          <w:b/>
          <w:bCs/>
          <w:i w:val="0"/>
          <w:color w:val="000000" w:themeColor="text1"/>
          <w:sz w:val="24"/>
          <w:szCs w:val="24"/>
          <w:lang w:val="en-GB"/>
        </w:rPr>
        <w:t>.</w:t>
      </w:r>
      <w:bookmarkEnd w:id="1"/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t xml:space="preserve"> more likely to have blood culture positive sepsiss (aOR=red patient who had a d the symptoms was </w:t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  <w:r w:rsidRPr="00C741E0">
        <w:rPr>
          <w:rFonts w:ascii="Times New Roman" w:hAnsi="Times New Roman"/>
          <w:b/>
          <w:i w:val="0"/>
          <w:vanish/>
          <w:color w:val="000000" w:themeColor="text1"/>
          <w:sz w:val="24"/>
          <w:szCs w:val="24"/>
        </w:rPr>
        <w:pgNum/>
      </w:r>
    </w:p>
    <w:tbl>
      <w:tblPr>
        <w:tblStyle w:val="TableGrid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6"/>
        <w:gridCol w:w="1399"/>
        <w:gridCol w:w="1621"/>
        <w:gridCol w:w="993"/>
        <w:gridCol w:w="2060"/>
        <w:gridCol w:w="857"/>
      </w:tblGrid>
      <w:tr w:rsidR="00F27547" w:rsidRPr="00C07012" w:rsidTr="005F3A4C">
        <w:trPr>
          <w:trHeight w:val="566"/>
        </w:trPr>
        <w:tc>
          <w:tcPr>
            <w:tcW w:w="116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Characteristic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LOS ≤Medina (3), N=59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LOS&gt;Medina (3), N= </w:t>
            </w: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16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Bivariate analysis</w:t>
            </w:r>
          </w:p>
        </w:tc>
      </w:tr>
      <w:tr w:rsidR="00F27547" w:rsidRPr="00C07012" w:rsidTr="005F3A4C">
        <w:trPr>
          <w:trHeight w:val="566"/>
        </w:trPr>
        <w:tc>
          <w:tcPr>
            <w:tcW w:w="116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cRR</w:t>
            </w:r>
            <w:proofErr w:type="spellEnd"/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  <w:tcBorders>
              <w:top w:val="single" w:sz="4" w:space="0" w:color="auto"/>
            </w:tcBorders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Age (years)</w:t>
            </w:r>
          </w:p>
        </w:tc>
        <w:tc>
          <w:tcPr>
            <w:tcW w:w="775" w:type="pct"/>
            <w:tcBorders>
              <w:top w:val="single" w:sz="4" w:space="0" w:color="auto"/>
            </w:tcBorders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</w:tcBorders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  <w:tcBorders>
              <w:top w:val="single" w:sz="4" w:space="0" w:color="auto"/>
            </w:tcBorders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</w:tcBorders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6-17 (Children)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17(16.7)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10(9.8)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18 - 45 (Adults)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37(36.3)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27(26.5)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1.241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0.492-3.129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0.648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46-61(older Adults)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5(4.9)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6(5.9)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2.040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0.493-8.446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0.325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Male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43(42.2)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36(35.3)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1.914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0.709-5.163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0.200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Female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16(15.7)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7(6.9)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Education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None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6(5.9)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4(3.9)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0.533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0.122-2.332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0.404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Primary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27(26.5)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10(9.8)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0.296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0.104-1.847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0.223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Secondary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14(13.7)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14(13.7)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0.800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0.277-2.311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0.680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Tertiary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12(11.8)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15(14.7)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Residence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Rural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40(39.2)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34(33.3)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1.794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0.718-4.482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0.211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Urban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19(18.6)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9(8.8)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Smoking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50(49.0)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33(32.4)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Yes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9(8.8)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10(9.8)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1.684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0.618-4.586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0.308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Hypertension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57(55.9)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38(37.3)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Yes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2(2.0)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5(4.9)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3.750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0.692-20.332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0.125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Diabetes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56(54.9)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36(35.3)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Yes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3(2.9)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7(6.9)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3.630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tabs>
                <w:tab w:val="left" w:pos="945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0.881-14.954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0.074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HIV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Negative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55(53.9)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33(32.4)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Positive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4(3.9)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10(9.8)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4.167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1.209-14.359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0.024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Symptoms(days)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≤ median (3)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38(37.3)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15(14.7)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4+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21(20.6)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28(27.5)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3.378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1.483-7.692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0.004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" w:type="pct"/>
            <w:gridSpan w:val="3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Instability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 xml:space="preserve"> (Hypotension and tachycardia)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51(50.0)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31(30.4)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Yes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8(7.8)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12(11.8)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2.468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0.908-6.706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0.077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Alvarado score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5-6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11(10.8)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9(8.8)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7-10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48(47.1)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34(33.3)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0.866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0.323-2.317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0.774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 xml:space="preserve">Anemia 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35(34.3)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26(25.5)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Yes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24(23.5)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17(16.7)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0.954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0.428-2.127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0.907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0701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Leukocytosis</w:t>
            </w:r>
            <w:proofErr w:type="spellEnd"/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10(9.8)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6(5.9)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Yes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49(48.0)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37(36.3)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1.259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0.420-3.775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0.682</w:t>
            </w: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Pattern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Simple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50(49.0)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26(25.5)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Ref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7547" w:rsidRPr="00C07012" w:rsidTr="005F3A4C">
        <w:trPr>
          <w:trHeight w:hRule="exact" w:val="288"/>
        </w:trPr>
        <w:tc>
          <w:tcPr>
            <w:tcW w:w="116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Perforated</w:t>
            </w:r>
          </w:p>
        </w:tc>
        <w:tc>
          <w:tcPr>
            <w:tcW w:w="775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9(8.8)</w:t>
            </w:r>
          </w:p>
        </w:tc>
        <w:tc>
          <w:tcPr>
            <w:tcW w:w="898" w:type="pct"/>
          </w:tcPr>
          <w:p w:rsidR="00F27547" w:rsidRPr="00C07012" w:rsidRDefault="00F27547" w:rsidP="005F3A4C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17(16.7)</w:t>
            </w:r>
          </w:p>
        </w:tc>
        <w:tc>
          <w:tcPr>
            <w:tcW w:w="550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3.632</w:t>
            </w:r>
          </w:p>
        </w:tc>
        <w:tc>
          <w:tcPr>
            <w:tcW w:w="1141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07012">
              <w:rPr>
                <w:rFonts w:ascii="Times New Roman" w:eastAsia="Times New Roman" w:hAnsi="Times New Roman"/>
                <w:color w:val="000000" w:themeColor="text1"/>
                <w:sz w:val="24"/>
              </w:rPr>
              <w:t>1.424-9.268</w:t>
            </w:r>
          </w:p>
        </w:tc>
        <w:tc>
          <w:tcPr>
            <w:tcW w:w="475" w:type="pct"/>
          </w:tcPr>
          <w:p w:rsidR="00F27547" w:rsidRPr="00C07012" w:rsidRDefault="00F27547" w:rsidP="005F3A4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701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0.007</w:t>
            </w:r>
          </w:p>
        </w:tc>
      </w:tr>
    </w:tbl>
    <w:p w:rsidR="00F27547" w:rsidRPr="00F27547" w:rsidRDefault="00F27547" w:rsidP="00F2754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C07012">
        <w:rPr>
          <w:rFonts w:ascii="Times New Roman" w:hAnsi="Times New Roman"/>
          <w:i/>
          <w:color w:val="000000" w:themeColor="text1"/>
          <w:sz w:val="24"/>
          <w:szCs w:val="24"/>
        </w:rPr>
        <w:t xml:space="preserve">Ref= Reference category, </w:t>
      </w:r>
      <w:proofErr w:type="spellStart"/>
      <w:r w:rsidRPr="00C07012">
        <w:rPr>
          <w:rFonts w:ascii="Times New Roman" w:hAnsi="Times New Roman"/>
          <w:i/>
          <w:color w:val="000000" w:themeColor="text1"/>
          <w:sz w:val="24"/>
          <w:szCs w:val="24"/>
        </w:rPr>
        <w:t>cRR</w:t>
      </w:r>
      <w:proofErr w:type="spellEnd"/>
      <w:r w:rsidRPr="00C07012">
        <w:rPr>
          <w:rFonts w:ascii="Times New Roman" w:hAnsi="Times New Roman"/>
          <w:i/>
          <w:color w:val="000000" w:themeColor="text1"/>
          <w:sz w:val="24"/>
          <w:szCs w:val="24"/>
        </w:rPr>
        <w:t>= Crude risk ratio, CI= Confidence interva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>l, LOS=Length of hospital stay.</w:t>
      </w:r>
    </w:p>
    <w:sectPr w:rsidR="00F27547" w:rsidRPr="00F2754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47"/>
    <w:rsid w:val="0048131A"/>
    <w:rsid w:val="00F2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4B8580-F152-4882-A06B-9E94319C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54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7">
    <w:name w:val="Table Grid7"/>
    <w:basedOn w:val="TableNormal"/>
    <w:next w:val="TableGrid"/>
    <w:uiPriority w:val="39"/>
    <w:rsid w:val="00F2754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F2754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27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2023-10-30T05:53:00Z</dcterms:created>
  <dcterms:modified xsi:type="dcterms:W3CDTF">2023-10-30T05:55:00Z</dcterms:modified>
</cp:coreProperties>
</file>