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98EACC" w14:textId="77777777" w:rsidR="008D7B32" w:rsidRDefault="008D7B32" w:rsidP="008D7B32">
      <w:pPr>
        <w:pageBreakBefore/>
        <w:tabs>
          <w:tab w:val="left" w:pos="1365"/>
        </w:tabs>
        <w:spacing w:line="360" w:lineRule="auto"/>
        <w:jc w:val="left"/>
      </w:pPr>
      <w:r>
        <w:rPr>
          <w:noProof/>
        </w:rPr>
        <w:drawing>
          <wp:inline distT="0" distB="0" distL="0" distR="0" wp14:anchorId="325B1106" wp14:editId="0F6CE93E">
            <wp:extent cx="5274310" cy="4215765"/>
            <wp:effectExtent l="0" t="0" r="2540" b="0"/>
            <wp:docPr id="73319405" name="图片 10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319405" name="图片 10" descr="图示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215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47B5C" w14:textId="77777777" w:rsidR="008D7B32" w:rsidRDefault="008D7B32" w:rsidP="008D7B3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F553A">
        <w:rPr>
          <w:rFonts w:ascii="Times New Roman" w:hAnsi="Times New Roman"/>
          <w:b/>
          <w:bCs/>
          <w:color w:val="000000" w:themeColor="text1"/>
          <w:sz w:val="24"/>
          <w:szCs w:val="24"/>
        </w:rPr>
        <w:t>Extended Data Fig.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1</w:t>
      </w:r>
      <w:r w:rsidRPr="00DF553A">
        <w:rPr>
          <w:rFonts w:ascii="Times New Roman" w:hAnsi="Times New Roman"/>
          <w:b/>
          <w:bCs/>
          <w:color w:val="000000" w:themeColor="text1"/>
          <w:sz w:val="24"/>
          <w:szCs w:val="24"/>
        </w:rPr>
        <w:t>｜</w:t>
      </w:r>
      <w:r w:rsidRPr="008D00D8">
        <w:rPr>
          <w:rFonts w:ascii="Times New Roman" w:hAnsi="Times New Roman"/>
          <w:b/>
          <w:bCs/>
          <w:color w:val="000000" w:themeColor="text1"/>
          <w:sz w:val="24"/>
          <w:szCs w:val="24"/>
        </w:rPr>
        <w:t>Schematic procedures for the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elastic encapsulation of the high-resolution</w:t>
      </w:r>
      <w:r w:rsidRPr="008D00D8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RE</w:t>
      </w:r>
      <w:r>
        <w:rPr>
          <w:rFonts w:ascii="Times New Roman" w:hAnsi="Times New Roman" w:hint="eastAsia"/>
          <w:b/>
          <w:bCs/>
          <w:color w:val="000000" w:themeColor="text1"/>
          <w:sz w:val="24"/>
          <w:szCs w:val="24"/>
        </w:rPr>
        <w:t xml:space="preserve"> </w:t>
      </w:r>
      <w:r w:rsidRPr="008D00D8">
        <w:rPr>
          <w:rFonts w:ascii="Times New Roman" w:hAnsi="Times New Roman"/>
          <w:b/>
          <w:bCs/>
          <w:color w:val="000000" w:themeColor="text1"/>
          <w:sz w:val="24"/>
          <w:szCs w:val="24"/>
        </w:rPr>
        <w:t>patch.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9F03F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Fabrication of two-layer SU-8 photoresist pattern and PDMS grooves by pouring the</w:t>
      </w:r>
      <w:r w:rsidRPr="00766DA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uncurved PDMS (10:1)</w:t>
      </w:r>
      <w:r w:rsidRPr="009F03F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9F03F4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 xml:space="preserve">Peeling off the PDMS mold and turning it upside down. </w:t>
      </w:r>
      <w:r w:rsidRPr="001D4AFA">
        <w:rPr>
          <w:rFonts w:ascii="Times New Roman" w:hAnsi="Times New Roman" w:cs="Times New Roman"/>
          <w:b/>
          <w:bCs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, Filling the PDMS mold</w:t>
      </w:r>
      <w:r w:rsidRPr="00452D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with the LM ink. </w:t>
      </w:r>
      <w:r w:rsidRPr="001D4AFA">
        <w:rPr>
          <w:rFonts w:ascii="Times New Roman" w:hAnsi="Times New Roman" w:cs="Times New Roman"/>
          <w:b/>
          <w:bCs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 xml:space="preserve">, Using the tape to remove the extra LM ink and repeat the operation until the pattern is clean and complete. </w:t>
      </w:r>
      <w:r w:rsidRPr="001D4AFA">
        <w:rPr>
          <w:rFonts w:ascii="Times New Roman" w:hAnsi="Times New Roman" w:cs="Times New Roman" w:hint="eastAsia"/>
          <w:b/>
          <w:bCs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 xml:space="preserve">, Drying the LM pattern. </w:t>
      </w:r>
      <w:r w:rsidRPr="001D4AFA"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 Pouring the TPU solution (</w:t>
      </w:r>
      <w:r w:rsidRPr="00B72905">
        <w:rPr>
          <w:rFonts w:ascii="Times New Roman" w:hAnsi="Times New Roman" w:cs="Times New Roman"/>
          <w:sz w:val="24"/>
          <w:szCs w:val="24"/>
        </w:rPr>
        <w:t>1.5 wt%</w:t>
      </w:r>
      <w:r>
        <w:rPr>
          <w:rFonts w:ascii="Times New Roman" w:hAnsi="Times New Roman" w:cs="Times New Roman"/>
          <w:sz w:val="24"/>
          <w:szCs w:val="24"/>
        </w:rPr>
        <w:t xml:space="preserve"> in</w:t>
      </w:r>
      <w:r w:rsidRPr="00A7401C">
        <w:rPr>
          <w:rFonts w:ascii="Times New Roman" w:hAnsi="Times New Roman" w:cs="Times New Roman"/>
          <w:sz w:val="24"/>
          <w:szCs w:val="24"/>
        </w:rPr>
        <w:t xml:space="preserve"> N,N-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A7401C">
        <w:rPr>
          <w:rFonts w:ascii="Times New Roman" w:hAnsi="Times New Roman" w:cs="Times New Roman"/>
          <w:sz w:val="24"/>
          <w:szCs w:val="24"/>
        </w:rPr>
        <w:t>imethylformamide, DMF</w:t>
      </w:r>
      <w:r>
        <w:rPr>
          <w:rFonts w:ascii="Times New Roman" w:hAnsi="Times New Roman" w:cs="Times New Roman"/>
          <w:sz w:val="24"/>
          <w:szCs w:val="24"/>
        </w:rPr>
        <w:t>, 20 m</w:t>
      </w:r>
      <w:r>
        <w:rPr>
          <w:rFonts w:ascii="Times New Roman" w:hAnsi="Times New Roman" w:cs="Times New Roman" w:hint="eastAsia"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) and drying it at 60 </w:t>
      </w:r>
      <w:r w:rsidRPr="00B4134F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C. </w:t>
      </w:r>
      <w:r w:rsidRPr="001D4AFA"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 xml:space="preserve">, Peeling off the TPU-LM composite circuit and the TPU membrane (MPC membrane). </w:t>
      </w:r>
      <w:r w:rsidRPr="001D4AFA">
        <w:rPr>
          <w:rFonts w:ascii="Times New Roman" w:hAnsi="Times New Roman" w:cs="Times New Roman"/>
          <w:b/>
          <w:bCs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 xml:space="preserve">, Turning the membrane upside down on the silicon substrate </w:t>
      </w:r>
      <w:r>
        <w:rPr>
          <w:rFonts w:ascii="Times New Roman" w:hAnsi="Times New Roman" w:cs="Times New Roman" w:hint="eastAsia"/>
          <w:sz w:val="24"/>
          <w:szCs w:val="24"/>
        </w:rPr>
        <w:t>cove</w:t>
      </w:r>
      <w:r>
        <w:rPr>
          <w:rFonts w:ascii="Times New Roman" w:hAnsi="Times New Roman" w:cs="Times New Roman"/>
          <w:sz w:val="24"/>
          <w:szCs w:val="24"/>
        </w:rPr>
        <w:t xml:space="preserve">red with a ~100 </w:t>
      </w:r>
      <w:r w:rsidRPr="0074185D">
        <w:rPr>
          <w:rFonts w:ascii="Symbol" w:hAnsi="Symbol" w:cs="Times New Roman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m PDMS </w:t>
      </w:r>
      <w:r>
        <w:rPr>
          <w:rFonts w:ascii="Times New Roman" w:hAnsi="Times New Roman" w:cs="Times New Roman" w:hint="eastAsia"/>
          <w:sz w:val="24"/>
          <w:szCs w:val="24"/>
        </w:rPr>
        <w:t>layer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D4AFA"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, Spin-coating the uncured PDMS for 1 minute at 1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600 rpm. </w:t>
      </w:r>
      <w:r w:rsidRPr="001D4AFA"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, S</w:t>
      </w:r>
      <w:r w:rsidRPr="00E51D72">
        <w:rPr>
          <w:rFonts w:ascii="Times New Roman" w:hAnsi="Times New Roman" w:cs="Times New Roman"/>
          <w:sz w:val="24"/>
          <w:szCs w:val="24"/>
        </w:rPr>
        <w:t xml:space="preserve">olidifying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E51D72">
        <w:rPr>
          <w:rFonts w:ascii="Times New Roman" w:hAnsi="Times New Roman" w:cs="Times New Roman"/>
          <w:sz w:val="24"/>
          <w:szCs w:val="24"/>
        </w:rPr>
        <w:t>PDMS</w:t>
      </w:r>
      <w:r>
        <w:rPr>
          <w:rFonts w:ascii="Times New Roman" w:hAnsi="Times New Roman" w:cs="Times New Roman"/>
          <w:sz w:val="24"/>
          <w:szCs w:val="24"/>
        </w:rPr>
        <w:t xml:space="preserve"> encapsulation layer at 140 </w:t>
      </w:r>
      <w:r w:rsidRPr="007E7330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 w:hint="eastAsia"/>
          <w:sz w:val="24"/>
          <w:szCs w:val="24"/>
        </w:rPr>
        <w:t xml:space="preserve"> for 1 min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3E273A">
        <w:rPr>
          <w:rFonts w:ascii="Times New Roman" w:hAnsi="Times New Roman" w:cs="Times New Roman"/>
          <w:b/>
          <w:bCs/>
          <w:sz w:val="24"/>
          <w:szCs w:val="24"/>
        </w:rPr>
        <w:t>k</w:t>
      </w:r>
      <w:r>
        <w:rPr>
          <w:rFonts w:ascii="Times New Roman" w:hAnsi="Times New Roman" w:cs="Times New Roman"/>
          <w:sz w:val="24"/>
          <w:szCs w:val="24"/>
        </w:rPr>
        <w:t xml:space="preserve">, Rubbing off the raised LM electrodes until there is no extra LM leakage and hot-pressing it with the </w:t>
      </w:r>
      <w:r w:rsidRPr="000A73C8">
        <w:rPr>
          <w:rFonts w:ascii="Times New Roman" w:hAnsi="Times New Roman" w:cs="Times New Roman"/>
          <w:sz w:val="24"/>
          <w:szCs w:val="24"/>
        </w:rPr>
        <w:t>flexible printed circuit (FPC)</w:t>
      </w:r>
      <w:r>
        <w:rPr>
          <w:rFonts w:ascii="Times New Roman" w:hAnsi="Times New Roman" w:cs="Times New Roman"/>
          <w:sz w:val="24"/>
          <w:szCs w:val="24"/>
        </w:rPr>
        <w:t xml:space="preserve"> and a</w:t>
      </w:r>
      <w:r w:rsidRPr="00037015">
        <w:rPr>
          <w:rFonts w:ascii="Times New Roman" w:hAnsi="Times New Roman" w:cs="Times New Roman"/>
          <w:sz w:val="24"/>
          <w:szCs w:val="24"/>
        </w:rPr>
        <w:t>nisotropic conductive film</w:t>
      </w:r>
      <w:r>
        <w:rPr>
          <w:rFonts w:ascii="Times New Roman" w:hAnsi="Times New Roman" w:cs="Times New Roman"/>
          <w:sz w:val="24"/>
          <w:szCs w:val="24"/>
        </w:rPr>
        <w:t xml:space="preserve"> (ACF) at 160 </w:t>
      </w:r>
      <w:r w:rsidRPr="00172203">
        <w:rPr>
          <w:rFonts w:ascii="Times New Roman" w:hAnsi="Times New Roman" w:cs="Times New Roman"/>
          <w:sz w:val="24"/>
          <w:szCs w:val="24"/>
          <w:vertAlign w:val="superscript"/>
        </w:rPr>
        <w:t>o</w:t>
      </w:r>
      <w:r>
        <w:rPr>
          <w:rFonts w:ascii="Times New Roman" w:hAnsi="Times New Roman" w:cs="Times New Roman"/>
          <w:sz w:val="24"/>
          <w:szCs w:val="24"/>
        </w:rPr>
        <w:t>C (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minutes) for the external connection. FPC</w:t>
      </w:r>
      <w:r w:rsidRPr="000A73C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serves as the external connection part. </w:t>
      </w:r>
      <w:r w:rsidRPr="00037015">
        <w:rPr>
          <w:rFonts w:ascii="Times New Roman" w:hAnsi="Times New Roman" w:cs="Times New Roman"/>
          <w:sz w:val="24"/>
          <w:szCs w:val="24"/>
        </w:rPr>
        <w:t xml:space="preserve">ACF </w:t>
      </w:r>
      <w:r>
        <w:rPr>
          <w:rFonts w:ascii="Times New Roman" w:hAnsi="Times New Roman" w:cs="Times New Roman"/>
          <w:sz w:val="24"/>
          <w:szCs w:val="24"/>
        </w:rPr>
        <w:t>can</w:t>
      </w:r>
      <w:r w:rsidRPr="00037015">
        <w:rPr>
          <w:rFonts w:ascii="Times New Roman" w:hAnsi="Times New Roman" w:cs="Times New Roman"/>
          <w:sz w:val="24"/>
          <w:szCs w:val="24"/>
        </w:rPr>
        <w:t xml:space="preserve"> improve the adhesion between FPC and TPU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Pr="001D4AFA">
        <w:rPr>
          <w:rFonts w:ascii="Times New Roman" w:hAnsi="Times New Roman" w:cs="Times New Roman"/>
          <w:b/>
          <w:bCs/>
          <w:sz w:val="24"/>
          <w:szCs w:val="24"/>
        </w:rPr>
        <w:t>l</w:t>
      </w:r>
      <w:r>
        <w:rPr>
          <w:rFonts w:ascii="Times New Roman" w:hAnsi="Times New Roman" w:cs="Times New Roman"/>
          <w:sz w:val="24"/>
          <w:szCs w:val="24"/>
        </w:rPr>
        <w:t xml:space="preserve">, Electrodepositing the PEDOT: PSS layer on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the exposed electrodes. 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BAD5DF4" w14:textId="77777777" w:rsidR="008D7B32" w:rsidRDefault="008D7B32" w:rsidP="008D7B32">
      <w:pPr>
        <w:tabs>
          <w:tab w:val="left" w:pos="1365"/>
        </w:tabs>
        <w:spacing w:line="360" w:lineRule="auto"/>
        <w:ind w:left="420" w:hangingChars="200" w:hanging="420"/>
      </w:pPr>
      <w:r>
        <w:rPr>
          <w:noProof/>
        </w:rPr>
        <w:lastRenderedPageBreak/>
        <w:drawing>
          <wp:inline distT="0" distB="0" distL="0" distR="0" wp14:anchorId="6BE1DE46" wp14:editId="022CE57F">
            <wp:extent cx="5274310" cy="2672080"/>
            <wp:effectExtent l="0" t="0" r="2540" b="0"/>
            <wp:docPr id="570886272" name="图片 11" descr="PowerPoint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886272" name="图片 11" descr="PowerPoint&#10;&#10;低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72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FA11D6" w14:textId="77777777" w:rsidR="008D7B32" w:rsidRDefault="008D7B32" w:rsidP="008D7B3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bookmarkStart w:id="0" w:name="_Hlk130844065"/>
      <w:r w:rsidRPr="009F03F4"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9F03F4">
        <w:rPr>
          <w:rFonts w:ascii="Times New Roman" w:hAnsi="Times New Roman" w:cs="Times New Roman"/>
          <w:b/>
          <w:bCs/>
          <w:sz w:val="24"/>
          <w:szCs w:val="24"/>
        </w:rPr>
        <w:t>｜</w:t>
      </w:r>
      <w:bookmarkEnd w:id="0"/>
      <w:r w:rsidRPr="00DE4C3C">
        <w:rPr>
          <w:rFonts w:ascii="Times New Roman" w:hAnsi="Times New Roman" w:cs="Times New Roman"/>
          <w:b/>
          <w:bCs/>
          <w:sz w:val="24"/>
          <w:szCs w:val="24"/>
        </w:rPr>
        <w:t xml:space="preserve">The robust wear resistance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and stability </w:t>
      </w:r>
      <w:r w:rsidRPr="00DE4C3C">
        <w:rPr>
          <w:rFonts w:ascii="Times New Roman" w:hAnsi="Times New Roman" w:cs="Times New Roman"/>
          <w:b/>
          <w:bCs/>
          <w:sz w:val="24"/>
          <w:szCs w:val="24"/>
        </w:rPr>
        <w:t>of the RE cardiac patch.</w:t>
      </w:r>
      <w:r w:rsidRPr="00DE4C3C">
        <w:rPr>
          <w:rFonts w:ascii="Times New Roman" w:hAnsi="Times New Roman" w:cs="Times New Roman"/>
          <w:sz w:val="24"/>
          <w:szCs w:val="24"/>
        </w:rPr>
        <w:t xml:space="preserve"> </w:t>
      </w:r>
      <w:r w:rsidRPr="00DE4C3C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DE4C3C">
        <w:rPr>
          <w:rFonts w:ascii="Times New Roman" w:hAnsi="Times New Roman" w:cs="Times New Roman"/>
          <w:sz w:val="24"/>
          <w:szCs w:val="24"/>
        </w:rPr>
        <w:t xml:space="preserve">, Top: schematic illustrations for the encapsulated 3D raised electrodes rubbed by a finger. Bottom: the side views of the process. </w:t>
      </w:r>
      <w:r w:rsidRPr="00DE4C3C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DE4C3C">
        <w:rPr>
          <w:rFonts w:ascii="Times New Roman" w:hAnsi="Times New Roman" w:cs="Times New Roman"/>
          <w:sz w:val="24"/>
          <w:szCs w:val="24"/>
        </w:rPr>
        <w:t>, The schematic side view of the electrodes with electrodeposited PEDOT:PSS</w:t>
      </w:r>
      <w:r>
        <w:rPr>
          <w:rFonts w:ascii="Times New Roman" w:hAnsi="Times New Roman" w:cs="Times New Roman"/>
          <w:sz w:val="24"/>
          <w:szCs w:val="24"/>
        </w:rPr>
        <w:t xml:space="preserve"> layer</w:t>
      </w:r>
      <w:r w:rsidRPr="00DE4C3C">
        <w:rPr>
          <w:rFonts w:ascii="Times New Roman" w:hAnsi="Times New Roman" w:cs="Times New Roman"/>
          <w:sz w:val="24"/>
          <w:szCs w:val="24"/>
        </w:rPr>
        <w:t xml:space="preserve">. </w:t>
      </w:r>
      <w:r w:rsidRPr="00DE4C3C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DE4C3C">
        <w:rPr>
          <w:rFonts w:ascii="Times New Roman" w:hAnsi="Times New Roman" w:cs="Times New Roman"/>
          <w:sz w:val="24"/>
          <w:szCs w:val="24"/>
        </w:rPr>
        <w:t>, The wear resistance of cardiac patch rubbed by a finger. The images were recorded by a camera (top) and an optical microscope (bottom).</w:t>
      </w:r>
      <w:r w:rsidRPr="00DE4C3C">
        <w:rPr>
          <w:rFonts w:ascii="Times New Roman" w:hAnsi="Times New Roman" w:cs="Times New Roman"/>
          <w:b/>
          <w:bCs/>
          <w:sz w:val="24"/>
          <w:szCs w:val="24"/>
        </w:rPr>
        <w:t xml:space="preserve"> d</w:t>
      </w:r>
      <w:r w:rsidRPr="00DE4C3C">
        <w:rPr>
          <w:rFonts w:ascii="Times New Roman" w:hAnsi="Times New Roman" w:cs="Times New Roman"/>
          <w:sz w:val="24"/>
          <w:szCs w:val="24"/>
        </w:rPr>
        <w:t xml:space="preserve">, Magnified optical views of the raised electrode array after rubbing. </w:t>
      </w:r>
      <w:r w:rsidRPr="00DE4C3C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DE4C3C">
        <w:rPr>
          <w:rFonts w:ascii="Times New Roman" w:hAnsi="Times New Roman" w:cs="Times New Roman"/>
          <w:sz w:val="24"/>
          <w:szCs w:val="24"/>
        </w:rPr>
        <w:t xml:space="preserve">, Impedance changes at 1 kHz frequency of the electrodes in phosphate-buffered saline (PBS) before and after rubbing (100 times). Data are presented as mean ± s.e.m. </w:t>
      </w:r>
      <w:r w:rsidRPr="00EC3A0A">
        <w:rPr>
          <w:rFonts w:ascii="Times New Roman" w:hAnsi="Times New Roman" w:cs="Times New Roman"/>
          <w:sz w:val="24"/>
          <w:szCs w:val="24"/>
        </w:rPr>
        <w:t>One-way ANOVA and Tukey’s multiple comparison test determine statistical significance and P values. NS, not significant.</w:t>
      </w: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88B216B" w14:textId="77777777" w:rsidR="008D7B32" w:rsidRDefault="008D7B32" w:rsidP="008D7B32">
      <w:pPr>
        <w:pStyle w:val="Tableofcontents"/>
        <w:spacing w:line="360" w:lineRule="auto"/>
      </w:pPr>
      <w:r>
        <w:rPr>
          <w:noProof/>
        </w:rPr>
        <w:lastRenderedPageBreak/>
        <w:drawing>
          <wp:inline distT="0" distB="0" distL="0" distR="0" wp14:anchorId="0328D5AE" wp14:editId="08FD8D93">
            <wp:extent cx="5274310" cy="4466590"/>
            <wp:effectExtent l="0" t="0" r="2540" b="0"/>
            <wp:docPr id="1429911962" name="图片 12" descr="图片包含 日程表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9911962" name="图片 12" descr="图片包含 日程表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66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E0E8B" w14:textId="77777777" w:rsidR="008D7B32" w:rsidRDefault="008D7B32" w:rsidP="008D7B32">
      <w:pPr>
        <w:pStyle w:val="Tableofcontents"/>
        <w:spacing w:line="360" w:lineRule="auto"/>
        <w:rPr>
          <w:b/>
        </w:rPr>
      </w:pPr>
      <w:r w:rsidRPr="009F03F4">
        <w:rPr>
          <w:b/>
          <w:bCs/>
        </w:rPr>
        <w:t>Extended Data</w:t>
      </w:r>
      <w:r w:rsidRPr="00293501">
        <w:rPr>
          <w:rFonts w:hint="eastAsia"/>
          <w:b/>
          <w:bCs/>
        </w:rPr>
        <w:t xml:space="preserve"> Fig</w:t>
      </w:r>
      <w:r w:rsidRPr="00293501">
        <w:rPr>
          <w:b/>
          <w:bCs/>
        </w:rPr>
        <w:t>.</w:t>
      </w:r>
      <w:r>
        <w:rPr>
          <w:b/>
          <w:bCs/>
        </w:rPr>
        <w:t>3</w:t>
      </w:r>
      <w:r w:rsidRPr="00293501">
        <w:rPr>
          <w:rFonts w:ascii="DengXian" w:eastAsia="DengXian" w:hAnsi="DengXian" w:hint="eastAsia"/>
          <w:b/>
          <w:bCs/>
        </w:rPr>
        <w:t>｜</w:t>
      </w:r>
      <w:r>
        <w:rPr>
          <w:b/>
          <w:bCs/>
        </w:rPr>
        <w:t>The biocompatibility of the cardiac patch and cells’ field potential signals recording with cell-level resolution</w:t>
      </w:r>
      <w:r w:rsidRPr="00293501">
        <w:rPr>
          <w:b/>
          <w:bCs/>
        </w:rPr>
        <w:t>.</w:t>
      </w:r>
      <w:r>
        <w:t xml:space="preserve"> </w:t>
      </w:r>
      <w:r w:rsidRPr="00293501">
        <w:rPr>
          <w:b/>
          <w:bCs/>
        </w:rPr>
        <w:t>a</w:t>
      </w:r>
      <w:r>
        <w:t xml:space="preserve">, A schematic illustration of the primary cardiomyocytes. </w:t>
      </w:r>
      <w:r w:rsidRPr="004E394A">
        <w:rPr>
          <w:b/>
          <w:bCs/>
        </w:rPr>
        <w:t>b</w:t>
      </w:r>
      <w:r>
        <w:t>, The f</w:t>
      </w:r>
      <w:r w:rsidRPr="00DE0247">
        <w:t>luorescence image of cardiomyocytes</w:t>
      </w:r>
      <w:r>
        <w:t xml:space="preserve">. </w:t>
      </w:r>
      <w:r>
        <w:rPr>
          <w:color w:val="000000" w:themeColor="text1"/>
        </w:rPr>
        <w:t>Green</w:t>
      </w:r>
      <w:r w:rsidRPr="0033592D">
        <w:rPr>
          <w:color w:val="000000" w:themeColor="text1"/>
        </w:rPr>
        <w:t xml:space="preserve"> (</w:t>
      </w:r>
      <w:r w:rsidRPr="0033592D">
        <w:rPr>
          <w:rFonts w:ascii="Symbol" w:hAnsi="Symbol"/>
          <w:color w:val="000000" w:themeColor="text1"/>
        </w:rPr>
        <w:t></w:t>
      </w:r>
      <w:r w:rsidRPr="0033592D">
        <w:rPr>
          <w:color w:val="000000" w:themeColor="text1"/>
        </w:rPr>
        <w:t>-actinin)</w:t>
      </w:r>
      <w:r>
        <w:rPr>
          <w:color w:val="000000" w:themeColor="text1"/>
        </w:rPr>
        <w:t>,</w:t>
      </w:r>
      <w:r w:rsidRPr="00BC34AB">
        <w:rPr>
          <w:color w:val="000000" w:themeColor="text1"/>
        </w:rPr>
        <w:t xml:space="preserve"> </w:t>
      </w:r>
      <w:r>
        <w:rPr>
          <w:color w:val="000000" w:themeColor="text1"/>
        </w:rPr>
        <w:t>red</w:t>
      </w:r>
      <w:r w:rsidRPr="0033592D">
        <w:rPr>
          <w:color w:val="000000" w:themeColor="text1"/>
        </w:rPr>
        <w:t xml:space="preserve"> (</w:t>
      </w:r>
      <w:r>
        <w:rPr>
          <w:rFonts w:hint="eastAsia"/>
          <w:color w:val="000000" w:themeColor="text1"/>
        </w:rPr>
        <w:t>c</w:t>
      </w:r>
      <w:r>
        <w:rPr>
          <w:color w:val="000000" w:themeColor="text1"/>
        </w:rPr>
        <w:t>TnT</w:t>
      </w:r>
      <w:r w:rsidRPr="0033592D">
        <w:rPr>
          <w:color w:val="000000" w:themeColor="text1"/>
        </w:rPr>
        <w:t>),</w:t>
      </w:r>
      <w:r>
        <w:rPr>
          <w:color w:val="000000" w:themeColor="text1"/>
        </w:rPr>
        <w:t xml:space="preserve"> and</w:t>
      </w:r>
      <w:r w:rsidRPr="0033592D">
        <w:rPr>
          <w:color w:val="000000" w:themeColor="text1"/>
        </w:rPr>
        <w:t xml:space="preserve"> </w:t>
      </w:r>
      <w:r>
        <w:rPr>
          <w:color w:val="000000" w:themeColor="text1"/>
        </w:rPr>
        <w:t>blue</w:t>
      </w:r>
      <w:r w:rsidRPr="0033592D">
        <w:rPr>
          <w:color w:val="000000" w:themeColor="text1"/>
        </w:rPr>
        <w:t xml:space="preserve"> (DAPI). Scale bar, </w:t>
      </w:r>
      <w:r>
        <w:rPr>
          <w:color w:val="000000" w:themeColor="text1"/>
        </w:rPr>
        <w:t>2</w:t>
      </w:r>
      <w:r w:rsidRPr="0033592D">
        <w:rPr>
          <w:color w:val="000000" w:themeColor="text1"/>
        </w:rPr>
        <w:t xml:space="preserve">0 </w:t>
      </w:r>
      <w:r w:rsidRPr="0033592D">
        <w:rPr>
          <w:rFonts w:ascii="Symbol" w:hAnsi="Symbol"/>
          <w:color w:val="000000" w:themeColor="text1"/>
        </w:rPr>
        <w:t></w:t>
      </w:r>
      <w:r w:rsidRPr="0033592D">
        <w:rPr>
          <w:color w:val="000000" w:themeColor="text1"/>
        </w:rPr>
        <w:t xml:space="preserve">m. </w:t>
      </w:r>
      <w:r w:rsidRPr="004E394A">
        <w:rPr>
          <w:b/>
          <w:bCs/>
        </w:rPr>
        <w:t>c</w:t>
      </w:r>
      <w:r>
        <w:t>, Left: c</w:t>
      </w:r>
      <w:r w:rsidRPr="004D6C9D">
        <w:t>alcium imaging</w:t>
      </w:r>
      <w:r>
        <w:t xml:space="preserve"> of cardiomyocytes with the fluo-4 dye</w:t>
      </w:r>
      <w:r w:rsidRPr="00ED6650">
        <w:t>.</w:t>
      </w:r>
      <w:r>
        <w:t xml:space="preserve"> </w:t>
      </w:r>
      <w:r w:rsidRPr="0033592D">
        <w:rPr>
          <w:color w:val="000000" w:themeColor="text1"/>
        </w:rPr>
        <w:t xml:space="preserve">Scale bar, </w:t>
      </w:r>
      <w:r>
        <w:rPr>
          <w:color w:val="000000" w:themeColor="text1"/>
        </w:rPr>
        <w:t>10</w:t>
      </w:r>
      <w:r w:rsidRPr="0033592D">
        <w:rPr>
          <w:color w:val="000000" w:themeColor="text1"/>
        </w:rPr>
        <w:t xml:space="preserve">0 </w:t>
      </w:r>
      <w:r w:rsidRPr="0033592D">
        <w:rPr>
          <w:rFonts w:ascii="Symbol" w:hAnsi="Symbol"/>
          <w:color w:val="000000" w:themeColor="text1"/>
        </w:rPr>
        <w:t></w:t>
      </w:r>
      <w:r w:rsidRPr="0033592D">
        <w:rPr>
          <w:color w:val="000000" w:themeColor="text1"/>
        </w:rPr>
        <w:t>m.</w:t>
      </w:r>
      <w:r>
        <w:rPr>
          <w:color w:val="000000" w:themeColor="text1"/>
        </w:rPr>
        <w:t xml:space="preserve"> Right: t</w:t>
      </w:r>
      <w:r>
        <w:t>he</w:t>
      </w:r>
      <w:r w:rsidRPr="007060CC">
        <w:t xml:space="preserve"> </w:t>
      </w:r>
      <w:r>
        <w:t>c</w:t>
      </w:r>
      <w:r w:rsidRPr="007060CC">
        <w:t>hange</w:t>
      </w:r>
      <w:r>
        <w:t>s</w:t>
      </w:r>
      <w:r w:rsidRPr="007060CC">
        <w:t xml:space="preserve"> of fluorescence intensity</w:t>
      </w:r>
      <w:r>
        <w:t xml:space="preserve"> of cardiomyocytes at five points. </w:t>
      </w:r>
      <w:r>
        <w:rPr>
          <w:b/>
          <w:bCs/>
        </w:rPr>
        <w:t>d</w:t>
      </w:r>
      <w:r>
        <w:t>, The schematic illustration of cells cultured on the cardiac patch.</w:t>
      </w:r>
      <w:r w:rsidRPr="00292393">
        <w:rPr>
          <w:b/>
          <w:bCs/>
        </w:rPr>
        <w:t xml:space="preserve"> </w:t>
      </w:r>
      <w:r>
        <w:rPr>
          <w:b/>
          <w:bCs/>
        </w:rPr>
        <w:t>e</w:t>
      </w:r>
      <w:r>
        <w:t xml:space="preserve">, The bright field image of cardiomyocytes cultured on the cardiac patch for a week. </w:t>
      </w:r>
      <w:r w:rsidRPr="0033592D">
        <w:rPr>
          <w:color w:val="000000" w:themeColor="text1"/>
        </w:rPr>
        <w:t xml:space="preserve">Scale bar, </w:t>
      </w:r>
      <w:r>
        <w:rPr>
          <w:color w:val="000000" w:themeColor="text1"/>
        </w:rPr>
        <w:t>20</w:t>
      </w:r>
      <w:r w:rsidRPr="0033592D">
        <w:rPr>
          <w:color w:val="000000" w:themeColor="text1"/>
        </w:rPr>
        <w:t xml:space="preserve">0 </w:t>
      </w:r>
      <w:r w:rsidRPr="0033592D">
        <w:rPr>
          <w:rFonts w:ascii="Symbol" w:hAnsi="Symbol"/>
          <w:color w:val="000000" w:themeColor="text1"/>
        </w:rPr>
        <w:t></w:t>
      </w:r>
      <w:r w:rsidRPr="0033592D">
        <w:rPr>
          <w:color w:val="000000" w:themeColor="text1"/>
        </w:rPr>
        <w:t>m.</w:t>
      </w:r>
      <w:r>
        <w:rPr>
          <w:color w:val="000000" w:themeColor="text1"/>
        </w:rPr>
        <w:t xml:space="preserve"> </w:t>
      </w:r>
      <w:r>
        <w:rPr>
          <w:b/>
          <w:bCs/>
        </w:rPr>
        <w:t>f</w:t>
      </w:r>
      <w:r>
        <w:t xml:space="preserve">, </w:t>
      </w:r>
      <w:r w:rsidRPr="0033592D">
        <w:rPr>
          <w:color w:val="000000" w:themeColor="text1"/>
        </w:rPr>
        <w:t>Cell viability</w:t>
      </w:r>
      <w:r w:rsidRPr="00DE0247">
        <w:t xml:space="preserve"> of cardiomyocytes</w:t>
      </w:r>
      <w:r>
        <w:t xml:space="preserve"> for 1-week incubation.</w:t>
      </w:r>
      <w:r w:rsidRPr="00C81447">
        <w:rPr>
          <w:color w:val="000000" w:themeColor="text1"/>
        </w:rPr>
        <w:t xml:space="preserve"> </w:t>
      </w:r>
      <w:r w:rsidRPr="0033592D">
        <w:rPr>
          <w:color w:val="000000" w:themeColor="text1"/>
        </w:rPr>
        <w:t>Green (</w:t>
      </w:r>
      <w:r>
        <w:rPr>
          <w:color w:val="000000" w:themeColor="text1"/>
        </w:rPr>
        <w:t>C</w:t>
      </w:r>
      <w:r w:rsidRPr="0033592D">
        <w:rPr>
          <w:color w:val="000000" w:themeColor="text1"/>
        </w:rPr>
        <w:t>alcein-AM</w:t>
      </w:r>
      <w:r>
        <w:rPr>
          <w:color w:val="000000" w:themeColor="text1"/>
        </w:rPr>
        <w:t>, live cells</w:t>
      </w:r>
      <w:r w:rsidRPr="0033592D">
        <w:rPr>
          <w:color w:val="000000" w:themeColor="text1"/>
        </w:rPr>
        <w:t>), blue (DAPI</w:t>
      </w:r>
      <w:r>
        <w:rPr>
          <w:color w:val="000000" w:themeColor="text1"/>
        </w:rPr>
        <w:t xml:space="preserve">, </w:t>
      </w:r>
      <w:r w:rsidRPr="007C40D0">
        <w:rPr>
          <w:color w:val="000000" w:themeColor="text1"/>
        </w:rPr>
        <w:t>nuclei</w:t>
      </w:r>
      <w:r w:rsidRPr="0033592D">
        <w:rPr>
          <w:color w:val="000000" w:themeColor="text1"/>
        </w:rPr>
        <w:t xml:space="preserve">), and bright field (gray: </w:t>
      </w:r>
      <w:r>
        <w:rPr>
          <w:color w:val="000000" w:themeColor="text1"/>
        </w:rPr>
        <w:t>PDMS</w:t>
      </w:r>
      <w:r w:rsidRPr="0033592D">
        <w:rPr>
          <w:color w:val="000000" w:themeColor="text1"/>
        </w:rPr>
        <w:t xml:space="preserve">, and dark: </w:t>
      </w:r>
      <w:r>
        <w:rPr>
          <w:color w:val="000000" w:themeColor="text1"/>
        </w:rPr>
        <w:t xml:space="preserve">raised </w:t>
      </w:r>
      <w:r w:rsidRPr="0033592D">
        <w:rPr>
          <w:color w:val="000000" w:themeColor="text1"/>
        </w:rPr>
        <w:t>electrodes).</w:t>
      </w:r>
      <w:r w:rsidRPr="00483BE6">
        <w:rPr>
          <w:color w:val="000000" w:themeColor="text1"/>
        </w:rPr>
        <w:t xml:space="preserve"> </w:t>
      </w:r>
      <w:r w:rsidRPr="0033592D">
        <w:rPr>
          <w:color w:val="000000" w:themeColor="text1"/>
        </w:rPr>
        <w:t xml:space="preserve">Scale bar, </w:t>
      </w:r>
      <w:r>
        <w:rPr>
          <w:color w:val="000000" w:themeColor="text1"/>
        </w:rPr>
        <w:t>20</w:t>
      </w:r>
      <w:r w:rsidRPr="0033592D">
        <w:rPr>
          <w:color w:val="000000" w:themeColor="text1"/>
        </w:rPr>
        <w:t xml:space="preserve">0 </w:t>
      </w:r>
      <w:r w:rsidRPr="0033592D">
        <w:rPr>
          <w:rFonts w:ascii="Symbol" w:hAnsi="Symbol"/>
          <w:color w:val="000000" w:themeColor="text1"/>
        </w:rPr>
        <w:t></w:t>
      </w:r>
      <w:r w:rsidRPr="0033592D">
        <w:rPr>
          <w:color w:val="000000" w:themeColor="text1"/>
        </w:rPr>
        <w:t>m.</w:t>
      </w:r>
      <w:r w:rsidRPr="00292393">
        <w:rPr>
          <w:b/>
          <w:bCs/>
        </w:rPr>
        <w:t xml:space="preserve"> </w:t>
      </w:r>
      <w:r>
        <w:rPr>
          <w:b/>
          <w:bCs/>
        </w:rPr>
        <w:t>g</w:t>
      </w:r>
      <w:r>
        <w:t>, The cells’ field potential signals of cardiomyocytes and HL-1 recorded by the cardiac patch</w:t>
      </w:r>
      <w:r w:rsidRPr="00ED6650">
        <w:t>.</w:t>
      </w:r>
      <w:r w:rsidRPr="001D2619">
        <w:rPr>
          <w:b/>
          <w:bCs/>
        </w:rPr>
        <w:t xml:space="preserve"> </w:t>
      </w:r>
      <w:r>
        <w:rPr>
          <w:b/>
          <w:bCs/>
        </w:rPr>
        <w:t>h</w:t>
      </w:r>
      <w:r>
        <w:t xml:space="preserve">, The schematic illustration of cells cultured on MEA. </w:t>
      </w:r>
      <w:r>
        <w:rPr>
          <w:b/>
          <w:bCs/>
        </w:rPr>
        <w:t>i</w:t>
      </w:r>
      <w:r>
        <w:t>, The cells’ field potential signals of cardiomyocytes and HL-1 recorded by MEA</w:t>
      </w:r>
      <w:r w:rsidRPr="00ED6650">
        <w:t>.</w:t>
      </w:r>
      <w:r>
        <w:t xml:space="preserve"> </w:t>
      </w:r>
      <w:r>
        <w:rPr>
          <w:b/>
          <w:bCs/>
        </w:rPr>
        <w:t>j</w:t>
      </w:r>
      <w:r>
        <w:t xml:space="preserve">, </w:t>
      </w:r>
      <w:r w:rsidRPr="006C5D04">
        <w:t xml:space="preserve">The SNR of the signals </w:t>
      </w:r>
      <w:r>
        <w:t xml:space="preserve">recorded </w:t>
      </w:r>
      <w:r w:rsidRPr="006C5D04">
        <w:t>by the</w:t>
      </w:r>
      <w:r>
        <w:t xml:space="preserve"> MEA and cardiac patch. </w:t>
      </w:r>
      <w:r>
        <w:rPr>
          <w:b/>
          <w:bCs/>
        </w:rPr>
        <w:t>k</w:t>
      </w:r>
      <w:r>
        <w:t>, The f</w:t>
      </w:r>
      <w:r w:rsidRPr="00DE0247">
        <w:t>luorescence image</w:t>
      </w:r>
      <w:r>
        <w:t>s</w:t>
      </w:r>
      <w:r w:rsidRPr="00DE0247">
        <w:t xml:space="preserve"> of </w:t>
      </w:r>
      <w:r w:rsidRPr="00DE0247">
        <w:lastRenderedPageBreak/>
        <w:t>cardiomyocytes</w:t>
      </w:r>
      <w:r>
        <w:t xml:space="preserve"> for a 2-week incubation on LM and PDMS. </w:t>
      </w:r>
      <w:r>
        <w:rPr>
          <w:color w:val="000000" w:themeColor="text1"/>
        </w:rPr>
        <w:t>Green</w:t>
      </w:r>
      <w:r w:rsidRPr="0033592D">
        <w:rPr>
          <w:color w:val="000000" w:themeColor="text1"/>
        </w:rPr>
        <w:t xml:space="preserve"> (</w:t>
      </w:r>
      <w:r w:rsidRPr="0033592D">
        <w:rPr>
          <w:rFonts w:ascii="Symbol" w:hAnsi="Symbol"/>
          <w:color w:val="000000" w:themeColor="text1"/>
        </w:rPr>
        <w:t></w:t>
      </w:r>
      <w:r w:rsidRPr="0033592D">
        <w:rPr>
          <w:color w:val="000000" w:themeColor="text1"/>
        </w:rPr>
        <w:t>-actinin)</w:t>
      </w:r>
      <w:r>
        <w:rPr>
          <w:color w:val="000000" w:themeColor="text1"/>
        </w:rPr>
        <w:t>,</w:t>
      </w:r>
      <w:r w:rsidRPr="00BC34AB">
        <w:rPr>
          <w:color w:val="000000" w:themeColor="text1"/>
        </w:rPr>
        <w:t xml:space="preserve"> </w:t>
      </w:r>
      <w:r>
        <w:rPr>
          <w:color w:val="000000" w:themeColor="text1"/>
        </w:rPr>
        <w:t>red</w:t>
      </w:r>
      <w:r w:rsidRPr="0033592D">
        <w:rPr>
          <w:color w:val="000000" w:themeColor="text1"/>
        </w:rPr>
        <w:t xml:space="preserve"> (</w:t>
      </w:r>
      <w:r>
        <w:rPr>
          <w:rFonts w:hint="eastAsia"/>
          <w:color w:val="000000" w:themeColor="text1"/>
        </w:rPr>
        <w:t>c</w:t>
      </w:r>
      <w:r>
        <w:rPr>
          <w:color w:val="000000" w:themeColor="text1"/>
        </w:rPr>
        <w:t>TnT</w:t>
      </w:r>
      <w:r w:rsidRPr="0033592D">
        <w:rPr>
          <w:color w:val="000000" w:themeColor="text1"/>
        </w:rPr>
        <w:t>),</w:t>
      </w:r>
      <w:r>
        <w:rPr>
          <w:color w:val="000000" w:themeColor="text1"/>
        </w:rPr>
        <w:t xml:space="preserve"> blue</w:t>
      </w:r>
      <w:r w:rsidRPr="0033592D">
        <w:rPr>
          <w:color w:val="000000" w:themeColor="text1"/>
        </w:rPr>
        <w:t xml:space="preserve"> (DAPI)</w:t>
      </w:r>
      <w:r>
        <w:rPr>
          <w:color w:val="000000" w:themeColor="text1"/>
        </w:rPr>
        <w:t>, and bright field (</w:t>
      </w:r>
      <w:r w:rsidRPr="0033592D">
        <w:rPr>
          <w:color w:val="000000" w:themeColor="text1"/>
        </w:rPr>
        <w:t xml:space="preserve">gray: </w:t>
      </w:r>
      <w:r>
        <w:rPr>
          <w:color w:val="000000" w:themeColor="text1"/>
        </w:rPr>
        <w:t>PDMS</w:t>
      </w:r>
      <w:r w:rsidRPr="0033592D">
        <w:rPr>
          <w:color w:val="000000" w:themeColor="text1"/>
        </w:rPr>
        <w:t xml:space="preserve">, and dark: </w:t>
      </w:r>
      <w:r>
        <w:rPr>
          <w:color w:val="000000" w:themeColor="text1"/>
        </w:rPr>
        <w:t>LM)</w:t>
      </w:r>
      <w:r w:rsidRPr="0033592D">
        <w:rPr>
          <w:color w:val="000000" w:themeColor="text1"/>
        </w:rPr>
        <w:t xml:space="preserve">. Scale bar, </w:t>
      </w:r>
      <w:r>
        <w:rPr>
          <w:color w:val="000000" w:themeColor="text1"/>
        </w:rPr>
        <w:t>2</w:t>
      </w:r>
      <w:r w:rsidRPr="0033592D">
        <w:rPr>
          <w:color w:val="000000" w:themeColor="text1"/>
        </w:rPr>
        <w:t xml:space="preserve">0 </w:t>
      </w:r>
      <w:r w:rsidRPr="0033592D">
        <w:rPr>
          <w:rFonts w:ascii="Symbol" w:hAnsi="Symbol"/>
          <w:color w:val="000000" w:themeColor="text1"/>
        </w:rPr>
        <w:t></w:t>
      </w:r>
      <w:r w:rsidRPr="0033592D">
        <w:rPr>
          <w:color w:val="000000" w:themeColor="text1"/>
        </w:rPr>
        <w:t>m.</w:t>
      </w:r>
      <w:r w:rsidRPr="006E632B">
        <w:t xml:space="preserve"> </w:t>
      </w:r>
      <w:r w:rsidRPr="00536BE7">
        <w:t>One-way ANOVA and Tukey’s multiple comparison test determine statistical significance and P values.</w:t>
      </w:r>
      <w:r>
        <w:t xml:space="preserve"> </w:t>
      </w:r>
      <w:r w:rsidRPr="000D7711">
        <w:t>***</w:t>
      </w:r>
      <w:r>
        <w:t>*</w:t>
      </w:r>
      <w:r w:rsidRPr="000D7711">
        <w:t>P</w:t>
      </w:r>
      <w:r>
        <w:t xml:space="preserve"> </w:t>
      </w:r>
      <w:r w:rsidRPr="00D42A04">
        <w:t>≤</w:t>
      </w:r>
      <w:r>
        <w:t xml:space="preserve"> </w:t>
      </w:r>
      <w:r w:rsidRPr="000D7711">
        <w:t>0.00</w:t>
      </w:r>
      <w:r>
        <w:t>0</w:t>
      </w:r>
      <w:r w:rsidRPr="000D7711">
        <w:t>1</w:t>
      </w:r>
      <w:r>
        <w:t>.</w:t>
      </w:r>
      <w:r>
        <w:rPr>
          <w:rFonts w:eastAsiaTheme="minorEastAsia"/>
          <w:b/>
          <w:kern w:val="2"/>
          <w:lang w:eastAsia="zh-CN"/>
        </w:rPr>
        <w:br w:type="page"/>
      </w:r>
    </w:p>
    <w:p w14:paraId="40D0A9F6" w14:textId="77777777" w:rsidR="008D7B32" w:rsidRDefault="008D7B32" w:rsidP="008D7B32">
      <w:pPr>
        <w:pStyle w:val="Tableofcontents"/>
        <w:spacing w:line="360" w:lineRule="auto"/>
      </w:pPr>
      <w:r>
        <w:rPr>
          <w:noProof/>
        </w:rPr>
        <w:lastRenderedPageBreak/>
        <w:drawing>
          <wp:inline distT="0" distB="0" distL="0" distR="0" wp14:anchorId="431711F3" wp14:editId="3446537C">
            <wp:extent cx="5274310" cy="5790565"/>
            <wp:effectExtent l="0" t="0" r="2540" b="635"/>
            <wp:docPr id="1046671348" name="图片 13" descr="日历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671348" name="图片 13" descr="日历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79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151670" w14:textId="77777777" w:rsidR="008D7B32" w:rsidRDefault="008D7B32" w:rsidP="008D7B32">
      <w:pPr>
        <w:pStyle w:val="Tableofcontents"/>
        <w:spacing w:line="360" w:lineRule="auto"/>
      </w:pPr>
      <w:r>
        <w:rPr>
          <w:b/>
          <w:bCs/>
        </w:rPr>
        <w:t xml:space="preserve">Extended Data </w:t>
      </w:r>
      <w:r w:rsidRPr="00293501">
        <w:rPr>
          <w:rFonts w:hint="eastAsia"/>
          <w:b/>
          <w:bCs/>
        </w:rPr>
        <w:t>Fig</w:t>
      </w:r>
      <w:r w:rsidRPr="00293501">
        <w:rPr>
          <w:b/>
          <w:bCs/>
        </w:rPr>
        <w:t>.</w:t>
      </w:r>
      <w:r>
        <w:rPr>
          <w:b/>
          <w:bCs/>
        </w:rPr>
        <w:t>4</w:t>
      </w:r>
      <w:r w:rsidRPr="00293501">
        <w:rPr>
          <w:rFonts w:ascii="DengXian" w:eastAsia="DengXian" w:hAnsi="DengXian" w:hint="eastAsia"/>
          <w:b/>
          <w:bCs/>
        </w:rPr>
        <w:t>｜</w:t>
      </w:r>
      <w:r>
        <w:rPr>
          <w:rFonts w:eastAsiaTheme="minorEastAsia"/>
          <w:b/>
          <w:bCs/>
          <w:lang w:eastAsia="zh-CN"/>
        </w:rPr>
        <w:t xml:space="preserve">The precise identification of abnormal areas and the long-term reliability of the RE patch for </w:t>
      </w:r>
      <w:r w:rsidRPr="001371D0">
        <w:rPr>
          <w:rFonts w:eastAsiaTheme="minorEastAsia"/>
          <w:b/>
          <w:bCs/>
          <w:i/>
          <w:iCs/>
          <w:lang w:eastAsia="zh-CN"/>
        </w:rPr>
        <w:t>in vivo</w:t>
      </w:r>
      <w:r>
        <w:rPr>
          <w:rFonts w:eastAsiaTheme="minorEastAsia"/>
          <w:b/>
          <w:bCs/>
          <w:lang w:eastAsia="zh-CN"/>
        </w:rPr>
        <w:t xml:space="preserve"> implantation</w:t>
      </w:r>
      <w:r w:rsidRPr="00293501">
        <w:rPr>
          <w:b/>
          <w:bCs/>
        </w:rPr>
        <w:t>.</w:t>
      </w:r>
      <w:r>
        <w:t xml:space="preserve"> </w:t>
      </w:r>
      <w:r>
        <w:rPr>
          <w:b/>
          <w:bCs/>
        </w:rPr>
        <w:t>a</w:t>
      </w:r>
      <w:r>
        <w:t xml:space="preserve">, The optical images of the RE (top), PI (middle), and SP (bottom) patch and their attachment to the heart. Scale bar, 4 mm. </w:t>
      </w:r>
      <w:r>
        <w:rPr>
          <w:b/>
          <w:bCs/>
        </w:rPr>
        <w:t>b</w:t>
      </w:r>
      <w:r>
        <w:t xml:space="preserve">, </w:t>
      </w:r>
      <w:r w:rsidRPr="00973E71">
        <w:t xml:space="preserve">The </w:t>
      </w:r>
      <w:r>
        <w:t>epicardial signals collected by</w:t>
      </w:r>
      <w:r w:rsidRPr="00973E71">
        <w:t xml:space="preserve"> the RE (top), PI (middle), and SP (bottom) patch</w:t>
      </w:r>
      <w:r>
        <w:t xml:space="preserve"> after the open-chest surgery. </w:t>
      </w:r>
      <w:r>
        <w:rPr>
          <w:b/>
          <w:bCs/>
        </w:rPr>
        <w:t>c</w:t>
      </w:r>
      <w:r>
        <w:t xml:space="preserve">, The SNR value of the RE, PI, and SP patch. </w:t>
      </w:r>
      <w:r>
        <w:rPr>
          <w:b/>
          <w:bCs/>
        </w:rPr>
        <w:t>d</w:t>
      </w:r>
      <w:r>
        <w:t xml:space="preserve">, The illustration of three kinds of patches with different numbers of channels in the same collection area. </w:t>
      </w:r>
      <w:r>
        <w:rPr>
          <w:rFonts w:eastAsiaTheme="minorEastAsia" w:hint="eastAsia"/>
          <w:b/>
          <w:bCs/>
          <w:lang w:eastAsia="zh-CN"/>
        </w:rPr>
        <w:t>e</w:t>
      </w:r>
      <w:r>
        <w:t xml:space="preserve">, The epicardial signals recorded by the RE patch after </w:t>
      </w:r>
      <w:r w:rsidRPr="001A68B6">
        <w:rPr>
          <w:i/>
          <w:iCs/>
        </w:rPr>
        <w:t>in vivo</w:t>
      </w:r>
      <w:r>
        <w:t xml:space="preserve"> implantation for 14 days. </w:t>
      </w:r>
      <w:r>
        <w:rPr>
          <w:rFonts w:eastAsiaTheme="minorEastAsia" w:hint="eastAsia"/>
          <w:b/>
          <w:bCs/>
          <w:lang w:eastAsia="zh-CN"/>
        </w:rPr>
        <w:t>f</w:t>
      </w:r>
      <w:r>
        <w:t xml:space="preserve">, The epicardial signals recorded by the SP patch after </w:t>
      </w:r>
      <w:r w:rsidRPr="001A68B6">
        <w:rPr>
          <w:i/>
          <w:iCs/>
        </w:rPr>
        <w:t>in vivo</w:t>
      </w:r>
      <w:r>
        <w:t xml:space="preserve"> implantation for 8 days. </w:t>
      </w:r>
      <w:r>
        <w:rPr>
          <w:rFonts w:eastAsiaTheme="minorEastAsia" w:hint="eastAsia"/>
          <w:b/>
          <w:bCs/>
          <w:lang w:eastAsia="zh-CN"/>
        </w:rPr>
        <w:t>g</w:t>
      </w:r>
      <w:r>
        <w:t xml:space="preserve">, The SNR value of the RE and SP </w:t>
      </w:r>
      <w:r>
        <w:lastRenderedPageBreak/>
        <w:t xml:space="preserve">patch during the 14-day </w:t>
      </w:r>
      <w:r w:rsidRPr="001A68B6">
        <w:rPr>
          <w:i/>
          <w:iCs/>
        </w:rPr>
        <w:t>in vivo</w:t>
      </w:r>
      <w:r>
        <w:t xml:space="preserve"> implantation. </w:t>
      </w:r>
      <w:r w:rsidRPr="00210C17">
        <w:rPr>
          <w:rFonts w:eastAsiaTheme="minorEastAsia" w:hint="eastAsia"/>
          <w:b/>
          <w:bCs/>
          <w:lang w:eastAsia="zh-CN"/>
        </w:rPr>
        <w:t>h</w:t>
      </w:r>
      <w:r>
        <w:rPr>
          <w:rFonts w:eastAsiaTheme="minorEastAsia" w:hint="eastAsia"/>
          <w:lang w:eastAsia="zh-CN"/>
        </w:rPr>
        <w:t xml:space="preserve">, The remaining channel number after implantation. </w:t>
      </w:r>
      <w:r w:rsidRPr="00ED6650">
        <w:t>Data are presented as mean ± s.</w:t>
      </w:r>
      <w:r>
        <w:t>e.m</w:t>
      </w:r>
      <w:r w:rsidRPr="00ED6650">
        <w:t>.</w:t>
      </w:r>
      <w:r w:rsidRPr="00244F4B">
        <w:rPr>
          <w:b/>
          <w:bCs/>
        </w:rPr>
        <w:t xml:space="preserve"> </w:t>
      </w:r>
      <w:r w:rsidRPr="00536BE7">
        <w:t>One-way ANOVA and Tukey’s multiple comparison test determine statistical significance and P values.</w:t>
      </w:r>
      <w:r>
        <w:t xml:space="preserve"> </w:t>
      </w:r>
      <w:r w:rsidRPr="000D7711">
        <w:t>***</w:t>
      </w:r>
      <w:r>
        <w:t>*</w:t>
      </w:r>
      <w:r w:rsidRPr="000D7711">
        <w:t>P</w:t>
      </w:r>
      <w:r>
        <w:t xml:space="preserve"> </w:t>
      </w:r>
      <w:r w:rsidRPr="00D42A04">
        <w:t>≤</w:t>
      </w:r>
      <w:r>
        <w:t xml:space="preserve"> </w:t>
      </w:r>
      <w:r w:rsidRPr="000D7711">
        <w:t>0.00</w:t>
      </w:r>
      <w:r>
        <w:t>0</w:t>
      </w:r>
      <w:r w:rsidRPr="000D7711">
        <w:t>1</w:t>
      </w:r>
      <w:r>
        <w:t xml:space="preserve">, *P </w:t>
      </w:r>
      <w:r w:rsidRPr="00D42A04">
        <w:t>≤</w:t>
      </w:r>
      <w:r>
        <w:t xml:space="preserve"> 0.05.</w:t>
      </w:r>
      <w:r>
        <w:br w:type="page"/>
      </w:r>
    </w:p>
    <w:p w14:paraId="640A98E2" w14:textId="77777777" w:rsidR="008D7B32" w:rsidRDefault="008D7B32" w:rsidP="008D7B32">
      <w:pPr>
        <w:tabs>
          <w:tab w:val="left" w:pos="1365"/>
        </w:tabs>
        <w:spacing w:line="360" w:lineRule="auto"/>
        <w:ind w:left="420" w:hangingChars="200" w:hanging="420"/>
      </w:pPr>
      <w:r>
        <w:rPr>
          <w:noProof/>
        </w:rPr>
        <w:lastRenderedPageBreak/>
        <w:drawing>
          <wp:inline distT="0" distB="0" distL="0" distR="0" wp14:anchorId="318448E1" wp14:editId="64B5FA0B">
            <wp:extent cx="5274310" cy="2341245"/>
            <wp:effectExtent l="0" t="0" r="2540" b="1905"/>
            <wp:docPr id="1162664530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41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97F9E9" w14:textId="77777777" w:rsidR="008D7B32" w:rsidRPr="000C70B6" w:rsidRDefault="008D7B32" w:rsidP="008D7B32">
      <w:pPr>
        <w:spacing w:line="36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 w:rsidRPr="009F03F4">
        <w:rPr>
          <w:rFonts w:ascii="Times New Roman" w:hAnsi="Times New Roman" w:cs="Times New Roman"/>
          <w:b/>
          <w:bCs/>
          <w:sz w:val="24"/>
          <w:szCs w:val="24"/>
        </w:rPr>
        <w:t>Extended Data Fig.</w:t>
      </w: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516B53">
        <w:rPr>
          <w:rFonts w:ascii="Times New Roman" w:hAnsi="Times New Roman" w:cs="Times New Roman" w:hint="eastAsia"/>
          <w:b/>
          <w:bCs/>
          <w:sz w:val="24"/>
          <w:szCs w:val="24"/>
        </w:rPr>
        <w:t>｜</w:t>
      </w:r>
      <w:r w:rsidRPr="00857BC7">
        <w:rPr>
          <w:rFonts w:ascii="Times New Roman" w:hAnsi="Times New Roman" w:cs="Times New Roman"/>
          <w:b/>
          <w:bCs/>
          <w:i/>
          <w:iCs/>
          <w:sz w:val="24"/>
          <w:szCs w:val="24"/>
        </w:rPr>
        <w:t>In vivo</w:t>
      </w:r>
      <w:r w:rsidRPr="00857BC7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DC5F0F">
        <w:rPr>
          <w:rFonts w:ascii="Times New Roman" w:hAnsi="Times New Roman" w:cs="Times New Roman"/>
          <w:b/>
          <w:bCs/>
          <w:sz w:val="24"/>
          <w:szCs w:val="24"/>
        </w:rPr>
        <w:t>3D electro</w:t>
      </w:r>
      <w:r w:rsidRPr="008542D8">
        <w:rPr>
          <w:rFonts w:ascii="Times New Roman" w:hAnsi="Times New Roman" w:cs="Times New Roman"/>
          <w:b/>
          <w:bCs/>
          <w:sz w:val="24"/>
          <w:szCs w:val="24"/>
        </w:rPr>
        <w:t>anatomical</w:t>
      </w:r>
      <w:r w:rsidRPr="00DC5F0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model </w:t>
      </w:r>
      <w:r w:rsidRPr="00DC5F0F">
        <w:rPr>
          <w:rFonts w:ascii="Times New Roman" w:hAnsi="Times New Roman" w:cs="Times New Roman"/>
          <w:b/>
          <w:bCs/>
          <w:sz w:val="24"/>
          <w:szCs w:val="24"/>
        </w:rPr>
        <w:t>reconstruction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on the N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ew Zealand rabbits</w:t>
      </w:r>
      <w:r w:rsidRPr="00A9653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with the VF scene</w:t>
      </w:r>
      <w:r w:rsidRPr="00857BC7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a</w:t>
      </w:r>
      <w:r>
        <w:rPr>
          <w:rFonts w:ascii="Times New Roman" w:hAnsi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A schematic illustration of the cardiac patch moving throughout the global heart (n=3). </w:t>
      </w:r>
      <w:r w:rsidRPr="006B3D6A">
        <w:rPr>
          <w:rFonts w:ascii="Times New Roman" w:hAnsi="Times New Roman"/>
          <w:b/>
          <w:bCs/>
          <w:color w:val="000000" w:themeColor="text1"/>
          <w:sz w:val="24"/>
          <w:szCs w:val="24"/>
        </w:rPr>
        <w:t>b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A 64-channel adapter for connecting the cardiac patch with Abbott</w:t>
      </w:r>
      <w:r w:rsidRPr="00FF4720">
        <w:t xml:space="preserve"> </w:t>
      </w:r>
      <w:r w:rsidRPr="00FF4720">
        <w:rPr>
          <w:rFonts w:ascii="Times New Roman" w:hAnsi="Times New Roman" w:cs="Times New Roman"/>
          <w:sz w:val="24"/>
          <w:szCs w:val="24"/>
        </w:rPr>
        <w:t>EnSite Precision system</w:t>
      </w:r>
      <w:r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. Scale bar, 3 cm. </w:t>
      </w:r>
      <w:r w:rsidRPr="006F3DD1">
        <w:rPr>
          <w:rFonts w:ascii="Times New Roman" w:hAnsi="Times New Roman"/>
          <w:b/>
          <w:bCs/>
          <w:color w:val="000000" w:themeColor="text1"/>
          <w:sz w:val="24"/>
          <w:szCs w:val="24"/>
        </w:rPr>
        <w:t>c</w:t>
      </w:r>
      <w:r>
        <w:rPr>
          <w:rFonts w:ascii="Times New Roman" w:hAnsi="Times New Roman"/>
          <w:color w:val="000000" w:themeColor="text1"/>
          <w:sz w:val="24"/>
          <w:szCs w:val="24"/>
        </w:rPr>
        <w:t>, A photograph of the 64-channel patch attached to the epicardium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744C51"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eastAsia="DengXian" w:hAnsi="Times New Roman" w:cs="Times New Roman"/>
          <w:color w:val="000000" w:themeColor="text1"/>
          <w:sz w:val="24"/>
          <w:szCs w:val="24"/>
        </w:rPr>
        <w:t>Scale bar, 2 mm.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d</w:t>
      </w:r>
      <w:r w:rsidRPr="00F91289">
        <w:rPr>
          <w:rFonts w:ascii="Times New Roman" w:hAnsi="Times New Roman"/>
          <w:color w:val="000000" w:themeColor="text1"/>
          <w:sz w:val="24"/>
          <w:szCs w:val="24"/>
        </w:rPr>
        <w:t>,</w:t>
      </w:r>
      <w:r>
        <w:rPr>
          <w:rFonts w:ascii="Times New Roman" w:hAnsi="Times New Roman"/>
          <w:b/>
          <w:bCs/>
          <w:color w:val="000000" w:themeColor="text1"/>
          <w:sz w:val="24"/>
          <w:szCs w:val="24"/>
        </w:rPr>
        <w:t>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The 3D global heart model and</w:t>
      </w:r>
      <w:r w:rsidRPr="006F7406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FE23CB">
        <w:rPr>
          <w:rFonts w:ascii="Times New Roman" w:hAnsi="Times New Roman" w:cs="Times New Roman"/>
          <w:sz w:val="24"/>
          <w:szCs w:val="24"/>
        </w:rPr>
        <w:t>erspective</w:t>
      </w:r>
      <w:r>
        <w:rPr>
          <w:rFonts w:ascii="Times New Roman" w:hAnsi="Times New Roman" w:cs="Times New Roman"/>
          <w:sz w:val="24"/>
          <w:szCs w:val="24"/>
        </w:rPr>
        <w:t xml:space="preserve"> model of anatomy. RA: right </w:t>
      </w:r>
      <w:r w:rsidRPr="004A51F1">
        <w:rPr>
          <w:rFonts w:ascii="Times New Roman" w:hAnsi="Times New Roman" w:cs="Times New Roman"/>
          <w:sz w:val="24"/>
          <w:szCs w:val="24"/>
        </w:rPr>
        <w:t>atrium</w:t>
      </w:r>
      <w:r>
        <w:rPr>
          <w:rFonts w:ascii="Times New Roman" w:hAnsi="Times New Roman" w:cs="Times New Roman"/>
          <w:sz w:val="24"/>
          <w:szCs w:val="24"/>
        </w:rPr>
        <w:t xml:space="preserve">, RV: right ventricle, LA: left </w:t>
      </w:r>
      <w:r w:rsidRPr="004A51F1">
        <w:rPr>
          <w:rFonts w:ascii="Times New Roman" w:hAnsi="Times New Roman" w:cs="Times New Roman"/>
          <w:sz w:val="24"/>
          <w:szCs w:val="24"/>
        </w:rPr>
        <w:t>atrium</w:t>
      </w:r>
      <w:r>
        <w:rPr>
          <w:rFonts w:ascii="Times New Roman" w:hAnsi="Times New Roman" w:cs="Times New Roman"/>
          <w:sz w:val="24"/>
          <w:szCs w:val="24"/>
        </w:rPr>
        <w:t>, LV: left ventricle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, RVOT: </w:t>
      </w:r>
      <w:r w:rsidRPr="00606DF3">
        <w:rPr>
          <w:rFonts w:ascii="Times New Roman" w:hAnsi="Times New Roman"/>
          <w:color w:val="000000" w:themeColor="text1"/>
          <w:sz w:val="24"/>
          <w:szCs w:val="24"/>
        </w:rPr>
        <w:t>right ventricular outflow tract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r w:rsidRPr="00606DF3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>1 c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 w:rsidRPr="00F91289">
        <w:rPr>
          <w:rFonts w:ascii="Times New Roman" w:hAnsi="Times New Roman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, The ECG and epicardial unipolar and bipolar signals in a normal model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, The 3D electrophysiological model</w:t>
      </w:r>
      <w:r w:rsidRPr="00ED66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Purple: the normal voltage of the epicardial bipolar signals.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>1 c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AA301A">
        <w:rPr>
          <w:rFonts w:ascii="Times New Roman" w:hAnsi="Times New Roman"/>
          <w:b/>
          <w:bCs/>
          <w:color w:val="000000" w:themeColor="text1"/>
          <w:sz w:val="24"/>
          <w:szCs w:val="24"/>
        </w:rPr>
        <w:t>h</w:t>
      </w:r>
      <w:r>
        <w:rPr>
          <w:rFonts w:ascii="Times New Roman" w:hAnsi="Times New Roman"/>
          <w:color w:val="000000" w:themeColor="text1"/>
          <w:sz w:val="24"/>
          <w:szCs w:val="24"/>
        </w:rPr>
        <w:t>, The occlusion region of LAD for constructing a VF model.</w:t>
      </w:r>
      <w:r w:rsidRPr="00AA301A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2 </w:t>
      </w:r>
      <w:r>
        <w:rPr>
          <w:rFonts w:ascii="Times New Roman" w:hAnsi="Times New Roman" w:hint="eastAsia"/>
          <w:color w:val="000000" w:themeColor="text1"/>
          <w:sz w:val="24"/>
          <w:szCs w:val="24"/>
        </w:rPr>
        <w:t>c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  <w:r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, The ECG and epicardial unipolar and bipolar signals in a VF model</w:t>
      </w:r>
      <w:r>
        <w:rPr>
          <w:rFonts w:ascii="Times New Roman" w:hAnsi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, The 3D electrophysiological model for a global heart in a VF model</w:t>
      </w:r>
      <w:r w:rsidRPr="00ED665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Purple (normal voltage of the epicardial bipolar signals), blue, red, gray (low voltage of the signals). 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 xml:space="preserve">Scale bar, </w:t>
      </w:r>
      <w:r>
        <w:rPr>
          <w:rFonts w:ascii="Times New Roman" w:hAnsi="Times New Roman"/>
          <w:color w:val="000000" w:themeColor="text1"/>
          <w:sz w:val="24"/>
          <w:szCs w:val="24"/>
        </w:rPr>
        <w:t>1 c</w:t>
      </w:r>
      <w:r w:rsidRPr="0033592D">
        <w:rPr>
          <w:rFonts w:ascii="Times New Roman" w:hAnsi="Times New Roman"/>
          <w:color w:val="000000" w:themeColor="text1"/>
          <w:sz w:val="24"/>
          <w:szCs w:val="24"/>
        </w:rPr>
        <w:t>m.</w:t>
      </w:r>
    </w:p>
    <w:p w14:paraId="0DEEDD5E" w14:textId="77777777" w:rsidR="00F553FF" w:rsidRDefault="00F553FF"/>
    <w:sectPr w:rsidR="00F553FF" w:rsidSect="008D7B32">
      <w:footerReference w:type="default" r:id="rId9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467928249"/>
      <w:docPartObj>
        <w:docPartGallery w:val="Page Numbers (Bottom of Page)"/>
        <w:docPartUnique/>
      </w:docPartObj>
    </w:sdtPr>
    <w:sdtContent>
      <w:p w14:paraId="257301A1" w14:textId="77777777" w:rsidR="00000000" w:rsidRDefault="00000000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812553B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7B32"/>
    <w:rsid w:val="003C2EF4"/>
    <w:rsid w:val="00825CF6"/>
    <w:rsid w:val="008D7B32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53797"/>
  <w15:chartTrackingRefBased/>
  <w15:docId w15:val="{B84EE286-B73A-49D2-BD84-A439EF468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7B32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D7B32"/>
    <w:pPr>
      <w:keepNext/>
      <w:keepLines/>
      <w:widowControl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7B32"/>
    <w:pPr>
      <w:keepNext/>
      <w:keepLines/>
      <w:widowControl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7B32"/>
    <w:pPr>
      <w:keepNext/>
      <w:keepLines/>
      <w:widowControl/>
      <w:spacing w:before="160" w:after="80" w:line="259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7B32"/>
    <w:pPr>
      <w:keepNext/>
      <w:keepLines/>
      <w:widowControl/>
      <w:spacing w:before="80" w:after="40" w:line="259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7B32"/>
    <w:pPr>
      <w:keepNext/>
      <w:keepLines/>
      <w:widowControl/>
      <w:spacing w:before="80" w:after="40" w:line="259" w:lineRule="auto"/>
      <w:jc w:val="lef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7B32"/>
    <w:pPr>
      <w:keepNext/>
      <w:keepLines/>
      <w:widowControl/>
      <w:spacing w:before="40" w:line="259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7B32"/>
    <w:pPr>
      <w:keepNext/>
      <w:keepLines/>
      <w:widowControl/>
      <w:spacing w:before="40" w:line="259" w:lineRule="auto"/>
      <w:jc w:val="lef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7B32"/>
    <w:pPr>
      <w:keepNext/>
      <w:keepLines/>
      <w:widowControl/>
      <w:spacing w:line="259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7B32"/>
    <w:pPr>
      <w:keepNext/>
      <w:keepLines/>
      <w:widowControl/>
      <w:spacing w:line="259" w:lineRule="auto"/>
      <w:jc w:val="lef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7B3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7B3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7B3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7B3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7B3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7B3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7B3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7B3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7B3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7B3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D7B3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7B32"/>
    <w:pPr>
      <w:widowControl/>
      <w:numPr>
        <w:ilvl w:val="1"/>
      </w:numPr>
      <w:spacing w:after="160" w:line="259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D7B3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D7B32"/>
    <w:pPr>
      <w:widowControl/>
      <w:spacing w:before="160" w:after="160" w:line="259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D7B3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7B32"/>
    <w:pPr>
      <w:widowControl/>
      <w:spacing w:after="160" w:line="259" w:lineRule="auto"/>
      <w:ind w:left="720"/>
      <w:contextualSpacing/>
      <w:jc w:val="lef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D7B3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7B3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7B3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7B32"/>
    <w:rPr>
      <w:b/>
      <w:bCs/>
      <w:smallCaps/>
      <w:color w:val="0F4761" w:themeColor="accent1" w:themeShade="BF"/>
      <w:spacing w:val="5"/>
    </w:rPr>
  </w:style>
  <w:style w:type="paragraph" w:customStyle="1" w:styleId="Tableofcontents">
    <w:name w:val="Table of contents"/>
    <w:basedOn w:val="Normal"/>
    <w:rsid w:val="008D7B32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styleId="Footer">
    <w:name w:val="footer"/>
    <w:basedOn w:val="Normal"/>
    <w:link w:val="FooterChar"/>
    <w:uiPriority w:val="99"/>
    <w:unhideWhenUsed/>
    <w:rsid w:val="008D7B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D7B32"/>
    <w:rPr>
      <w:rFonts w:eastAsiaTheme="minorEastAsia"/>
      <w:sz w:val="18"/>
      <w:szCs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8D7B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841</Words>
  <Characters>4796</Characters>
  <Application>Microsoft Office Word</Application>
  <DocSecurity>0</DocSecurity>
  <Lines>39</Lines>
  <Paragraphs>11</Paragraphs>
  <ScaleCrop>false</ScaleCrop>
  <Company>Springer Nature</Company>
  <LinksUpToDate>false</LinksUpToDate>
  <CharactersWithSpaces>5626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2024-11-13T05:18:00Z</dcterms:created>
  <dcterms:modified xsi:type="dcterms:W3CDTF">2024-11-13T05:18:00Z</dcterms:modified>
</cp:coreProperties>
</file>