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A1676" w14:textId="77777777" w:rsidR="00DE7F88" w:rsidRDefault="00DE7F88" w:rsidP="00DE7F88">
      <w:pPr>
        <w:pStyle w:val="Heading2"/>
        <w:widowControl w:val="0"/>
        <w:jc w:val="left"/>
      </w:pPr>
      <w:r>
        <w:t>Annex IV</w:t>
      </w:r>
    </w:p>
    <w:p w14:paraId="6BCC7971" w14:textId="77777777" w:rsidR="00DE7F88" w:rsidRDefault="00DE7F88" w:rsidP="00DE7F88">
      <w:pPr>
        <w:rPr>
          <w:i/>
          <w:sz w:val="20"/>
          <w:szCs w:val="20"/>
        </w:rPr>
      </w:pPr>
      <w:r>
        <w:rPr>
          <w:i/>
          <w:sz w:val="20"/>
          <w:szCs w:val="20"/>
        </w:rPr>
        <w:t>Annex IV, Table 1. Documents. Resources in the document analysis and division between mitigation or adaptation and energy specific documents or general for infrastructure.</w:t>
      </w:r>
    </w:p>
    <w:tbl>
      <w:tblPr>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1559"/>
        <w:gridCol w:w="1190"/>
        <w:gridCol w:w="1220"/>
        <w:gridCol w:w="850"/>
        <w:gridCol w:w="900"/>
      </w:tblGrid>
      <w:tr w:rsidR="00DE7F88" w14:paraId="7A7D21EE" w14:textId="77777777" w:rsidTr="00DE7F88">
        <w:trPr>
          <w:trHeight w:val="252"/>
        </w:trPr>
        <w:tc>
          <w:tcPr>
            <w:tcW w:w="3251" w:type="dxa"/>
            <w:tcBorders>
              <w:top w:val="single" w:sz="8" w:space="0" w:color="000000"/>
              <w:left w:val="single" w:sz="8" w:space="0" w:color="000000"/>
              <w:bottom w:val="single" w:sz="8" w:space="0" w:color="000000"/>
              <w:right w:val="single" w:sz="8" w:space="0" w:color="000000"/>
            </w:tcBorders>
            <w:hideMark/>
          </w:tcPr>
          <w:p w14:paraId="1E5BE1D2" w14:textId="77777777" w:rsidR="00DE7F88" w:rsidRDefault="00DE7F88">
            <w:pPr>
              <w:widowControl w:val="0"/>
              <w:spacing w:line="240" w:lineRule="auto"/>
              <w:jc w:val="left"/>
              <w:rPr>
                <w:b/>
                <w:sz w:val="20"/>
                <w:szCs w:val="20"/>
              </w:rPr>
            </w:pPr>
            <w:r>
              <w:rPr>
                <w:b/>
                <w:sz w:val="20"/>
                <w:szCs w:val="20"/>
              </w:rPr>
              <w:t>Name</w:t>
            </w:r>
          </w:p>
        </w:tc>
        <w:tc>
          <w:tcPr>
            <w:tcW w:w="1559" w:type="dxa"/>
            <w:tcBorders>
              <w:top w:val="single" w:sz="8" w:space="0" w:color="000000"/>
              <w:left w:val="single" w:sz="8" w:space="0" w:color="000000"/>
              <w:bottom w:val="single" w:sz="8" w:space="0" w:color="000000"/>
              <w:right w:val="single" w:sz="8" w:space="0" w:color="000000"/>
            </w:tcBorders>
            <w:hideMark/>
          </w:tcPr>
          <w:p w14:paraId="45F2F79A" w14:textId="77777777" w:rsidR="00DE7F88" w:rsidRDefault="00DE7F88">
            <w:pPr>
              <w:widowControl w:val="0"/>
              <w:spacing w:line="240" w:lineRule="auto"/>
              <w:jc w:val="left"/>
              <w:rPr>
                <w:b/>
                <w:sz w:val="20"/>
                <w:szCs w:val="20"/>
              </w:rPr>
            </w:pPr>
            <w:r>
              <w:rPr>
                <w:b/>
                <w:sz w:val="20"/>
                <w:szCs w:val="20"/>
              </w:rPr>
              <w:t>Reference</w:t>
            </w:r>
          </w:p>
        </w:tc>
        <w:tc>
          <w:tcPr>
            <w:tcW w:w="1190" w:type="dxa"/>
            <w:tcBorders>
              <w:top w:val="single" w:sz="8" w:space="0" w:color="000000"/>
              <w:left w:val="single" w:sz="8" w:space="0" w:color="000000"/>
              <w:bottom w:val="single" w:sz="8" w:space="0" w:color="000000"/>
              <w:right w:val="single" w:sz="8" w:space="0" w:color="000000"/>
            </w:tcBorders>
            <w:hideMark/>
          </w:tcPr>
          <w:p w14:paraId="15119F45" w14:textId="77777777" w:rsidR="00DE7F88" w:rsidRDefault="00DE7F88">
            <w:pPr>
              <w:widowControl w:val="0"/>
              <w:spacing w:line="240" w:lineRule="auto"/>
              <w:jc w:val="left"/>
              <w:rPr>
                <w:b/>
              </w:rPr>
            </w:pPr>
            <w:r>
              <w:rPr>
                <w:b/>
                <w:sz w:val="20"/>
                <w:szCs w:val="20"/>
              </w:rPr>
              <w:t>Mitigation</w:t>
            </w:r>
          </w:p>
        </w:tc>
        <w:tc>
          <w:tcPr>
            <w:tcW w:w="1220" w:type="dxa"/>
            <w:tcBorders>
              <w:top w:val="single" w:sz="8" w:space="0" w:color="000000"/>
              <w:left w:val="single" w:sz="8" w:space="0" w:color="000000"/>
              <w:bottom w:val="single" w:sz="8" w:space="0" w:color="000000"/>
              <w:right w:val="single" w:sz="8" w:space="0" w:color="000000"/>
            </w:tcBorders>
            <w:hideMark/>
          </w:tcPr>
          <w:p w14:paraId="6017E91D" w14:textId="77777777" w:rsidR="00DE7F88" w:rsidRDefault="00DE7F88">
            <w:pPr>
              <w:widowControl w:val="0"/>
              <w:spacing w:line="240" w:lineRule="auto"/>
              <w:jc w:val="left"/>
              <w:rPr>
                <w:b/>
                <w:sz w:val="20"/>
                <w:szCs w:val="20"/>
              </w:rPr>
            </w:pPr>
            <w:r>
              <w:rPr>
                <w:b/>
                <w:sz w:val="20"/>
                <w:szCs w:val="20"/>
              </w:rPr>
              <w:t>Adaptation</w:t>
            </w:r>
          </w:p>
        </w:tc>
        <w:tc>
          <w:tcPr>
            <w:tcW w:w="850" w:type="dxa"/>
            <w:tcBorders>
              <w:top w:val="single" w:sz="8" w:space="0" w:color="000000"/>
              <w:left w:val="single" w:sz="8" w:space="0" w:color="000000"/>
              <w:bottom w:val="single" w:sz="8" w:space="0" w:color="000000"/>
              <w:right w:val="single" w:sz="8" w:space="0" w:color="000000"/>
            </w:tcBorders>
            <w:hideMark/>
          </w:tcPr>
          <w:p w14:paraId="1056EF94" w14:textId="77777777" w:rsidR="00DE7F88" w:rsidRDefault="00DE7F88">
            <w:pPr>
              <w:widowControl w:val="0"/>
              <w:spacing w:line="240" w:lineRule="auto"/>
              <w:jc w:val="left"/>
              <w:rPr>
                <w:b/>
                <w:sz w:val="20"/>
                <w:szCs w:val="20"/>
              </w:rPr>
            </w:pPr>
            <w:r>
              <w:rPr>
                <w:b/>
                <w:sz w:val="20"/>
                <w:szCs w:val="20"/>
              </w:rPr>
              <w:t>Energy</w:t>
            </w:r>
          </w:p>
        </w:tc>
        <w:tc>
          <w:tcPr>
            <w:tcW w:w="900" w:type="dxa"/>
            <w:tcBorders>
              <w:top w:val="single" w:sz="8" w:space="0" w:color="000000"/>
              <w:left w:val="single" w:sz="8" w:space="0" w:color="000000"/>
              <w:bottom w:val="single" w:sz="8" w:space="0" w:color="000000"/>
              <w:right w:val="single" w:sz="8" w:space="0" w:color="000000"/>
            </w:tcBorders>
            <w:hideMark/>
          </w:tcPr>
          <w:p w14:paraId="7231C5C6" w14:textId="77777777" w:rsidR="00DE7F88" w:rsidRDefault="00DE7F88">
            <w:pPr>
              <w:widowControl w:val="0"/>
              <w:spacing w:line="240" w:lineRule="auto"/>
              <w:jc w:val="left"/>
              <w:rPr>
                <w:b/>
                <w:sz w:val="20"/>
                <w:szCs w:val="20"/>
              </w:rPr>
            </w:pPr>
            <w:r>
              <w:rPr>
                <w:b/>
                <w:sz w:val="20"/>
                <w:szCs w:val="20"/>
              </w:rPr>
              <w:t>General</w:t>
            </w:r>
          </w:p>
        </w:tc>
      </w:tr>
      <w:tr w:rsidR="00DE7F88" w14:paraId="683FBF03" w14:textId="77777777" w:rsidTr="00DE7F88">
        <w:trPr>
          <w:trHeight w:val="782"/>
        </w:trPr>
        <w:tc>
          <w:tcPr>
            <w:tcW w:w="3251" w:type="dxa"/>
            <w:tcBorders>
              <w:top w:val="single" w:sz="8" w:space="0" w:color="000000"/>
              <w:left w:val="single" w:sz="8" w:space="0" w:color="000000"/>
              <w:bottom w:val="single" w:sz="8" w:space="0" w:color="000000"/>
              <w:right w:val="single" w:sz="8" w:space="0" w:color="000000"/>
            </w:tcBorders>
            <w:hideMark/>
          </w:tcPr>
          <w:p w14:paraId="2D8BA1F8" w14:textId="77777777" w:rsidR="00DE7F88" w:rsidRDefault="00DE7F88">
            <w:pPr>
              <w:spacing w:after="160" w:line="256" w:lineRule="auto"/>
              <w:jc w:val="left"/>
              <w:rPr>
                <w:sz w:val="20"/>
                <w:szCs w:val="20"/>
              </w:rPr>
            </w:pPr>
            <w:r>
              <w:rPr>
                <w:sz w:val="20"/>
                <w:szCs w:val="20"/>
              </w:rPr>
              <w:t xml:space="preserve">Energy Systems. Chapter 6 in </w:t>
            </w:r>
            <w:proofErr w:type="gramStart"/>
            <w:r>
              <w:rPr>
                <w:sz w:val="20"/>
                <w:szCs w:val="20"/>
              </w:rPr>
              <w:t>In</w:t>
            </w:r>
            <w:proofErr w:type="gramEnd"/>
            <w:r>
              <w:rPr>
                <w:sz w:val="20"/>
                <w:szCs w:val="20"/>
              </w:rPr>
              <w:t xml:space="preserve"> IPCC, 2022: Climate Change 2022: Mitigation of Climate Change.</w:t>
            </w:r>
          </w:p>
        </w:tc>
        <w:tc>
          <w:tcPr>
            <w:tcW w:w="1559" w:type="dxa"/>
            <w:tcBorders>
              <w:top w:val="single" w:sz="8" w:space="0" w:color="000000"/>
              <w:left w:val="single" w:sz="8" w:space="0" w:color="000000"/>
              <w:bottom w:val="single" w:sz="8" w:space="0" w:color="000000"/>
              <w:right w:val="single" w:sz="8" w:space="0" w:color="000000"/>
            </w:tcBorders>
            <w:hideMark/>
          </w:tcPr>
          <w:p w14:paraId="60D18055" w14:textId="77777777" w:rsidR="00DE7F88" w:rsidRDefault="00DE7F88">
            <w:pPr>
              <w:widowControl w:val="0"/>
              <w:spacing w:line="240" w:lineRule="auto"/>
              <w:jc w:val="left"/>
              <w:rPr>
                <w:sz w:val="20"/>
                <w:szCs w:val="20"/>
              </w:rPr>
            </w:pPr>
            <w:r>
              <w:rPr>
                <w:sz w:val="20"/>
                <w:szCs w:val="20"/>
              </w:rPr>
              <w:t>Clarke et al., 2022</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60352387"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71A0EC66"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4599F6A5"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3E97FFDE"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2A5B5533" w14:textId="77777777" w:rsidTr="00DE7F88">
        <w:trPr>
          <w:trHeight w:val="784"/>
        </w:trPr>
        <w:tc>
          <w:tcPr>
            <w:tcW w:w="3251" w:type="dxa"/>
            <w:tcBorders>
              <w:top w:val="single" w:sz="8" w:space="0" w:color="000000"/>
              <w:left w:val="single" w:sz="8" w:space="0" w:color="000000"/>
              <w:bottom w:val="single" w:sz="8" w:space="0" w:color="000000"/>
              <w:right w:val="single" w:sz="8" w:space="0" w:color="000000"/>
            </w:tcBorders>
            <w:hideMark/>
          </w:tcPr>
          <w:p w14:paraId="708FCE59" w14:textId="77777777" w:rsidR="00DE7F88" w:rsidRDefault="00DE7F88">
            <w:pPr>
              <w:spacing w:after="160" w:line="256" w:lineRule="auto"/>
              <w:jc w:val="left"/>
              <w:rPr>
                <w:sz w:val="20"/>
                <w:szCs w:val="20"/>
              </w:rPr>
            </w:pPr>
            <w:r>
              <w:rPr>
                <w:sz w:val="20"/>
                <w:szCs w:val="20"/>
              </w:rPr>
              <w:t>Adaptation challenges and opportunities for the European energy system</w:t>
            </w:r>
          </w:p>
        </w:tc>
        <w:tc>
          <w:tcPr>
            <w:tcW w:w="1559" w:type="dxa"/>
            <w:tcBorders>
              <w:top w:val="single" w:sz="8" w:space="0" w:color="000000"/>
              <w:left w:val="single" w:sz="8" w:space="0" w:color="000000"/>
              <w:bottom w:val="single" w:sz="8" w:space="0" w:color="000000"/>
              <w:right w:val="single" w:sz="8" w:space="0" w:color="000000"/>
            </w:tcBorders>
            <w:hideMark/>
          </w:tcPr>
          <w:p w14:paraId="57EC1AA0" w14:textId="77777777" w:rsidR="00DE7F88" w:rsidRDefault="00DE7F88">
            <w:pPr>
              <w:widowControl w:val="0"/>
              <w:spacing w:line="240" w:lineRule="auto"/>
              <w:jc w:val="left"/>
              <w:rPr>
                <w:sz w:val="20"/>
                <w:szCs w:val="20"/>
              </w:rPr>
            </w:pPr>
            <w:r>
              <w:rPr>
                <w:sz w:val="20"/>
                <w:szCs w:val="20"/>
              </w:rPr>
              <w:t>EEA, 2019</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17C6545A"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2E9ECD93"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1D4141D1"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6B86B85A"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72F4921E" w14:textId="77777777" w:rsidTr="00DE7F88">
        <w:trPr>
          <w:trHeight w:val="375"/>
        </w:trPr>
        <w:tc>
          <w:tcPr>
            <w:tcW w:w="3251" w:type="dxa"/>
            <w:tcBorders>
              <w:top w:val="single" w:sz="8" w:space="0" w:color="000000"/>
              <w:left w:val="single" w:sz="8" w:space="0" w:color="000000"/>
              <w:bottom w:val="single" w:sz="8" w:space="0" w:color="000000"/>
              <w:right w:val="single" w:sz="8" w:space="0" w:color="000000"/>
            </w:tcBorders>
            <w:hideMark/>
          </w:tcPr>
          <w:p w14:paraId="0CE04CCA" w14:textId="77777777" w:rsidR="00DE7F88" w:rsidRDefault="00DE7F88">
            <w:pPr>
              <w:spacing w:after="160" w:line="256" w:lineRule="auto"/>
              <w:jc w:val="left"/>
              <w:rPr>
                <w:sz w:val="20"/>
                <w:szCs w:val="20"/>
              </w:rPr>
            </w:pPr>
            <w:r>
              <w:rPr>
                <w:sz w:val="20"/>
                <w:szCs w:val="20"/>
              </w:rPr>
              <w:t>Adapting infrastructure to climate change</w:t>
            </w:r>
          </w:p>
        </w:tc>
        <w:tc>
          <w:tcPr>
            <w:tcW w:w="1559" w:type="dxa"/>
            <w:tcBorders>
              <w:top w:val="single" w:sz="8" w:space="0" w:color="000000"/>
              <w:left w:val="single" w:sz="8" w:space="0" w:color="000000"/>
              <w:bottom w:val="single" w:sz="8" w:space="0" w:color="000000"/>
              <w:right w:val="single" w:sz="8" w:space="0" w:color="000000"/>
            </w:tcBorders>
            <w:hideMark/>
          </w:tcPr>
          <w:p w14:paraId="13EE8AE5" w14:textId="77777777" w:rsidR="00DE7F88" w:rsidRDefault="00DE7F88">
            <w:pPr>
              <w:widowControl w:val="0"/>
              <w:spacing w:line="240" w:lineRule="auto"/>
              <w:jc w:val="left"/>
              <w:rPr>
                <w:sz w:val="20"/>
                <w:szCs w:val="20"/>
              </w:rPr>
            </w:pPr>
            <w:r>
              <w:rPr>
                <w:sz w:val="20"/>
                <w:szCs w:val="20"/>
              </w:rPr>
              <w:t>European Commission, 2013</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41533ECB"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319CD627"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68D058ED"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1BF0763C"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3F44DF4F"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2B967D30" w14:textId="77777777" w:rsidR="00DE7F88" w:rsidRDefault="00DE7F88">
            <w:pPr>
              <w:spacing w:after="160" w:line="256" w:lineRule="auto"/>
              <w:jc w:val="left"/>
              <w:rPr>
                <w:sz w:val="20"/>
                <w:szCs w:val="20"/>
              </w:rPr>
            </w:pPr>
            <w:r>
              <w:rPr>
                <w:sz w:val="20"/>
                <w:szCs w:val="20"/>
              </w:rPr>
              <w:t>State and Trends in Adaptation Report 2021</w:t>
            </w:r>
          </w:p>
        </w:tc>
        <w:tc>
          <w:tcPr>
            <w:tcW w:w="1559" w:type="dxa"/>
            <w:tcBorders>
              <w:top w:val="single" w:sz="8" w:space="0" w:color="000000"/>
              <w:left w:val="single" w:sz="8" w:space="0" w:color="000000"/>
              <w:bottom w:val="single" w:sz="8" w:space="0" w:color="000000"/>
              <w:right w:val="single" w:sz="8" w:space="0" w:color="000000"/>
            </w:tcBorders>
            <w:hideMark/>
          </w:tcPr>
          <w:p w14:paraId="474D70AE" w14:textId="77777777" w:rsidR="00DE7F88" w:rsidRDefault="00DE7F88">
            <w:pPr>
              <w:widowControl w:val="0"/>
              <w:spacing w:line="240" w:lineRule="auto"/>
              <w:jc w:val="left"/>
              <w:rPr>
                <w:sz w:val="20"/>
                <w:szCs w:val="20"/>
              </w:rPr>
            </w:pPr>
            <w:r>
              <w:rPr>
                <w:sz w:val="20"/>
                <w:szCs w:val="20"/>
              </w:rPr>
              <w:t>GCA, 2021</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00E89FAD"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774268DD"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49BDEF41"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1690777E"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1627C834"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5037BEED" w14:textId="77777777" w:rsidR="00DE7F88" w:rsidRDefault="00DE7F88">
            <w:pPr>
              <w:spacing w:after="160" w:line="256" w:lineRule="auto"/>
              <w:jc w:val="left"/>
              <w:rPr>
                <w:sz w:val="20"/>
                <w:szCs w:val="20"/>
              </w:rPr>
            </w:pPr>
            <w:r>
              <w:rPr>
                <w:sz w:val="20"/>
                <w:szCs w:val="20"/>
              </w:rPr>
              <w:t>Lifelines: The Resilient Infrastructure Opportunity</w:t>
            </w:r>
          </w:p>
        </w:tc>
        <w:tc>
          <w:tcPr>
            <w:tcW w:w="1559" w:type="dxa"/>
            <w:tcBorders>
              <w:top w:val="single" w:sz="8" w:space="0" w:color="000000"/>
              <w:left w:val="single" w:sz="8" w:space="0" w:color="000000"/>
              <w:bottom w:val="single" w:sz="8" w:space="0" w:color="000000"/>
              <w:right w:val="single" w:sz="8" w:space="0" w:color="000000"/>
            </w:tcBorders>
            <w:hideMark/>
          </w:tcPr>
          <w:p w14:paraId="05A47327" w14:textId="77777777" w:rsidR="00DE7F88" w:rsidRDefault="00DE7F88">
            <w:pPr>
              <w:spacing w:after="160" w:line="256" w:lineRule="auto"/>
              <w:jc w:val="left"/>
              <w:rPr>
                <w:sz w:val="20"/>
                <w:szCs w:val="20"/>
              </w:rPr>
            </w:pPr>
            <w:proofErr w:type="spellStart"/>
            <w:r>
              <w:rPr>
                <w:sz w:val="20"/>
                <w:szCs w:val="20"/>
              </w:rPr>
              <w:t>Hallegatte</w:t>
            </w:r>
            <w:proofErr w:type="spellEnd"/>
            <w:r>
              <w:rPr>
                <w:sz w:val="20"/>
                <w:szCs w:val="20"/>
              </w:rPr>
              <w:t xml:space="preserve"> et al., 2019</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10E2459C"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53952C1D"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1CCA4874"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174A3D8B"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33E28F66"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0F382A0B" w14:textId="77777777" w:rsidR="00DE7F88" w:rsidRDefault="00DE7F88">
            <w:pPr>
              <w:spacing w:after="160" w:line="256" w:lineRule="auto"/>
              <w:jc w:val="left"/>
              <w:rPr>
                <w:sz w:val="20"/>
                <w:szCs w:val="20"/>
              </w:rPr>
            </w:pPr>
            <w:r>
              <w:rPr>
                <w:sz w:val="20"/>
                <w:szCs w:val="20"/>
              </w:rPr>
              <w:t>Net Zero by 2050 A Roadmap for the Global Energy Sector</w:t>
            </w:r>
          </w:p>
        </w:tc>
        <w:tc>
          <w:tcPr>
            <w:tcW w:w="1559" w:type="dxa"/>
            <w:tcBorders>
              <w:top w:val="single" w:sz="8" w:space="0" w:color="000000"/>
              <w:left w:val="single" w:sz="8" w:space="0" w:color="000000"/>
              <w:bottom w:val="single" w:sz="8" w:space="0" w:color="000000"/>
              <w:right w:val="single" w:sz="8" w:space="0" w:color="000000"/>
            </w:tcBorders>
            <w:hideMark/>
          </w:tcPr>
          <w:p w14:paraId="78B18F7B" w14:textId="77777777" w:rsidR="00DE7F88" w:rsidRDefault="00DE7F88">
            <w:pPr>
              <w:widowControl w:val="0"/>
              <w:spacing w:line="240" w:lineRule="auto"/>
              <w:jc w:val="left"/>
              <w:rPr>
                <w:sz w:val="20"/>
                <w:szCs w:val="20"/>
              </w:rPr>
            </w:pPr>
            <w:proofErr w:type="spellStart"/>
            <w:r>
              <w:rPr>
                <w:sz w:val="20"/>
                <w:szCs w:val="20"/>
                <w:highlight w:val="white"/>
              </w:rPr>
              <w:t>Bouckaert</w:t>
            </w:r>
            <w:proofErr w:type="spellEnd"/>
            <w:r>
              <w:rPr>
                <w:sz w:val="20"/>
                <w:szCs w:val="20"/>
                <w:highlight w:val="white"/>
              </w:rPr>
              <w:t xml:space="preserve"> et al.</w:t>
            </w:r>
            <w:r>
              <w:rPr>
                <w:sz w:val="20"/>
                <w:szCs w:val="20"/>
              </w:rPr>
              <w:t>, 2021</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4EDA5752"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2954C586"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342A6C43"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5A882439"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1E672A62"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15A41D17" w14:textId="77777777" w:rsidR="00DE7F88" w:rsidRDefault="00DE7F88">
            <w:pPr>
              <w:spacing w:after="160" w:line="256" w:lineRule="auto"/>
              <w:jc w:val="left"/>
              <w:rPr>
                <w:sz w:val="20"/>
                <w:szCs w:val="20"/>
              </w:rPr>
            </w:pPr>
            <w:r>
              <w:rPr>
                <w:i/>
                <w:sz w:val="20"/>
                <w:szCs w:val="20"/>
              </w:rPr>
              <w:t xml:space="preserve">Cities, Settlements and Key Infrastructure. </w:t>
            </w:r>
            <w:r>
              <w:rPr>
                <w:sz w:val="20"/>
                <w:szCs w:val="20"/>
              </w:rPr>
              <w:t>Chapter 6 in: Climate Change 2022: Impacts, Adaptation and Vulnerability</w:t>
            </w:r>
          </w:p>
        </w:tc>
        <w:tc>
          <w:tcPr>
            <w:tcW w:w="1559" w:type="dxa"/>
            <w:tcBorders>
              <w:top w:val="single" w:sz="8" w:space="0" w:color="000000"/>
              <w:left w:val="single" w:sz="8" w:space="0" w:color="000000"/>
              <w:bottom w:val="single" w:sz="8" w:space="0" w:color="000000"/>
              <w:right w:val="single" w:sz="8" w:space="0" w:color="000000"/>
            </w:tcBorders>
            <w:hideMark/>
          </w:tcPr>
          <w:p w14:paraId="53FCB772" w14:textId="77777777" w:rsidR="00DE7F88" w:rsidRDefault="00DE7F88">
            <w:pPr>
              <w:widowControl w:val="0"/>
              <w:spacing w:line="240" w:lineRule="auto"/>
              <w:jc w:val="left"/>
              <w:rPr>
                <w:sz w:val="20"/>
                <w:szCs w:val="20"/>
              </w:rPr>
            </w:pPr>
            <w:r>
              <w:rPr>
                <w:sz w:val="20"/>
                <w:szCs w:val="20"/>
              </w:rPr>
              <w:t>Dodman et al., 2022</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2116842E"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77D9A489"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738A1513"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13577D1B"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431F3BE8"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76D1C691" w14:textId="77777777" w:rsidR="00DE7F88" w:rsidRDefault="00DE7F88">
            <w:pPr>
              <w:spacing w:after="160" w:line="256" w:lineRule="auto"/>
              <w:jc w:val="left"/>
              <w:rPr>
                <w:sz w:val="20"/>
                <w:szCs w:val="20"/>
              </w:rPr>
            </w:pPr>
            <w:r>
              <w:rPr>
                <w:sz w:val="20"/>
                <w:szCs w:val="20"/>
              </w:rPr>
              <w:t>Actions to align energy projects with the Sustainable Development Goals</w:t>
            </w:r>
            <w:r>
              <w:rPr>
                <w:sz w:val="20"/>
                <w:szCs w:val="20"/>
                <w:vertAlign w:val="superscript"/>
              </w:rPr>
              <w:footnoteReference w:id="1"/>
            </w:r>
          </w:p>
        </w:tc>
        <w:tc>
          <w:tcPr>
            <w:tcW w:w="1559" w:type="dxa"/>
            <w:tcBorders>
              <w:top w:val="single" w:sz="8" w:space="0" w:color="000000"/>
              <w:left w:val="single" w:sz="8" w:space="0" w:color="000000"/>
              <w:bottom w:val="single" w:sz="8" w:space="0" w:color="000000"/>
              <w:right w:val="single" w:sz="8" w:space="0" w:color="000000"/>
            </w:tcBorders>
            <w:hideMark/>
          </w:tcPr>
          <w:p w14:paraId="68BBA820" w14:textId="77777777" w:rsidR="00DE7F88" w:rsidRDefault="00DE7F88">
            <w:pPr>
              <w:widowControl w:val="0"/>
              <w:spacing w:line="240" w:lineRule="auto"/>
              <w:jc w:val="left"/>
              <w:rPr>
                <w:sz w:val="20"/>
                <w:szCs w:val="20"/>
                <w:lang w:val="sv-SE"/>
              </w:rPr>
            </w:pPr>
            <w:r>
              <w:rPr>
                <w:sz w:val="20"/>
                <w:szCs w:val="20"/>
                <w:lang w:val="sv-SE"/>
              </w:rPr>
              <w:t>Leite de Almeida et al., 2021</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022DD2C8"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32FBFF80"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088597DD"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081FB2E9"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3E478E7C"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204A1404" w14:textId="77777777" w:rsidR="00DE7F88" w:rsidRDefault="00DE7F88">
            <w:pPr>
              <w:spacing w:after="160" w:line="256" w:lineRule="auto"/>
              <w:jc w:val="left"/>
              <w:rPr>
                <w:sz w:val="20"/>
                <w:szCs w:val="20"/>
              </w:rPr>
            </w:pPr>
            <w:r>
              <w:rPr>
                <w:sz w:val="20"/>
                <w:szCs w:val="20"/>
              </w:rPr>
              <w:t>Climate-resilient Infrastructure</w:t>
            </w:r>
          </w:p>
        </w:tc>
        <w:tc>
          <w:tcPr>
            <w:tcW w:w="1559" w:type="dxa"/>
            <w:tcBorders>
              <w:top w:val="single" w:sz="8" w:space="0" w:color="000000"/>
              <w:left w:val="single" w:sz="8" w:space="0" w:color="000000"/>
              <w:bottom w:val="single" w:sz="8" w:space="0" w:color="000000"/>
              <w:right w:val="single" w:sz="8" w:space="0" w:color="000000"/>
            </w:tcBorders>
            <w:hideMark/>
          </w:tcPr>
          <w:p w14:paraId="54EEA409" w14:textId="77777777" w:rsidR="00DE7F88" w:rsidRDefault="00DE7F88">
            <w:pPr>
              <w:widowControl w:val="0"/>
              <w:spacing w:line="240" w:lineRule="auto"/>
              <w:jc w:val="left"/>
              <w:rPr>
                <w:sz w:val="20"/>
                <w:szCs w:val="20"/>
              </w:rPr>
            </w:pPr>
            <w:r>
              <w:rPr>
                <w:sz w:val="20"/>
                <w:szCs w:val="20"/>
              </w:rPr>
              <w:t>OECD, 2018</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6217CB27"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45D987DC"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453DE3F4"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725EEA18"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1F8C358F"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5A31F6F3" w14:textId="77777777" w:rsidR="00DE7F88" w:rsidRDefault="00DE7F88">
            <w:pPr>
              <w:spacing w:after="160" w:line="256" w:lineRule="auto"/>
              <w:jc w:val="left"/>
              <w:rPr>
                <w:sz w:val="20"/>
                <w:szCs w:val="20"/>
              </w:rPr>
            </w:pPr>
            <w:r>
              <w:rPr>
                <w:sz w:val="20"/>
                <w:szCs w:val="20"/>
              </w:rPr>
              <w:t>Infrastructure for climate action</w:t>
            </w:r>
          </w:p>
        </w:tc>
        <w:tc>
          <w:tcPr>
            <w:tcW w:w="1559" w:type="dxa"/>
            <w:tcBorders>
              <w:top w:val="single" w:sz="8" w:space="0" w:color="000000"/>
              <w:left w:val="single" w:sz="8" w:space="0" w:color="000000"/>
              <w:bottom w:val="single" w:sz="8" w:space="0" w:color="000000"/>
              <w:right w:val="single" w:sz="8" w:space="0" w:color="000000"/>
            </w:tcBorders>
            <w:hideMark/>
          </w:tcPr>
          <w:p w14:paraId="49DBA231" w14:textId="77777777" w:rsidR="00DE7F88" w:rsidRDefault="00DE7F88">
            <w:pPr>
              <w:widowControl w:val="0"/>
              <w:spacing w:line="240" w:lineRule="auto"/>
              <w:jc w:val="left"/>
              <w:rPr>
                <w:sz w:val="20"/>
                <w:szCs w:val="20"/>
              </w:rPr>
            </w:pPr>
            <w:r>
              <w:rPr>
                <w:sz w:val="20"/>
                <w:szCs w:val="20"/>
              </w:rPr>
              <w:t>Thacker et al., 2021</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09EA0A72"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729F6651"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68252663"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743E92A2"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66FD3EEC"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60EF6738" w14:textId="77777777" w:rsidR="00DE7F88" w:rsidRDefault="00DE7F88">
            <w:pPr>
              <w:spacing w:after="160" w:line="256" w:lineRule="auto"/>
              <w:jc w:val="left"/>
              <w:rPr>
                <w:sz w:val="20"/>
                <w:szCs w:val="20"/>
              </w:rPr>
            </w:pPr>
            <w:r>
              <w:rPr>
                <w:sz w:val="20"/>
                <w:szCs w:val="20"/>
              </w:rPr>
              <w:t>International Good Practice Principles for Sustainable Infrastructure</w:t>
            </w:r>
          </w:p>
        </w:tc>
        <w:tc>
          <w:tcPr>
            <w:tcW w:w="1559" w:type="dxa"/>
            <w:tcBorders>
              <w:top w:val="single" w:sz="8" w:space="0" w:color="000000"/>
              <w:left w:val="single" w:sz="8" w:space="0" w:color="000000"/>
              <w:bottom w:val="single" w:sz="8" w:space="0" w:color="000000"/>
              <w:right w:val="single" w:sz="8" w:space="0" w:color="000000"/>
            </w:tcBorders>
            <w:hideMark/>
          </w:tcPr>
          <w:p w14:paraId="5B57B8FE" w14:textId="77777777" w:rsidR="00DE7F88" w:rsidRDefault="00DE7F88">
            <w:pPr>
              <w:widowControl w:val="0"/>
              <w:spacing w:line="240" w:lineRule="auto"/>
              <w:jc w:val="left"/>
              <w:rPr>
                <w:sz w:val="20"/>
                <w:szCs w:val="20"/>
              </w:rPr>
            </w:pPr>
            <w:r>
              <w:rPr>
                <w:sz w:val="20"/>
                <w:szCs w:val="20"/>
              </w:rPr>
              <w:t>UNEP, 2022a</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4F60C675"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4EAA5CB5"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78B35C4C"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13E8D9EE"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r w:rsidR="00DE7F88" w14:paraId="2F7FE8D5" w14:textId="77777777" w:rsidTr="00DE7F88">
        <w:tc>
          <w:tcPr>
            <w:tcW w:w="3251" w:type="dxa"/>
            <w:tcBorders>
              <w:top w:val="single" w:sz="8" w:space="0" w:color="000000"/>
              <w:left w:val="single" w:sz="8" w:space="0" w:color="000000"/>
              <w:bottom w:val="single" w:sz="8" w:space="0" w:color="000000"/>
              <w:right w:val="single" w:sz="8" w:space="0" w:color="000000"/>
            </w:tcBorders>
            <w:hideMark/>
          </w:tcPr>
          <w:p w14:paraId="1C63DE2B" w14:textId="77777777" w:rsidR="00DE7F88" w:rsidRDefault="00DE7F88">
            <w:pPr>
              <w:spacing w:after="160" w:line="256" w:lineRule="auto"/>
              <w:jc w:val="left"/>
              <w:rPr>
                <w:sz w:val="20"/>
                <w:szCs w:val="20"/>
              </w:rPr>
            </w:pPr>
            <w:r>
              <w:rPr>
                <w:sz w:val="20"/>
                <w:szCs w:val="20"/>
              </w:rPr>
              <w:t>Emissions Gap Report 2022: The Closing Window</w:t>
            </w:r>
          </w:p>
        </w:tc>
        <w:tc>
          <w:tcPr>
            <w:tcW w:w="1559" w:type="dxa"/>
            <w:tcBorders>
              <w:top w:val="single" w:sz="8" w:space="0" w:color="000000"/>
              <w:left w:val="single" w:sz="8" w:space="0" w:color="000000"/>
              <w:bottom w:val="single" w:sz="8" w:space="0" w:color="000000"/>
              <w:right w:val="single" w:sz="8" w:space="0" w:color="000000"/>
            </w:tcBorders>
            <w:hideMark/>
          </w:tcPr>
          <w:p w14:paraId="3E4EE9D1" w14:textId="77777777" w:rsidR="00DE7F88" w:rsidRDefault="00DE7F88">
            <w:pPr>
              <w:widowControl w:val="0"/>
              <w:spacing w:line="240" w:lineRule="auto"/>
              <w:jc w:val="left"/>
              <w:rPr>
                <w:sz w:val="20"/>
                <w:szCs w:val="20"/>
              </w:rPr>
            </w:pPr>
            <w:r>
              <w:rPr>
                <w:sz w:val="20"/>
                <w:szCs w:val="20"/>
              </w:rPr>
              <w:t>UNEP, 2022b</w:t>
            </w:r>
          </w:p>
        </w:tc>
        <w:tc>
          <w:tcPr>
            <w:tcW w:w="1190" w:type="dxa"/>
            <w:tcBorders>
              <w:top w:val="single" w:sz="8" w:space="0" w:color="000000"/>
              <w:left w:val="single" w:sz="8" w:space="0" w:color="000000"/>
              <w:bottom w:val="single" w:sz="8" w:space="0" w:color="000000"/>
              <w:right w:val="single" w:sz="8" w:space="0" w:color="000000"/>
            </w:tcBorders>
            <w:vAlign w:val="center"/>
            <w:hideMark/>
          </w:tcPr>
          <w:p w14:paraId="746CDABA"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1220" w:type="dxa"/>
            <w:tcBorders>
              <w:top w:val="single" w:sz="8" w:space="0" w:color="000000"/>
              <w:left w:val="single" w:sz="8" w:space="0" w:color="000000"/>
              <w:bottom w:val="single" w:sz="8" w:space="0" w:color="000000"/>
              <w:right w:val="single" w:sz="8" w:space="0" w:color="000000"/>
            </w:tcBorders>
            <w:vAlign w:val="center"/>
            <w:hideMark/>
          </w:tcPr>
          <w:p w14:paraId="0F100FAE"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76362E4B"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c>
          <w:tcPr>
            <w:tcW w:w="900" w:type="dxa"/>
            <w:tcBorders>
              <w:top w:val="single" w:sz="8" w:space="0" w:color="000000"/>
              <w:left w:val="single" w:sz="8" w:space="0" w:color="000000"/>
              <w:bottom w:val="single" w:sz="8" w:space="0" w:color="000000"/>
              <w:right w:val="single" w:sz="8" w:space="0" w:color="000000"/>
            </w:tcBorders>
            <w:vAlign w:val="center"/>
            <w:hideMark/>
          </w:tcPr>
          <w:p w14:paraId="179AFA45" w14:textId="77777777" w:rsidR="00DE7F88" w:rsidRDefault="00DE7F88">
            <w:pPr>
              <w:widowControl w:val="0"/>
              <w:spacing w:line="240" w:lineRule="auto"/>
              <w:jc w:val="center"/>
              <w:rPr>
                <w:b/>
                <w:sz w:val="20"/>
                <w:szCs w:val="20"/>
              </w:rPr>
            </w:pPr>
            <w:r>
              <w:rPr>
                <w:rFonts w:ascii="MS Gothic" w:eastAsia="MS Gothic" w:hAnsi="MS Gothic" w:cs="MS Gothic" w:hint="eastAsia"/>
                <w:b/>
                <w:sz w:val="20"/>
                <w:szCs w:val="20"/>
              </w:rPr>
              <w:t>☒</w:t>
            </w:r>
          </w:p>
        </w:tc>
      </w:tr>
    </w:tbl>
    <w:p w14:paraId="5913FCF5" w14:textId="77777777" w:rsidR="00DE7F88" w:rsidRDefault="00DE7F88" w:rsidP="00DE7F88">
      <w:pPr>
        <w:rPr>
          <w:i/>
          <w:sz w:val="20"/>
          <w:szCs w:val="20"/>
        </w:rPr>
      </w:pPr>
    </w:p>
    <w:p w14:paraId="6EDC2B14" w14:textId="77777777" w:rsidR="00DE7F88" w:rsidRDefault="00DE7F88" w:rsidP="00DE7F88">
      <w:pPr>
        <w:rPr>
          <w:sz w:val="20"/>
          <w:szCs w:val="20"/>
        </w:rPr>
      </w:pPr>
      <w:r>
        <w:rPr>
          <w:i/>
          <w:sz w:val="20"/>
          <w:szCs w:val="20"/>
        </w:rPr>
        <w:t xml:space="preserve">Annex IV, Table 2. References of themes in document analysis. Discovered themes from document analysis and their occurrence in documents. The second column refers to the documents that mentioned the theme as a strategy for climate mitigation and adaptation respectively. Themes indicated as blue are intended to be applicable as both </w:t>
      </w:r>
      <w:r>
        <w:rPr>
          <w:i/>
          <w:sz w:val="20"/>
          <w:szCs w:val="20"/>
        </w:rPr>
        <w:lastRenderedPageBreak/>
        <w:t>mitigation and adaptation strategies, while yellow themes are specific to mitigation and red themes specific for adaptation.</w:t>
      </w:r>
    </w:p>
    <w:tbl>
      <w:tblPr>
        <w:tblW w:w="8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10"/>
        <w:gridCol w:w="5445"/>
      </w:tblGrid>
      <w:tr w:rsidR="00DE7F88" w14:paraId="4FAE1258" w14:textId="77777777" w:rsidTr="00DE7F88">
        <w:tc>
          <w:tcPr>
            <w:tcW w:w="35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6D8392" w14:textId="77777777" w:rsidR="00DE7F88" w:rsidRDefault="00DE7F88">
            <w:pPr>
              <w:widowControl w:val="0"/>
              <w:jc w:val="left"/>
              <w:rPr>
                <w:sz w:val="20"/>
                <w:szCs w:val="20"/>
              </w:rPr>
            </w:pPr>
            <w:r>
              <w:rPr>
                <w:b/>
                <w:sz w:val="20"/>
                <w:szCs w:val="20"/>
              </w:rPr>
              <w:t>Theme</w:t>
            </w:r>
          </w:p>
        </w:tc>
        <w:tc>
          <w:tcPr>
            <w:tcW w:w="5445"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hideMark/>
          </w:tcPr>
          <w:p w14:paraId="775D41B1" w14:textId="77777777" w:rsidR="00DE7F88" w:rsidRDefault="00DE7F88">
            <w:pPr>
              <w:widowControl w:val="0"/>
              <w:spacing w:line="240" w:lineRule="auto"/>
              <w:jc w:val="left"/>
              <w:rPr>
                <w:b/>
                <w:sz w:val="20"/>
                <w:szCs w:val="20"/>
              </w:rPr>
            </w:pPr>
            <w:r>
              <w:rPr>
                <w:b/>
                <w:sz w:val="20"/>
                <w:szCs w:val="20"/>
              </w:rPr>
              <w:t>Source</w:t>
            </w:r>
          </w:p>
        </w:tc>
      </w:tr>
      <w:tr w:rsidR="00DE7F88" w14:paraId="28ECCA78"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64029B4C" w14:textId="77777777" w:rsidR="00DE7F88" w:rsidRDefault="00DE7F88">
            <w:pPr>
              <w:widowControl w:val="0"/>
              <w:jc w:val="left"/>
              <w:rPr>
                <w:sz w:val="20"/>
                <w:szCs w:val="20"/>
              </w:rPr>
            </w:pPr>
            <w:r>
              <w:rPr>
                <w:sz w:val="20"/>
                <w:szCs w:val="20"/>
              </w:rPr>
              <w:t>Stakeholder Mapping and Engagement</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0CB0F0" w14:textId="77777777" w:rsidR="00DE7F88" w:rsidRDefault="00DE7F88">
            <w:pPr>
              <w:widowControl w:val="0"/>
              <w:jc w:val="left"/>
              <w:rPr>
                <w:sz w:val="18"/>
                <w:szCs w:val="18"/>
              </w:rPr>
            </w:pPr>
            <w:r>
              <w:rPr>
                <w:sz w:val="18"/>
                <w:szCs w:val="18"/>
              </w:rPr>
              <w:t>(</w:t>
            </w:r>
            <w:proofErr w:type="spellStart"/>
            <w:r>
              <w:rPr>
                <w:sz w:val="18"/>
                <w:szCs w:val="18"/>
                <w:highlight w:val="white"/>
              </w:rPr>
              <w:t>Bouckaert</w:t>
            </w:r>
            <w:proofErr w:type="spellEnd"/>
            <w:r>
              <w:rPr>
                <w:sz w:val="18"/>
                <w:szCs w:val="18"/>
                <w:highlight w:val="white"/>
              </w:rPr>
              <w:t xml:space="preserve"> et al.</w:t>
            </w:r>
            <w:r>
              <w:rPr>
                <w:sz w:val="18"/>
                <w:szCs w:val="18"/>
              </w:rPr>
              <w:t xml:space="preserve">, 2021; Clarke et al., 2022; </w:t>
            </w:r>
            <w:r>
              <w:rPr>
                <w:color w:val="1F1F1F"/>
                <w:sz w:val="18"/>
                <w:szCs w:val="18"/>
                <w:highlight w:val="white"/>
              </w:rPr>
              <w:t>European Commission, 2013; GCA, 2021</w:t>
            </w:r>
            <w:r>
              <w:rPr>
                <w:sz w:val="18"/>
                <w:szCs w:val="18"/>
                <w:highlight w:val="white"/>
              </w:rPr>
              <w:t>;</w:t>
            </w:r>
            <w:r>
              <w:rPr>
                <w:color w:val="1F1F1F"/>
                <w:sz w:val="18"/>
                <w:szCs w:val="18"/>
                <w:highlight w:val="white"/>
              </w:rPr>
              <w:t xml:space="preserve"> </w:t>
            </w:r>
            <w:r>
              <w:rPr>
                <w:sz w:val="18"/>
                <w:szCs w:val="18"/>
              </w:rPr>
              <w:t xml:space="preserve">Dodman et al., 2022; </w:t>
            </w:r>
            <w:proofErr w:type="spellStart"/>
            <w:r>
              <w:rPr>
                <w:color w:val="1F1F1F"/>
                <w:sz w:val="18"/>
                <w:szCs w:val="18"/>
                <w:highlight w:val="white"/>
              </w:rPr>
              <w:t>Leite</w:t>
            </w:r>
            <w:proofErr w:type="spellEnd"/>
            <w:r>
              <w:rPr>
                <w:color w:val="1F1F1F"/>
                <w:sz w:val="18"/>
                <w:szCs w:val="18"/>
                <w:highlight w:val="white"/>
              </w:rPr>
              <w:t xml:space="preserve"> de Almeida et al., 2021; OECD 2018; Thacker et al., 2021; UNEP, 2022a)</w:t>
            </w:r>
            <w:r>
              <w:rPr>
                <w:sz w:val="18"/>
                <w:szCs w:val="18"/>
              </w:rPr>
              <w:t xml:space="preserve"> </w:t>
            </w:r>
          </w:p>
        </w:tc>
      </w:tr>
      <w:tr w:rsidR="00DE7F88" w14:paraId="25EEF24A"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1F202AEC" w14:textId="77777777" w:rsidR="00DE7F88" w:rsidRDefault="00DE7F88">
            <w:pPr>
              <w:widowControl w:val="0"/>
              <w:jc w:val="left"/>
              <w:rPr>
                <w:sz w:val="20"/>
                <w:szCs w:val="20"/>
              </w:rPr>
            </w:pPr>
            <w:r>
              <w:rPr>
                <w:sz w:val="20"/>
                <w:szCs w:val="20"/>
              </w:rPr>
              <w:t>Use of Indigenous and Local Knowledge</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1B6498" w14:textId="77777777" w:rsidR="00DE7F88" w:rsidRDefault="00DE7F88">
            <w:pPr>
              <w:widowControl w:val="0"/>
              <w:jc w:val="left"/>
              <w:rPr>
                <w:sz w:val="18"/>
                <w:szCs w:val="18"/>
                <w:lang w:val="sv-SE"/>
              </w:rPr>
            </w:pPr>
            <w:r>
              <w:rPr>
                <w:sz w:val="18"/>
                <w:szCs w:val="18"/>
                <w:lang w:val="sv-SE"/>
              </w:rPr>
              <w:t xml:space="preserve">(Clarke et al., 2022; GCA, 2021; Dodman et al., 2022; </w:t>
            </w:r>
            <w:r>
              <w:rPr>
                <w:color w:val="1F1F1F"/>
                <w:sz w:val="18"/>
                <w:szCs w:val="18"/>
                <w:highlight w:val="white"/>
                <w:lang w:val="sv-SE"/>
              </w:rPr>
              <w:t>Leite de Almeida et al., 2021; OECD 2018)</w:t>
            </w:r>
            <w:r>
              <w:rPr>
                <w:sz w:val="18"/>
                <w:szCs w:val="18"/>
                <w:lang w:val="sv-SE"/>
              </w:rPr>
              <w:t xml:space="preserve"> </w:t>
            </w:r>
          </w:p>
        </w:tc>
      </w:tr>
      <w:tr w:rsidR="00DE7F88" w14:paraId="78A12563"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5AD1B6E8" w14:textId="77777777" w:rsidR="00DE7F88" w:rsidRDefault="00DE7F88">
            <w:pPr>
              <w:widowControl w:val="0"/>
              <w:jc w:val="left"/>
              <w:rPr>
                <w:sz w:val="20"/>
                <w:szCs w:val="20"/>
              </w:rPr>
            </w:pPr>
            <w:r>
              <w:rPr>
                <w:sz w:val="20"/>
                <w:szCs w:val="20"/>
              </w:rPr>
              <w:t>Policy Coherence</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62BAB3" w14:textId="77777777" w:rsidR="00DE7F88" w:rsidRDefault="00DE7F88">
            <w:pPr>
              <w:widowControl w:val="0"/>
              <w:jc w:val="left"/>
              <w:rPr>
                <w:sz w:val="18"/>
                <w:szCs w:val="18"/>
              </w:rPr>
            </w:pPr>
            <w:r>
              <w:rPr>
                <w:sz w:val="18"/>
                <w:szCs w:val="18"/>
              </w:rPr>
              <w:t>(</w:t>
            </w:r>
            <w:proofErr w:type="spellStart"/>
            <w:r>
              <w:rPr>
                <w:sz w:val="18"/>
                <w:szCs w:val="18"/>
                <w:highlight w:val="white"/>
              </w:rPr>
              <w:t>Bouckaert</w:t>
            </w:r>
            <w:proofErr w:type="spellEnd"/>
            <w:r>
              <w:rPr>
                <w:sz w:val="18"/>
                <w:szCs w:val="18"/>
                <w:highlight w:val="white"/>
              </w:rPr>
              <w:t xml:space="preserve"> et al.</w:t>
            </w:r>
            <w:r>
              <w:rPr>
                <w:sz w:val="18"/>
                <w:szCs w:val="18"/>
              </w:rPr>
              <w:t xml:space="preserve">, 2021; Clarke et al., 2022; </w:t>
            </w:r>
            <w:proofErr w:type="spellStart"/>
            <w:r>
              <w:rPr>
                <w:sz w:val="18"/>
                <w:szCs w:val="18"/>
              </w:rPr>
              <w:t>Hallegatte</w:t>
            </w:r>
            <w:proofErr w:type="spellEnd"/>
            <w:r>
              <w:rPr>
                <w:sz w:val="18"/>
                <w:szCs w:val="18"/>
              </w:rPr>
              <w:t xml:space="preserve">, Rentschler, &amp; </w:t>
            </w:r>
            <w:proofErr w:type="spellStart"/>
            <w:r>
              <w:rPr>
                <w:sz w:val="18"/>
                <w:szCs w:val="18"/>
              </w:rPr>
              <w:t>Rozenberg</w:t>
            </w:r>
            <w:proofErr w:type="spellEnd"/>
            <w:r>
              <w:rPr>
                <w:sz w:val="18"/>
                <w:szCs w:val="18"/>
              </w:rPr>
              <w:t xml:space="preserve">, 2019; </w:t>
            </w:r>
            <w:r>
              <w:rPr>
                <w:sz w:val="18"/>
                <w:szCs w:val="18"/>
                <w:highlight w:val="white"/>
              </w:rPr>
              <w:t>UNEP, 2022a)</w:t>
            </w:r>
          </w:p>
        </w:tc>
      </w:tr>
      <w:tr w:rsidR="00DE7F88" w14:paraId="021620BE"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5924484A" w14:textId="77777777" w:rsidR="00DE7F88" w:rsidRDefault="00DE7F88">
            <w:pPr>
              <w:widowControl w:val="0"/>
              <w:jc w:val="left"/>
              <w:rPr>
                <w:sz w:val="20"/>
                <w:szCs w:val="20"/>
              </w:rPr>
            </w:pPr>
            <w:r>
              <w:rPr>
                <w:sz w:val="20"/>
                <w:szCs w:val="20"/>
              </w:rPr>
              <w:t>Interdependencies/Systems Planning</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F62C80" w14:textId="77777777" w:rsidR="00DE7F88" w:rsidRDefault="00DE7F88">
            <w:pPr>
              <w:widowControl w:val="0"/>
              <w:jc w:val="left"/>
              <w:rPr>
                <w:sz w:val="18"/>
                <w:szCs w:val="18"/>
              </w:rPr>
            </w:pPr>
            <w:r>
              <w:rPr>
                <w:sz w:val="18"/>
                <w:szCs w:val="18"/>
              </w:rPr>
              <w:t xml:space="preserve">(Clarke et al., 2022; </w:t>
            </w:r>
            <w:r>
              <w:rPr>
                <w:color w:val="1F1F1F"/>
                <w:sz w:val="18"/>
                <w:szCs w:val="18"/>
                <w:highlight w:val="white"/>
              </w:rPr>
              <w:t xml:space="preserve">European Commission, 2013; GCA, 2021; </w:t>
            </w:r>
            <w:proofErr w:type="spellStart"/>
            <w:r>
              <w:rPr>
                <w:sz w:val="18"/>
                <w:szCs w:val="18"/>
              </w:rPr>
              <w:t>Hallegatte</w:t>
            </w:r>
            <w:proofErr w:type="spellEnd"/>
            <w:r>
              <w:rPr>
                <w:sz w:val="18"/>
                <w:szCs w:val="18"/>
              </w:rPr>
              <w:t xml:space="preserve">, Rentschler, &amp; </w:t>
            </w:r>
            <w:proofErr w:type="spellStart"/>
            <w:r>
              <w:rPr>
                <w:sz w:val="18"/>
                <w:szCs w:val="18"/>
              </w:rPr>
              <w:t>Rozenberg</w:t>
            </w:r>
            <w:proofErr w:type="spellEnd"/>
            <w:r>
              <w:rPr>
                <w:sz w:val="18"/>
                <w:szCs w:val="18"/>
              </w:rPr>
              <w:t xml:space="preserve">, 2019; Dodman et al., 2022; </w:t>
            </w:r>
            <w:r>
              <w:rPr>
                <w:color w:val="1F1F1F"/>
                <w:sz w:val="18"/>
                <w:szCs w:val="18"/>
                <w:highlight w:val="white"/>
              </w:rPr>
              <w:t>OECD 2018; Thacker et al., 2021; UNEP, 2022a)</w:t>
            </w:r>
          </w:p>
        </w:tc>
      </w:tr>
      <w:tr w:rsidR="00DE7F88" w14:paraId="1DAF1D27"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25F2BE44" w14:textId="77777777" w:rsidR="00DE7F88" w:rsidRDefault="00DE7F88">
            <w:pPr>
              <w:widowControl w:val="0"/>
              <w:jc w:val="left"/>
              <w:rPr>
                <w:sz w:val="20"/>
                <w:szCs w:val="20"/>
              </w:rPr>
            </w:pPr>
            <w:r>
              <w:rPr>
                <w:sz w:val="20"/>
                <w:szCs w:val="20"/>
              </w:rPr>
              <w:t>Best Practices</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79F4BE" w14:textId="77777777" w:rsidR="00DE7F88" w:rsidRDefault="00DE7F88">
            <w:pPr>
              <w:widowControl w:val="0"/>
              <w:jc w:val="left"/>
              <w:rPr>
                <w:sz w:val="18"/>
                <w:szCs w:val="18"/>
                <w:lang w:val="sv-SE"/>
              </w:rPr>
            </w:pPr>
            <w:r>
              <w:rPr>
                <w:sz w:val="18"/>
                <w:szCs w:val="18"/>
                <w:lang w:val="sv-SE"/>
              </w:rPr>
              <w:t>(GCA, 2021; Dodman et al., 2022; Thacker et al., 2021)</w:t>
            </w:r>
          </w:p>
        </w:tc>
      </w:tr>
      <w:tr w:rsidR="00DE7F88" w14:paraId="617CA14F"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61FE2C05" w14:textId="77777777" w:rsidR="00DE7F88" w:rsidRDefault="00DE7F88">
            <w:pPr>
              <w:widowControl w:val="0"/>
              <w:jc w:val="left"/>
              <w:rPr>
                <w:sz w:val="20"/>
                <w:szCs w:val="20"/>
              </w:rPr>
            </w:pPr>
            <w:r>
              <w:rPr>
                <w:sz w:val="20"/>
                <w:szCs w:val="20"/>
              </w:rPr>
              <w:t>Environmental Assessments</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EBA743" w14:textId="77777777" w:rsidR="00DE7F88" w:rsidRDefault="00DE7F88">
            <w:pPr>
              <w:widowControl w:val="0"/>
              <w:jc w:val="left"/>
              <w:rPr>
                <w:sz w:val="18"/>
                <w:szCs w:val="18"/>
              </w:rPr>
            </w:pPr>
            <w:r>
              <w:rPr>
                <w:sz w:val="18"/>
                <w:szCs w:val="18"/>
              </w:rPr>
              <w:t>(OECD, 2018; UNEP 2022a)</w:t>
            </w:r>
          </w:p>
        </w:tc>
      </w:tr>
      <w:tr w:rsidR="00DE7F88" w14:paraId="44CC3275"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05454A2A" w14:textId="77777777" w:rsidR="00DE7F88" w:rsidRDefault="00DE7F88">
            <w:pPr>
              <w:widowControl w:val="0"/>
              <w:jc w:val="left"/>
              <w:rPr>
                <w:sz w:val="20"/>
                <w:szCs w:val="20"/>
              </w:rPr>
            </w:pPr>
            <w:r>
              <w:rPr>
                <w:sz w:val="20"/>
                <w:szCs w:val="20"/>
              </w:rPr>
              <w:t>Asset Management/Maintenance</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3AE767" w14:textId="77777777" w:rsidR="00DE7F88" w:rsidRDefault="00DE7F88">
            <w:pPr>
              <w:widowControl w:val="0"/>
              <w:jc w:val="left"/>
              <w:rPr>
                <w:sz w:val="18"/>
                <w:szCs w:val="18"/>
              </w:rPr>
            </w:pPr>
            <w:r>
              <w:rPr>
                <w:sz w:val="18"/>
                <w:szCs w:val="18"/>
              </w:rPr>
              <w:t xml:space="preserve">(EEA, 2019; </w:t>
            </w:r>
            <w:r>
              <w:rPr>
                <w:color w:val="1F1F1F"/>
                <w:sz w:val="18"/>
                <w:szCs w:val="18"/>
                <w:highlight w:val="white"/>
              </w:rPr>
              <w:t xml:space="preserve">European Commission, 2013; GCA, 2021; </w:t>
            </w:r>
            <w:proofErr w:type="spellStart"/>
            <w:r>
              <w:rPr>
                <w:color w:val="1F1F1F"/>
                <w:sz w:val="18"/>
                <w:szCs w:val="18"/>
                <w:highlight w:val="white"/>
              </w:rPr>
              <w:t>Leite</w:t>
            </w:r>
            <w:proofErr w:type="spellEnd"/>
            <w:r>
              <w:rPr>
                <w:color w:val="1F1F1F"/>
                <w:sz w:val="18"/>
                <w:szCs w:val="18"/>
                <w:highlight w:val="white"/>
              </w:rPr>
              <w:t xml:space="preserve"> de Almeida et al., 2021; OECD 2018; Thacker et al., 2021; UNEP 2022a)</w:t>
            </w:r>
          </w:p>
        </w:tc>
      </w:tr>
      <w:tr w:rsidR="00DE7F88" w14:paraId="123C4C07"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68B89CC0" w14:textId="77777777" w:rsidR="00DE7F88" w:rsidRDefault="00DE7F88">
            <w:pPr>
              <w:widowControl w:val="0"/>
              <w:jc w:val="left"/>
              <w:rPr>
                <w:sz w:val="20"/>
                <w:szCs w:val="20"/>
              </w:rPr>
            </w:pPr>
            <w:r>
              <w:rPr>
                <w:sz w:val="20"/>
                <w:szCs w:val="20"/>
              </w:rPr>
              <w:t>Nature-Based Solutions</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626152" w14:textId="77777777" w:rsidR="00DE7F88" w:rsidRDefault="00DE7F88">
            <w:pPr>
              <w:widowControl w:val="0"/>
              <w:jc w:val="left"/>
              <w:rPr>
                <w:sz w:val="18"/>
                <w:szCs w:val="18"/>
              </w:rPr>
            </w:pPr>
            <w:r>
              <w:rPr>
                <w:sz w:val="18"/>
                <w:szCs w:val="18"/>
              </w:rPr>
              <w:t>(</w:t>
            </w:r>
            <w:r>
              <w:rPr>
                <w:color w:val="1F1F1F"/>
                <w:sz w:val="18"/>
                <w:szCs w:val="18"/>
                <w:highlight w:val="white"/>
              </w:rPr>
              <w:t xml:space="preserve">GCA, 2021; </w:t>
            </w:r>
            <w:proofErr w:type="spellStart"/>
            <w:r>
              <w:rPr>
                <w:sz w:val="18"/>
                <w:szCs w:val="18"/>
              </w:rPr>
              <w:t>Hallegatte</w:t>
            </w:r>
            <w:proofErr w:type="spellEnd"/>
            <w:r>
              <w:rPr>
                <w:sz w:val="18"/>
                <w:szCs w:val="18"/>
              </w:rPr>
              <w:t xml:space="preserve">, Rentschler, &amp; </w:t>
            </w:r>
            <w:proofErr w:type="spellStart"/>
            <w:r>
              <w:rPr>
                <w:sz w:val="18"/>
                <w:szCs w:val="18"/>
              </w:rPr>
              <w:t>Rozenberg</w:t>
            </w:r>
            <w:proofErr w:type="spellEnd"/>
            <w:r>
              <w:rPr>
                <w:sz w:val="18"/>
                <w:szCs w:val="18"/>
              </w:rPr>
              <w:t xml:space="preserve">, 2019; Dodman et al., 2022; </w:t>
            </w:r>
            <w:r>
              <w:rPr>
                <w:color w:val="1F1F1F"/>
                <w:sz w:val="18"/>
                <w:szCs w:val="18"/>
                <w:highlight w:val="white"/>
              </w:rPr>
              <w:t>OECD 2018; Thacker et al., 2021; UNEP, 2022a)</w:t>
            </w:r>
          </w:p>
        </w:tc>
      </w:tr>
      <w:tr w:rsidR="00DE7F88" w14:paraId="0291BEFD"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2E3D55BA" w14:textId="77777777" w:rsidR="00DE7F88" w:rsidRDefault="00DE7F88">
            <w:pPr>
              <w:widowControl w:val="0"/>
              <w:jc w:val="left"/>
              <w:rPr>
                <w:sz w:val="20"/>
                <w:szCs w:val="20"/>
              </w:rPr>
            </w:pPr>
            <w:r>
              <w:rPr>
                <w:sz w:val="20"/>
                <w:szCs w:val="20"/>
              </w:rPr>
              <w:t>Retrofitting</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0E885B" w14:textId="77777777" w:rsidR="00DE7F88" w:rsidRDefault="00DE7F88">
            <w:pPr>
              <w:widowControl w:val="0"/>
              <w:jc w:val="left"/>
              <w:rPr>
                <w:sz w:val="18"/>
                <w:szCs w:val="18"/>
                <w:lang w:val="sv-SE"/>
              </w:rPr>
            </w:pPr>
            <w:r>
              <w:rPr>
                <w:sz w:val="18"/>
                <w:szCs w:val="18"/>
                <w:lang w:val="sv-SE"/>
              </w:rPr>
              <w:t>(</w:t>
            </w:r>
            <w:r>
              <w:rPr>
                <w:sz w:val="18"/>
                <w:szCs w:val="18"/>
                <w:highlight w:val="white"/>
                <w:lang w:val="sv-SE"/>
              </w:rPr>
              <w:t>Bouckaert et al.</w:t>
            </w:r>
            <w:r>
              <w:rPr>
                <w:sz w:val="18"/>
                <w:szCs w:val="18"/>
                <w:lang w:val="sv-SE"/>
              </w:rPr>
              <w:t xml:space="preserve">, 2021; Clarke et al., 2022; EEA, 2019; </w:t>
            </w:r>
            <w:r>
              <w:rPr>
                <w:color w:val="1F1F1F"/>
                <w:sz w:val="18"/>
                <w:szCs w:val="18"/>
                <w:highlight w:val="white"/>
                <w:lang w:val="sv-SE"/>
              </w:rPr>
              <w:t xml:space="preserve">European Commission, 2013; Dodman et al., 2022; Leite de Almeida et al., 2021; OECD 2018; Thacker et al., 2021) </w:t>
            </w:r>
          </w:p>
        </w:tc>
      </w:tr>
      <w:tr w:rsidR="00DE7F88" w14:paraId="4E0827C8"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2C589EAB" w14:textId="77777777" w:rsidR="00DE7F88" w:rsidRDefault="00DE7F88">
            <w:pPr>
              <w:widowControl w:val="0"/>
              <w:jc w:val="left"/>
              <w:rPr>
                <w:sz w:val="20"/>
                <w:szCs w:val="20"/>
              </w:rPr>
            </w:pPr>
            <w:r>
              <w:rPr>
                <w:sz w:val="20"/>
                <w:szCs w:val="20"/>
              </w:rPr>
              <w:t>Green Procurement</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CBDDC8" w14:textId="77777777" w:rsidR="00DE7F88" w:rsidRDefault="00DE7F88">
            <w:pPr>
              <w:widowControl w:val="0"/>
              <w:jc w:val="left"/>
              <w:rPr>
                <w:sz w:val="18"/>
                <w:szCs w:val="18"/>
              </w:rPr>
            </w:pPr>
            <w:r>
              <w:rPr>
                <w:sz w:val="18"/>
                <w:szCs w:val="18"/>
              </w:rPr>
              <w:t>(</w:t>
            </w:r>
            <w:r>
              <w:rPr>
                <w:color w:val="1F1F1F"/>
                <w:sz w:val="18"/>
                <w:szCs w:val="18"/>
                <w:highlight w:val="white"/>
              </w:rPr>
              <w:t xml:space="preserve">GCA, 2021; </w:t>
            </w:r>
            <w:proofErr w:type="spellStart"/>
            <w:r>
              <w:rPr>
                <w:sz w:val="18"/>
                <w:szCs w:val="18"/>
              </w:rPr>
              <w:t>Hallegatte</w:t>
            </w:r>
            <w:proofErr w:type="spellEnd"/>
            <w:r>
              <w:rPr>
                <w:sz w:val="18"/>
                <w:szCs w:val="18"/>
              </w:rPr>
              <w:t xml:space="preserve">, Rentschler, &amp; </w:t>
            </w:r>
            <w:proofErr w:type="spellStart"/>
            <w:r>
              <w:rPr>
                <w:sz w:val="18"/>
                <w:szCs w:val="18"/>
              </w:rPr>
              <w:t>Rozenberg</w:t>
            </w:r>
            <w:proofErr w:type="spellEnd"/>
            <w:r>
              <w:rPr>
                <w:sz w:val="18"/>
                <w:szCs w:val="18"/>
              </w:rPr>
              <w:t>, 2019; Thacker et al., 2021; UNEP, 2022a)</w:t>
            </w:r>
          </w:p>
        </w:tc>
      </w:tr>
      <w:tr w:rsidR="00DE7F88" w14:paraId="6C615E55"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hideMark/>
          </w:tcPr>
          <w:p w14:paraId="29EB139A" w14:textId="77777777" w:rsidR="00DE7F88" w:rsidRDefault="00DE7F88">
            <w:pPr>
              <w:widowControl w:val="0"/>
              <w:jc w:val="left"/>
              <w:rPr>
                <w:sz w:val="20"/>
                <w:szCs w:val="20"/>
              </w:rPr>
            </w:pPr>
            <w:r>
              <w:rPr>
                <w:sz w:val="20"/>
                <w:szCs w:val="20"/>
              </w:rPr>
              <w:t>Land Use / Spatial Planning</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5BBCA8" w14:textId="77777777" w:rsidR="00DE7F88" w:rsidRDefault="00DE7F88">
            <w:pPr>
              <w:widowControl w:val="0"/>
              <w:jc w:val="left"/>
              <w:rPr>
                <w:sz w:val="18"/>
                <w:szCs w:val="18"/>
              </w:rPr>
            </w:pPr>
            <w:r>
              <w:rPr>
                <w:sz w:val="18"/>
                <w:szCs w:val="18"/>
              </w:rPr>
              <w:t xml:space="preserve">(Clarke et al., 2022; </w:t>
            </w:r>
            <w:r>
              <w:rPr>
                <w:color w:val="1F1F1F"/>
                <w:sz w:val="18"/>
                <w:szCs w:val="18"/>
                <w:highlight w:val="white"/>
              </w:rPr>
              <w:t xml:space="preserve">European Commission, 2013; </w:t>
            </w:r>
            <w:proofErr w:type="spellStart"/>
            <w:r>
              <w:rPr>
                <w:sz w:val="18"/>
                <w:szCs w:val="18"/>
              </w:rPr>
              <w:t>Hallegatte</w:t>
            </w:r>
            <w:proofErr w:type="spellEnd"/>
            <w:r>
              <w:rPr>
                <w:sz w:val="18"/>
                <w:szCs w:val="18"/>
              </w:rPr>
              <w:t xml:space="preserve">, Rentschler, &amp; </w:t>
            </w:r>
            <w:proofErr w:type="spellStart"/>
            <w:r>
              <w:rPr>
                <w:sz w:val="18"/>
                <w:szCs w:val="18"/>
              </w:rPr>
              <w:t>Rozenberg</w:t>
            </w:r>
            <w:proofErr w:type="spellEnd"/>
            <w:r>
              <w:rPr>
                <w:sz w:val="18"/>
                <w:szCs w:val="18"/>
              </w:rPr>
              <w:t xml:space="preserve">, 2019; </w:t>
            </w:r>
            <w:r>
              <w:rPr>
                <w:color w:val="1F1F1F"/>
                <w:sz w:val="18"/>
                <w:szCs w:val="18"/>
                <w:highlight w:val="white"/>
              </w:rPr>
              <w:t xml:space="preserve">Dodman et al., 2022; </w:t>
            </w:r>
            <w:proofErr w:type="spellStart"/>
            <w:r>
              <w:rPr>
                <w:color w:val="1F1F1F"/>
                <w:sz w:val="18"/>
                <w:szCs w:val="18"/>
                <w:highlight w:val="white"/>
              </w:rPr>
              <w:t>Leite</w:t>
            </w:r>
            <w:proofErr w:type="spellEnd"/>
            <w:r>
              <w:rPr>
                <w:color w:val="1F1F1F"/>
                <w:sz w:val="18"/>
                <w:szCs w:val="18"/>
                <w:highlight w:val="white"/>
              </w:rPr>
              <w:t xml:space="preserve"> de Almeida et al., 2021; OECD 2018; Thacker et al., 2021; UNEP 2022a) </w:t>
            </w:r>
          </w:p>
        </w:tc>
      </w:tr>
      <w:tr w:rsidR="00DE7F88" w14:paraId="373DE0ED"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FF2CC"/>
            <w:tcMar>
              <w:top w:w="40" w:type="dxa"/>
              <w:left w:w="40" w:type="dxa"/>
              <w:bottom w:w="40" w:type="dxa"/>
              <w:right w:w="40" w:type="dxa"/>
            </w:tcMar>
            <w:vAlign w:val="bottom"/>
            <w:hideMark/>
          </w:tcPr>
          <w:p w14:paraId="6E6CD2E5" w14:textId="77777777" w:rsidR="00DE7F88" w:rsidRDefault="00DE7F88">
            <w:pPr>
              <w:widowControl w:val="0"/>
              <w:jc w:val="left"/>
              <w:rPr>
                <w:sz w:val="20"/>
                <w:szCs w:val="20"/>
              </w:rPr>
            </w:pPr>
            <w:r>
              <w:rPr>
                <w:sz w:val="20"/>
                <w:szCs w:val="20"/>
              </w:rPr>
              <w:t>Path Dependence and Carbon Lock-ins</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E38A4F" w14:textId="77777777" w:rsidR="00DE7F88" w:rsidRDefault="00DE7F88">
            <w:pPr>
              <w:widowControl w:val="0"/>
              <w:jc w:val="left"/>
              <w:rPr>
                <w:sz w:val="18"/>
                <w:szCs w:val="18"/>
              </w:rPr>
            </w:pPr>
            <w:r>
              <w:rPr>
                <w:sz w:val="18"/>
                <w:szCs w:val="18"/>
              </w:rPr>
              <w:t xml:space="preserve">(Clarke et al., 2022; </w:t>
            </w:r>
            <w:r>
              <w:rPr>
                <w:color w:val="1F1F1F"/>
                <w:sz w:val="18"/>
                <w:szCs w:val="18"/>
                <w:highlight w:val="white"/>
              </w:rPr>
              <w:t>Thacker et al., 2021; UNEP 2022a)</w:t>
            </w:r>
          </w:p>
        </w:tc>
      </w:tr>
      <w:tr w:rsidR="00DE7F88" w14:paraId="2FD84F3A"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FF2CC"/>
            <w:tcMar>
              <w:top w:w="40" w:type="dxa"/>
              <w:left w:w="40" w:type="dxa"/>
              <w:bottom w:w="40" w:type="dxa"/>
              <w:right w:w="40" w:type="dxa"/>
            </w:tcMar>
            <w:vAlign w:val="bottom"/>
            <w:hideMark/>
          </w:tcPr>
          <w:p w14:paraId="5BEAB0F9" w14:textId="77777777" w:rsidR="00DE7F88" w:rsidRDefault="00DE7F88">
            <w:pPr>
              <w:widowControl w:val="0"/>
              <w:jc w:val="left"/>
              <w:rPr>
                <w:sz w:val="20"/>
                <w:szCs w:val="20"/>
              </w:rPr>
            </w:pPr>
            <w:r>
              <w:rPr>
                <w:sz w:val="20"/>
                <w:szCs w:val="20"/>
              </w:rPr>
              <w:t>Life Cycle Assessment</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94283B" w14:textId="77777777" w:rsidR="00DE7F88" w:rsidRDefault="00DE7F88">
            <w:pPr>
              <w:widowControl w:val="0"/>
              <w:jc w:val="left"/>
              <w:rPr>
                <w:sz w:val="18"/>
                <w:szCs w:val="18"/>
              </w:rPr>
            </w:pPr>
            <w:r>
              <w:rPr>
                <w:sz w:val="18"/>
                <w:szCs w:val="18"/>
              </w:rPr>
              <w:t xml:space="preserve">(Clarke et al., 2022; </w:t>
            </w:r>
            <w:r>
              <w:rPr>
                <w:color w:val="1F1F1F"/>
                <w:sz w:val="18"/>
                <w:szCs w:val="18"/>
                <w:highlight w:val="white"/>
              </w:rPr>
              <w:t>UNEP 2022a)</w:t>
            </w:r>
          </w:p>
        </w:tc>
      </w:tr>
      <w:tr w:rsidR="00DE7F88" w14:paraId="752ED560"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FF2CC"/>
            <w:tcMar>
              <w:top w:w="40" w:type="dxa"/>
              <w:left w:w="40" w:type="dxa"/>
              <w:bottom w:w="40" w:type="dxa"/>
              <w:right w:w="40" w:type="dxa"/>
            </w:tcMar>
            <w:vAlign w:val="bottom"/>
            <w:hideMark/>
          </w:tcPr>
          <w:p w14:paraId="18643E36" w14:textId="77777777" w:rsidR="00DE7F88" w:rsidRDefault="00DE7F88">
            <w:pPr>
              <w:widowControl w:val="0"/>
              <w:jc w:val="left"/>
              <w:rPr>
                <w:sz w:val="20"/>
                <w:szCs w:val="20"/>
              </w:rPr>
            </w:pPr>
            <w:r>
              <w:rPr>
                <w:sz w:val="20"/>
                <w:szCs w:val="20"/>
              </w:rPr>
              <w:t>Target-Based Approach</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B364CC" w14:textId="77777777" w:rsidR="00DE7F88" w:rsidRDefault="00DE7F88">
            <w:pPr>
              <w:widowControl w:val="0"/>
              <w:jc w:val="left"/>
              <w:rPr>
                <w:sz w:val="18"/>
                <w:szCs w:val="18"/>
              </w:rPr>
            </w:pPr>
            <w:r>
              <w:rPr>
                <w:color w:val="1F1F1F"/>
                <w:sz w:val="18"/>
                <w:szCs w:val="18"/>
                <w:highlight w:val="white"/>
              </w:rPr>
              <w:t>(</w:t>
            </w:r>
            <w:proofErr w:type="spellStart"/>
            <w:r>
              <w:rPr>
                <w:sz w:val="18"/>
                <w:szCs w:val="18"/>
                <w:highlight w:val="white"/>
              </w:rPr>
              <w:t>Bouckaert</w:t>
            </w:r>
            <w:proofErr w:type="spellEnd"/>
            <w:r>
              <w:rPr>
                <w:sz w:val="18"/>
                <w:szCs w:val="18"/>
                <w:highlight w:val="white"/>
              </w:rPr>
              <w:t xml:space="preserve"> et al.</w:t>
            </w:r>
            <w:r>
              <w:rPr>
                <w:sz w:val="18"/>
                <w:szCs w:val="18"/>
              </w:rPr>
              <w:t>, 2021;</w:t>
            </w:r>
            <w:r>
              <w:rPr>
                <w:color w:val="1F1F1F"/>
                <w:sz w:val="18"/>
                <w:szCs w:val="18"/>
                <w:highlight w:val="white"/>
              </w:rPr>
              <w:t xml:space="preserve"> Thacker et al., 2021; UNEP 2022a)</w:t>
            </w:r>
          </w:p>
        </w:tc>
      </w:tr>
      <w:tr w:rsidR="00DE7F88" w14:paraId="6E976D56" w14:textId="77777777" w:rsidTr="00DE7F88">
        <w:trPr>
          <w:trHeight w:val="390"/>
        </w:trPr>
        <w:tc>
          <w:tcPr>
            <w:tcW w:w="3510" w:type="dxa"/>
            <w:tcBorders>
              <w:top w:val="single" w:sz="6" w:space="0" w:color="000000"/>
              <w:left w:val="single" w:sz="6" w:space="0" w:color="000000"/>
              <w:bottom w:val="single" w:sz="6" w:space="0" w:color="000000"/>
              <w:right w:val="single" w:sz="6" w:space="0" w:color="000000"/>
            </w:tcBorders>
            <w:shd w:val="clear" w:color="auto" w:fill="FFF2CC"/>
            <w:tcMar>
              <w:top w:w="40" w:type="dxa"/>
              <w:left w:w="40" w:type="dxa"/>
              <w:bottom w:w="40" w:type="dxa"/>
              <w:right w:w="40" w:type="dxa"/>
            </w:tcMar>
            <w:vAlign w:val="bottom"/>
            <w:hideMark/>
          </w:tcPr>
          <w:p w14:paraId="20BCB9F7" w14:textId="77777777" w:rsidR="00DE7F88" w:rsidRDefault="00DE7F88">
            <w:pPr>
              <w:widowControl w:val="0"/>
              <w:jc w:val="left"/>
              <w:rPr>
                <w:sz w:val="20"/>
                <w:szCs w:val="20"/>
              </w:rPr>
            </w:pPr>
            <w:r>
              <w:rPr>
                <w:sz w:val="20"/>
                <w:szCs w:val="20"/>
              </w:rPr>
              <w:t>Circular Economy</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36F667" w14:textId="77777777" w:rsidR="00DE7F88" w:rsidRDefault="00DE7F88">
            <w:pPr>
              <w:widowControl w:val="0"/>
              <w:jc w:val="left"/>
              <w:rPr>
                <w:sz w:val="18"/>
                <w:szCs w:val="18"/>
              </w:rPr>
            </w:pPr>
            <w:r>
              <w:rPr>
                <w:sz w:val="18"/>
                <w:szCs w:val="18"/>
              </w:rPr>
              <w:t xml:space="preserve">(Clarke et al., 2022; </w:t>
            </w:r>
            <w:r>
              <w:rPr>
                <w:color w:val="1F1F1F"/>
                <w:sz w:val="18"/>
                <w:szCs w:val="18"/>
                <w:highlight w:val="white"/>
              </w:rPr>
              <w:t>Thacker et al., 2021; UNEP 2022a)</w:t>
            </w:r>
          </w:p>
        </w:tc>
      </w:tr>
      <w:tr w:rsidR="00DE7F88" w14:paraId="7B395B72"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FF2CC"/>
            <w:tcMar>
              <w:top w:w="40" w:type="dxa"/>
              <w:left w:w="40" w:type="dxa"/>
              <w:bottom w:w="40" w:type="dxa"/>
              <w:right w:w="40" w:type="dxa"/>
            </w:tcMar>
            <w:vAlign w:val="bottom"/>
            <w:hideMark/>
          </w:tcPr>
          <w:p w14:paraId="424A649F" w14:textId="77777777" w:rsidR="00DE7F88" w:rsidRDefault="00DE7F88">
            <w:pPr>
              <w:widowControl w:val="0"/>
              <w:jc w:val="left"/>
              <w:rPr>
                <w:sz w:val="20"/>
                <w:szCs w:val="20"/>
              </w:rPr>
            </w:pPr>
            <w:r>
              <w:rPr>
                <w:sz w:val="20"/>
                <w:szCs w:val="20"/>
              </w:rPr>
              <w:t>Embodied Carbon</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02F337" w14:textId="77777777" w:rsidR="00DE7F88" w:rsidRDefault="00DE7F88">
            <w:pPr>
              <w:widowControl w:val="0"/>
              <w:jc w:val="left"/>
              <w:rPr>
                <w:sz w:val="18"/>
                <w:szCs w:val="18"/>
              </w:rPr>
            </w:pPr>
            <w:r>
              <w:rPr>
                <w:sz w:val="18"/>
                <w:szCs w:val="18"/>
              </w:rPr>
              <w:t>(</w:t>
            </w:r>
            <w:r>
              <w:rPr>
                <w:color w:val="1F1F1F"/>
                <w:sz w:val="18"/>
                <w:szCs w:val="18"/>
                <w:highlight w:val="white"/>
              </w:rPr>
              <w:t>Thacker et al., 2021)</w:t>
            </w:r>
          </w:p>
        </w:tc>
      </w:tr>
      <w:tr w:rsidR="00DE7F88" w14:paraId="7B0EEC72"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4CCCC"/>
            <w:tcMar>
              <w:top w:w="40" w:type="dxa"/>
              <w:left w:w="40" w:type="dxa"/>
              <w:bottom w:w="40" w:type="dxa"/>
              <w:right w:w="40" w:type="dxa"/>
            </w:tcMar>
            <w:vAlign w:val="bottom"/>
            <w:hideMark/>
          </w:tcPr>
          <w:p w14:paraId="627615C7" w14:textId="77777777" w:rsidR="00DE7F88" w:rsidRDefault="00DE7F88">
            <w:pPr>
              <w:widowControl w:val="0"/>
              <w:jc w:val="left"/>
              <w:rPr>
                <w:sz w:val="20"/>
                <w:szCs w:val="20"/>
              </w:rPr>
            </w:pPr>
            <w:r>
              <w:rPr>
                <w:sz w:val="20"/>
                <w:szCs w:val="20"/>
              </w:rPr>
              <w:t>Diverse Systems</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2E6CC0" w14:textId="77777777" w:rsidR="00DE7F88" w:rsidRDefault="00DE7F88">
            <w:pPr>
              <w:widowControl w:val="0"/>
              <w:jc w:val="left"/>
              <w:rPr>
                <w:sz w:val="18"/>
                <w:szCs w:val="18"/>
                <w:lang w:val="sv-SE"/>
              </w:rPr>
            </w:pPr>
            <w:r>
              <w:rPr>
                <w:sz w:val="18"/>
                <w:szCs w:val="18"/>
                <w:lang w:val="sv-SE"/>
              </w:rPr>
              <w:t xml:space="preserve">(Hallegatte, Rentschler, &amp; Rozenberg, 2019; </w:t>
            </w:r>
            <w:r>
              <w:rPr>
                <w:color w:val="1F1F1F"/>
                <w:sz w:val="18"/>
                <w:szCs w:val="18"/>
                <w:highlight w:val="white"/>
                <w:lang w:val="sv-SE"/>
              </w:rPr>
              <w:t>Dodman et al., 2022; Leite de Almeida et al., 2021)</w:t>
            </w:r>
          </w:p>
        </w:tc>
      </w:tr>
      <w:tr w:rsidR="00DE7F88" w14:paraId="508FDB0B"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4CCCC"/>
            <w:tcMar>
              <w:top w:w="40" w:type="dxa"/>
              <w:left w:w="40" w:type="dxa"/>
              <w:bottom w:w="40" w:type="dxa"/>
              <w:right w:w="40" w:type="dxa"/>
            </w:tcMar>
            <w:vAlign w:val="bottom"/>
            <w:hideMark/>
          </w:tcPr>
          <w:p w14:paraId="0691C46F" w14:textId="77777777" w:rsidR="00DE7F88" w:rsidRDefault="00DE7F88">
            <w:pPr>
              <w:widowControl w:val="0"/>
              <w:jc w:val="left"/>
              <w:rPr>
                <w:sz w:val="20"/>
                <w:szCs w:val="20"/>
              </w:rPr>
            </w:pPr>
            <w:r>
              <w:rPr>
                <w:sz w:val="20"/>
                <w:szCs w:val="20"/>
              </w:rPr>
              <w:t>Risk and Vulnerability Assessment</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2982E9" w14:textId="77777777" w:rsidR="00DE7F88" w:rsidRDefault="00DE7F88">
            <w:pPr>
              <w:widowControl w:val="0"/>
              <w:jc w:val="left"/>
              <w:rPr>
                <w:sz w:val="18"/>
                <w:szCs w:val="18"/>
              </w:rPr>
            </w:pPr>
            <w:r>
              <w:rPr>
                <w:sz w:val="18"/>
                <w:szCs w:val="18"/>
              </w:rPr>
              <w:t xml:space="preserve">(EEA, 2019; </w:t>
            </w:r>
            <w:r>
              <w:rPr>
                <w:color w:val="1F1F1F"/>
                <w:sz w:val="18"/>
                <w:szCs w:val="18"/>
                <w:highlight w:val="white"/>
              </w:rPr>
              <w:t xml:space="preserve">European Commission, 2013; GCA, 2021; </w:t>
            </w:r>
            <w:proofErr w:type="spellStart"/>
            <w:r>
              <w:rPr>
                <w:sz w:val="18"/>
                <w:szCs w:val="18"/>
              </w:rPr>
              <w:t>Hallegatte</w:t>
            </w:r>
            <w:proofErr w:type="spellEnd"/>
            <w:r>
              <w:rPr>
                <w:sz w:val="18"/>
                <w:szCs w:val="18"/>
              </w:rPr>
              <w:t xml:space="preserve">, Rentschler, &amp; </w:t>
            </w:r>
            <w:proofErr w:type="spellStart"/>
            <w:r>
              <w:rPr>
                <w:sz w:val="18"/>
                <w:szCs w:val="18"/>
              </w:rPr>
              <w:t>Rozenberg</w:t>
            </w:r>
            <w:proofErr w:type="spellEnd"/>
            <w:r>
              <w:rPr>
                <w:sz w:val="18"/>
                <w:szCs w:val="18"/>
              </w:rPr>
              <w:t xml:space="preserve">, 2019; </w:t>
            </w:r>
            <w:r>
              <w:rPr>
                <w:color w:val="1F1F1F"/>
                <w:sz w:val="18"/>
                <w:szCs w:val="18"/>
                <w:highlight w:val="white"/>
              </w:rPr>
              <w:t>OECD 2018; UNEP 2022a)</w:t>
            </w:r>
          </w:p>
        </w:tc>
      </w:tr>
      <w:tr w:rsidR="00DE7F88" w14:paraId="6001E41D"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4CCCC"/>
            <w:tcMar>
              <w:top w:w="40" w:type="dxa"/>
              <w:left w:w="40" w:type="dxa"/>
              <w:bottom w:w="40" w:type="dxa"/>
              <w:right w:w="40" w:type="dxa"/>
            </w:tcMar>
            <w:vAlign w:val="bottom"/>
            <w:hideMark/>
          </w:tcPr>
          <w:p w14:paraId="39D309E4" w14:textId="77777777" w:rsidR="00DE7F88" w:rsidRDefault="00DE7F88">
            <w:pPr>
              <w:widowControl w:val="0"/>
              <w:jc w:val="left"/>
              <w:rPr>
                <w:sz w:val="20"/>
                <w:szCs w:val="20"/>
              </w:rPr>
            </w:pPr>
            <w:r>
              <w:rPr>
                <w:sz w:val="20"/>
                <w:szCs w:val="20"/>
              </w:rPr>
              <w:t>Disaggregated Socio-Economic Data</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2F41F2" w14:textId="77777777" w:rsidR="00DE7F88" w:rsidRDefault="00DE7F88">
            <w:pPr>
              <w:widowControl w:val="0"/>
              <w:jc w:val="left"/>
              <w:rPr>
                <w:sz w:val="18"/>
                <w:szCs w:val="18"/>
              </w:rPr>
            </w:pPr>
            <w:r>
              <w:rPr>
                <w:sz w:val="18"/>
                <w:szCs w:val="18"/>
              </w:rPr>
              <w:t>(</w:t>
            </w:r>
            <w:r>
              <w:rPr>
                <w:color w:val="1F1F1F"/>
                <w:sz w:val="18"/>
                <w:szCs w:val="18"/>
                <w:highlight w:val="white"/>
              </w:rPr>
              <w:t>Thacker et al., 2021; UNEP 2022a)</w:t>
            </w:r>
          </w:p>
        </w:tc>
      </w:tr>
      <w:tr w:rsidR="00DE7F88" w14:paraId="14030331"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4CCCC"/>
            <w:tcMar>
              <w:top w:w="40" w:type="dxa"/>
              <w:left w:w="40" w:type="dxa"/>
              <w:bottom w:w="40" w:type="dxa"/>
              <w:right w:w="40" w:type="dxa"/>
            </w:tcMar>
            <w:vAlign w:val="bottom"/>
            <w:hideMark/>
          </w:tcPr>
          <w:p w14:paraId="43990879" w14:textId="77777777" w:rsidR="00DE7F88" w:rsidRDefault="00DE7F88">
            <w:pPr>
              <w:widowControl w:val="0"/>
              <w:jc w:val="left"/>
              <w:rPr>
                <w:sz w:val="20"/>
                <w:szCs w:val="20"/>
              </w:rPr>
            </w:pPr>
            <w:r>
              <w:rPr>
                <w:sz w:val="20"/>
                <w:szCs w:val="20"/>
              </w:rPr>
              <w:t>Contingency Plan for Climate Risks</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E6DEED" w14:textId="77777777" w:rsidR="00DE7F88" w:rsidRDefault="00DE7F88">
            <w:pPr>
              <w:widowControl w:val="0"/>
              <w:jc w:val="left"/>
              <w:rPr>
                <w:color w:val="1F1F1F"/>
                <w:sz w:val="18"/>
                <w:szCs w:val="18"/>
                <w:highlight w:val="white"/>
              </w:rPr>
            </w:pPr>
            <w:r>
              <w:rPr>
                <w:sz w:val="18"/>
                <w:szCs w:val="18"/>
              </w:rPr>
              <w:t>(</w:t>
            </w:r>
            <w:proofErr w:type="spellStart"/>
            <w:r>
              <w:rPr>
                <w:sz w:val="18"/>
                <w:szCs w:val="18"/>
              </w:rPr>
              <w:t>Hallegatte</w:t>
            </w:r>
            <w:proofErr w:type="spellEnd"/>
            <w:r>
              <w:rPr>
                <w:sz w:val="18"/>
                <w:szCs w:val="18"/>
              </w:rPr>
              <w:t xml:space="preserve">, Rentschler, &amp; </w:t>
            </w:r>
            <w:proofErr w:type="spellStart"/>
            <w:r>
              <w:rPr>
                <w:sz w:val="18"/>
                <w:szCs w:val="18"/>
              </w:rPr>
              <w:t>Rozenberg</w:t>
            </w:r>
            <w:proofErr w:type="spellEnd"/>
            <w:r>
              <w:rPr>
                <w:sz w:val="18"/>
                <w:szCs w:val="18"/>
              </w:rPr>
              <w:t xml:space="preserve">, 2019; </w:t>
            </w:r>
            <w:proofErr w:type="spellStart"/>
            <w:r>
              <w:rPr>
                <w:color w:val="1F1F1F"/>
                <w:sz w:val="18"/>
                <w:szCs w:val="18"/>
                <w:highlight w:val="white"/>
              </w:rPr>
              <w:t>Leite</w:t>
            </w:r>
            <w:proofErr w:type="spellEnd"/>
            <w:r>
              <w:rPr>
                <w:color w:val="1F1F1F"/>
                <w:sz w:val="18"/>
                <w:szCs w:val="18"/>
                <w:highlight w:val="white"/>
              </w:rPr>
              <w:t xml:space="preserve"> de Almeida et al., 2021; UNEP 2022a)</w:t>
            </w:r>
          </w:p>
        </w:tc>
      </w:tr>
      <w:tr w:rsidR="00DE7F88" w14:paraId="7324AD42" w14:textId="77777777" w:rsidTr="00DE7F88">
        <w:tc>
          <w:tcPr>
            <w:tcW w:w="3510" w:type="dxa"/>
            <w:tcBorders>
              <w:top w:val="single" w:sz="6" w:space="0" w:color="000000"/>
              <w:left w:val="single" w:sz="6" w:space="0" w:color="000000"/>
              <w:bottom w:val="single" w:sz="8" w:space="0" w:color="000000"/>
              <w:right w:val="single" w:sz="6" w:space="0" w:color="000000"/>
            </w:tcBorders>
            <w:shd w:val="clear" w:color="auto" w:fill="F4CCCC"/>
            <w:tcMar>
              <w:top w:w="40" w:type="dxa"/>
              <w:left w:w="40" w:type="dxa"/>
              <w:bottom w:w="40" w:type="dxa"/>
              <w:right w:w="40" w:type="dxa"/>
            </w:tcMar>
            <w:vAlign w:val="bottom"/>
            <w:hideMark/>
          </w:tcPr>
          <w:p w14:paraId="529E2127" w14:textId="77777777" w:rsidR="00DE7F88" w:rsidRDefault="00DE7F88">
            <w:pPr>
              <w:widowControl w:val="0"/>
              <w:jc w:val="left"/>
              <w:rPr>
                <w:sz w:val="20"/>
                <w:szCs w:val="20"/>
              </w:rPr>
            </w:pPr>
            <w:r>
              <w:rPr>
                <w:sz w:val="20"/>
                <w:szCs w:val="20"/>
              </w:rPr>
              <w:t>Restoration of Ecosystems</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6AB168" w14:textId="77777777" w:rsidR="00DE7F88" w:rsidRDefault="00DE7F88">
            <w:pPr>
              <w:widowControl w:val="0"/>
              <w:jc w:val="left"/>
              <w:rPr>
                <w:sz w:val="18"/>
                <w:szCs w:val="18"/>
              </w:rPr>
            </w:pPr>
            <w:r>
              <w:rPr>
                <w:sz w:val="18"/>
                <w:szCs w:val="18"/>
              </w:rPr>
              <w:t>(Thacker et al., 2021)</w:t>
            </w:r>
          </w:p>
        </w:tc>
      </w:tr>
      <w:tr w:rsidR="00DE7F88" w14:paraId="1034C903" w14:textId="77777777" w:rsidTr="00DE7F88">
        <w:tc>
          <w:tcPr>
            <w:tcW w:w="3510" w:type="dxa"/>
            <w:tcBorders>
              <w:top w:val="single" w:sz="6" w:space="0" w:color="000000"/>
              <w:left w:val="single" w:sz="6" w:space="0" w:color="000000"/>
              <w:bottom w:val="single" w:sz="6" w:space="0" w:color="000000"/>
              <w:right w:val="single" w:sz="6" w:space="0" w:color="000000"/>
            </w:tcBorders>
            <w:shd w:val="clear" w:color="auto" w:fill="F4CCCC"/>
            <w:tcMar>
              <w:top w:w="40" w:type="dxa"/>
              <w:left w:w="40" w:type="dxa"/>
              <w:bottom w:w="40" w:type="dxa"/>
              <w:right w:w="40" w:type="dxa"/>
            </w:tcMar>
            <w:vAlign w:val="bottom"/>
            <w:hideMark/>
          </w:tcPr>
          <w:p w14:paraId="6117ABF2" w14:textId="77777777" w:rsidR="00DE7F88" w:rsidRDefault="00DE7F88">
            <w:pPr>
              <w:widowControl w:val="0"/>
              <w:jc w:val="left"/>
              <w:rPr>
                <w:sz w:val="20"/>
                <w:szCs w:val="20"/>
              </w:rPr>
            </w:pPr>
            <w:r>
              <w:rPr>
                <w:sz w:val="20"/>
                <w:szCs w:val="20"/>
              </w:rPr>
              <w:t>Flexible Design</w:t>
            </w:r>
          </w:p>
        </w:tc>
        <w:tc>
          <w:tcPr>
            <w:tcW w:w="54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2C3D33" w14:textId="77777777" w:rsidR="00DE7F88" w:rsidRDefault="00DE7F88">
            <w:pPr>
              <w:widowControl w:val="0"/>
              <w:jc w:val="left"/>
              <w:rPr>
                <w:sz w:val="18"/>
                <w:szCs w:val="18"/>
                <w:lang w:val="sv-SE"/>
              </w:rPr>
            </w:pPr>
            <w:r>
              <w:rPr>
                <w:sz w:val="18"/>
                <w:szCs w:val="18"/>
                <w:lang w:val="sv-SE"/>
              </w:rPr>
              <w:t xml:space="preserve">(EEA, 2019; </w:t>
            </w:r>
            <w:r>
              <w:rPr>
                <w:color w:val="1F1F1F"/>
                <w:sz w:val="18"/>
                <w:szCs w:val="18"/>
                <w:highlight w:val="white"/>
                <w:lang w:val="sv-SE"/>
              </w:rPr>
              <w:t xml:space="preserve">GCA, 2021; Dodman et al., 2022; Leite de Almeida et al., 2021; Thacker et al., 2021; UNEP 2022a) </w:t>
            </w:r>
          </w:p>
        </w:tc>
      </w:tr>
    </w:tbl>
    <w:p w14:paraId="64E95B27" w14:textId="77777777" w:rsidR="00AD1398" w:rsidRDefault="00AD1398"/>
    <w:sectPr w:rsidR="00AD13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BCF6F" w14:textId="77777777" w:rsidR="0081519B" w:rsidRDefault="0081519B" w:rsidP="00DE7F88">
      <w:pPr>
        <w:spacing w:line="240" w:lineRule="auto"/>
      </w:pPr>
      <w:r>
        <w:separator/>
      </w:r>
    </w:p>
  </w:endnote>
  <w:endnote w:type="continuationSeparator" w:id="0">
    <w:p w14:paraId="302994FA" w14:textId="77777777" w:rsidR="0081519B" w:rsidRDefault="0081519B" w:rsidP="00DE7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F140" w14:textId="77777777" w:rsidR="0081519B" w:rsidRDefault="0081519B" w:rsidP="00DE7F88">
      <w:pPr>
        <w:spacing w:line="240" w:lineRule="auto"/>
      </w:pPr>
      <w:r>
        <w:separator/>
      </w:r>
    </w:p>
  </w:footnote>
  <w:footnote w:type="continuationSeparator" w:id="0">
    <w:p w14:paraId="7342723B" w14:textId="77777777" w:rsidR="0081519B" w:rsidRDefault="0081519B" w:rsidP="00DE7F88">
      <w:pPr>
        <w:spacing w:line="240" w:lineRule="auto"/>
      </w:pPr>
      <w:r>
        <w:continuationSeparator/>
      </w:r>
    </w:p>
  </w:footnote>
  <w:footnote w:id="1">
    <w:p w14:paraId="541038C1" w14:textId="77777777" w:rsidR="00DE7F88" w:rsidRDefault="00DE7F88" w:rsidP="00DE7F88">
      <w:pPr>
        <w:spacing w:line="240" w:lineRule="auto"/>
        <w:rPr>
          <w:sz w:val="20"/>
          <w:szCs w:val="20"/>
        </w:rPr>
      </w:pPr>
      <w:r>
        <w:rPr>
          <w:vertAlign w:val="superscript"/>
        </w:rPr>
        <w:footnoteRef/>
      </w:r>
      <w:r>
        <w:rPr>
          <w:sz w:val="20"/>
          <w:szCs w:val="20"/>
        </w:rPr>
        <w:t xml:space="preserve"> Themes were only chosen if they had a connection to SDG 13 or presented as strategies for climate action in Annex B.</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F88"/>
    <w:rsid w:val="0081519B"/>
    <w:rsid w:val="00AD1398"/>
    <w:rsid w:val="00DE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2A631"/>
  <w15:chartTrackingRefBased/>
  <w15:docId w15:val="{6E155340-B825-4B84-A7AD-04AFAC37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F88"/>
    <w:pPr>
      <w:spacing w:after="0" w:line="276" w:lineRule="auto"/>
      <w:jc w:val="both"/>
    </w:pPr>
    <w:rPr>
      <w:rFonts w:ascii="Times New Roman" w:eastAsia="Times New Roman" w:hAnsi="Times New Roman" w:cs="Times New Roman"/>
      <w:sz w:val="24"/>
      <w:szCs w:val="24"/>
      <w:lang w:val="en-GB" w:eastAsia="sv-SE"/>
    </w:rPr>
  </w:style>
  <w:style w:type="paragraph" w:styleId="Heading2">
    <w:name w:val="heading 2"/>
    <w:basedOn w:val="Normal"/>
    <w:next w:val="Normal"/>
    <w:link w:val="Heading2Char"/>
    <w:uiPriority w:val="9"/>
    <w:semiHidden/>
    <w:unhideWhenUsed/>
    <w:qFormat/>
    <w:rsid w:val="00DE7F88"/>
    <w:pPr>
      <w:keepNext/>
      <w:keepLines/>
      <w:spacing w:before="360" w:after="120"/>
      <w:outlineLvl w:val="1"/>
    </w:pPr>
    <w:rPr>
      <w:color w:val="1C4587"/>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E7F88"/>
    <w:rPr>
      <w:rFonts w:ascii="Times New Roman" w:eastAsia="Times New Roman" w:hAnsi="Times New Roman" w:cs="Times New Roman"/>
      <w:color w:val="1C4587"/>
      <w:sz w:val="32"/>
      <w:szCs w:val="32"/>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35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3715</Characters>
  <Application>Microsoft Office Word</Application>
  <DocSecurity>0</DocSecurity>
  <Lines>30</Lines>
  <Paragraphs>8</Paragraphs>
  <ScaleCrop>false</ScaleCrop>
  <Company>Springer Nature</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2023-11-01T03:45:00Z</dcterms:created>
  <dcterms:modified xsi:type="dcterms:W3CDTF">2023-11-01T03:45:00Z</dcterms:modified>
</cp:coreProperties>
</file>