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80E978B" w14:textId="77777777" w:rsidR="007E4DE3" w:rsidRDefault="007E4DE3" w:rsidP="007E4DE3">
      <w:pPr>
        <w:pStyle w:val="Heading2"/>
      </w:pPr>
      <w:r>
        <w:t>Annex V</w:t>
      </w:r>
    </w:p>
    <w:tbl>
      <w:tblPr>
        <w:tblW w:w="9030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600" w:firstRow="0" w:lastRow="0" w:firstColumn="0" w:lastColumn="0" w:noHBand="1" w:noVBand="1"/>
      </w:tblPr>
      <w:tblGrid>
        <w:gridCol w:w="4514"/>
        <w:gridCol w:w="4516"/>
      </w:tblGrid>
      <w:tr w:rsidR="007E4DE3" w14:paraId="0BE55AFB" w14:textId="77777777" w:rsidTr="007E4DE3">
        <w:tc>
          <w:tcPr>
            <w:tcW w:w="451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2D899BF" w14:textId="77777777" w:rsidR="007E4DE3" w:rsidRDefault="007E4DE3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Annex V, Table 1. Activities and SDG outcome in YEEAP</w:t>
            </w:r>
          </w:p>
          <w:tbl>
            <w:tblPr>
              <w:tblW w:w="4320" w:type="dxa"/>
              <w:tblBorders>
                <w:top w:val="single" w:sz="8" w:space="0" w:color="000000"/>
                <w:left w:val="single" w:sz="8" w:space="0" w:color="000000"/>
                <w:bottom w:val="single" w:sz="8" w:space="0" w:color="000000"/>
                <w:right w:val="single" w:sz="8" w:space="0" w:color="000000"/>
                <w:insideH w:val="single" w:sz="8" w:space="0" w:color="000000"/>
                <w:insideV w:val="single" w:sz="8" w:space="0" w:color="000000"/>
              </w:tblBorders>
              <w:tblLayout w:type="fixed"/>
              <w:tblLook w:val="0600" w:firstRow="0" w:lastRow="0" w:firstColumn="0" w:lastColumn="0" w:noHBand="1" w:noVBand="1"/>
            </w:tblPr>
            <w:tblGrid>
              <w:gridCol w:w="2160"/>
              <w:gridCol w:w="2160"/>
            </w:tblGrid>
            <w:tr w:rsidR="007E4DE3" w14:paraId="6BDDB6AF" w14:textId="77777777">
              <w:tc>
                <w:tcPr>
                  <w:tcW w:w="215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hideMark/>
                </w:tcPr>
                <w:p w14:paraId="1A8EFD98" w14:textId="77777777" w:rsidR="007E4DE3" w:rsidRDefault="007E4DE3">
                  <w:pPr>
                    <w:widowControl w:val="0"/>
                    <w:spacing w:line="240" w:lineRule="auto"/>
                    <w:jc w:val="left"/>
                    <w:rPr>
                      <w:b/>
                      <w:sz w:val="20"/>
                      <w:szCs w:val="20"/>
                    </w:rPr>
                  </w:pPr>
                  <w:r>
                    <w:rPr>
                      <w:b/>
                      <w:sz w:val="20"/>
                      <w:szCs w:val="20"/>
                    </w:rPr>
                    <w:t>Activity</w:t>
                  </w:r>
                </w:p>
              </w:tc>
              <w:tc>
                <w:tcPr>
                  <w:tcW w:w="215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hideMark/>
                </w:tcPr>
                <w:p w14:paraId="7AA37573" w14:textId="77777777" w:rsidR="007E4DE3" w:rsidRDefault="007E4DE3">
                  <w:pPr>
                    <w:widowControl w:val="0"/>
                    <w:spacing w:line="240" w:lineRule="auto"/>
                    <w:jc w:val="left"/>
                    <w:rPr>
                      <w:b/>
                      <w:sz w:val="20"/>
                      <w:szCs w:val="20"/>
                    </w:rPr>
                  </w:pPr>
                  <w:r>
                    <w:rPr>
                      <w:b/>
                      <w:sz w:val="20"/>
                      <w:szCs w:val="20"/>
                    </w:rPr>
                    <w:t>SDG outcome</w:t>
                  </w:r>
                </w:p>
              </w:tc>
            </w:tr>
            <w:tr w:rsidR="007E4DE3" w14:paraId="0D45FD3C" w14:textId="77777777">
              <w:tc>
                <w:tcPr>
                  <w:tcW w:w="215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hideMark/>
                </w:tcPr>
                <w:p w14:paraId="33B645CB" w14:textId="77777777" w:rsidR="007E4DE3" w:rsidRDefault="007E4DE3">
                  <w:pPr>
                    <w:widowControl w:val="0"/>
                    <w:spacing w:line="240" w:lineRule="auto"/>
                    <w:jc w:val="left"/>
                    <w:rPr>
                      <w:i/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1.Stakeholder mapping and Engagement</w:t>
                  </w:r>
                </w:p>
              </w:tc>
              <w:tc>
                <w:tcPr>
                  <w:tcW w:w="215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hideMark/>
                </w:tcPr>
                <w:p w14:paraId="72A05E13" w14:textId="77777777" w:rsidR="007E4DE3" w:rsidRDefault="007E4DE3">
                  <w:pPr>
                    <w:jc w:val="left"/>
                    <w:rPr>
                      <w:i/>
                      <w:sz w:val="20"/>
                      <w:szCs w:val="20"/>
                    </w:rPr>
                  </w:pPr>
                  <w:r>
                    <w:rPr>
                      <w:i/>
                      <w:sz w:val="20"/>
                      <w:szCs w:val="20"/>
                    </w:rPr>
                    <w:t>1.4; 1.5; 5.5</w:t>
                  </w:r>
                </w:p>
              </w:tc>
            </w:tr>
            <w:tr w:rsidR="007E4DE3" w14:paraId="59324DD7" w14:textId="77777777">
              <w:tc>
                <w:tcPr>
                  <w:tcW w:w="215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hideMark/>
                </w:tcPr>
                <w:p w14:paraId="5110A3DD" w14:textId="77777777" w:rsidR="007E4DE3" w:rsidRDefault="007E4DE3">
                  <w:pPr>
                    <w:widowControl w:val="0"/>
                    <w:spacing w:line="240" w:lineRule="auto"/>
                    <w:jc w:val="left"/>
                    <w:rPr>
                      <w:i/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2. Inclusive Public participation for climate justice</w:t>
                  </w:r>
                </w:p>
              </w:tc>
              <w:tc>
                <w:tcPr>
                  <w:tcW w:w="215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hideMark/>
                </w:tcPr>
                <w:p w14:paraId="066B308D" w14:textId="77777777" w:rsidR="007E4DE3" w:rsidRDefault="007E4DE3">
                  <w:pPr>
                    <w:widowControl w:val="0"/>
                    <w:spacing w:line="240" w:lineRule="auto"/>
                    <w:jc w:val="left"/>
                    <w:rPr>
                      <w:i/>
                      <w:sz w:val="20"/>
                      <w:szCs w:val="20"/>
                    </w:rPr>
                  </w:pPr>
                  <w:r>
                    <w:rPr>
                      <w:i/>
                      <w:sz w:val="20"/>
                      <w:szCs w:val="20"/>
                    </w:rPr>
                    <w:t>1.4; 5.5; 16.7</w:t>
                  </w:r>
                </w:p>
              </w:tc>
            </w:tr>
            <w:tr w:rsidR="007E4DE3" w14:paraId="6FBBA3E8" w14:textId="77777777">
              <w:tc>
                <w:tcPr>
                  <w:tcW w:w="215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hideMark/>
                </w:tcPr>
                <w:p w14:paraId="79E108EB" w14:textId="77777777" w:rsidR="007E4DE3" w:rsidRDefault="007E4DE3">
                  <w:pPr>
                    <w:spacing w:line="240" w:lineRule="auto"/>
                    <w:jc w:val="left"/>
                    <w:rPr>
                      <w:i/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4. Policy and Legal Framework Assessment</w:t>
                  </w:r>
                </w:p>
              </w:tc>
              <w:tc>
                <w:tcPr>
                  <w:tcW w:w="215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hideMark/>
                </w:tcPr>
                <w:p w14:paraId="49201B14" w14:textId="77777777" w:rsidR="007E4DE3" w:rsidRDefault="007E4DE3">
                  <w:pPr>
                    <w:spacing w:line="240" w:lineRule="auto"/>
                    <w:jc w:val="left"/>
                    <w:rPr>
                      <w:i/>
                      <w:sz w:val="20"/>
                      <w:szCs w:val="20"/>
                    </w:rPr>
                  </w:pPr>
                  <w:r>
                    <w:rPr>
                      <w:i/>
                      <w:sz w:val="20"/>
                      <w:szCs w:val="20"/>
                    </w:rPr>
                    <w:t>7.1; 7.2; 7.b; 9.1; 13.1; 13.2; 17.7</w:t>
                  </w:r>
                </w:p>
              </w:tc>
            </w:tr>
            <w:tr w:rsidR="007E4DE3" w14:paraId="39C1D084" w14:textId="77777777">
              <w:tc>
                <w:tcPr>
                  <w:tcW w:w="215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hideMark/>
                </w:tcPr>
                <w:p w14:paraId="0C8BECBA" w14:textId="77777777" w:rsidR="007E4DE3" w:rsidRDefault="007E4DE3">
                  <w:pPr>
                    <w:widowControl w:val="0"/>
                    <w:spacing w:line="240" w:lineRule="auto"/>
                    <w:jc w:val="left"/>
                    <w:rPr>
                      <w:i/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5. Consider Interdependencies, Systems Planning and develop Cross-ministerial Cooperation</w:t>
                  </w:r>
                </w:p>
              </w:tc>
              <w:tc>
                <w:tcPr>
                  <w:tcW w:w="215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hideMark/>
                </w:tcPr>
                <w:p w14:paraId="6F054F58" w14:textId="77777777" w:rsidR="007E4DE3" w:rsidRDefault="007E4DE3">
                  <w:pPr>
                    <w:widowControl w:val="0"/>
                    <w:spacing w:line="240" w:lineRule="auto"/>
                    <w:jc w:val="left"/>
                    <w:rPr>
                      <w:i/>
                      <w:sz w:val="20"/>
                      <w:szCs w:val="20"/>
                    </w:rPr>
                  </w:pPr>
                  <w:r>
                    <w:rPr>
                      <w:i/>
                      <w:sz w:val="20"/>
                      <w:szCs w:val="20"/>
                    </w:rPr>
                    <w:t xml:space="preserve">1.4; 1.5; 2.1; 3.8; 4.1; 6.1; 6.2; 7.1; </w:t>
                  </w:r>
                  <w:proofErr w:type="gramStart"/>
                  <w:r>
                    <w:rPr>
                      <w:i/>
                      <w:sz w:val="20"/>
                      <w:szCs w:val="20"/>
                    </w:rPr>
                    <w:t>11.b</w:t>
                  </w:r>
                  <w:proofErr w:type="gramEnd"/>
                </w:p>
              </w:tc>
            </w:tr>
            <w:tr w:rsidR="007E4DE3" w14:paraId="6507DCC0" w14:textId="77777777">
              <w:tc>
                <w:tcPr>
                  <w:tcW w:w="215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hideMark/>
                </w:tcPr>
                <w:p w14:paraId="5B692102" w14:textId="77777777" w:rsidR="007E4DE3" w:rsidRDefault="007E4DE3">
                  <w:pPr>
                    <w:widowControl w:val="0"/>
                    <w:spacing w:line="240" w:lineRule="auto"/>
                    <w:jc w:val="left"/>
                    <w:rPr>
                      <w:i/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9. Diverse Systems for Resilient Infrastructure</w:t>
                  </w:r>
                </w:p>
              </w:tc>
              <w:tc>
                <w:tcPr>
                  <w:tcW w:w="215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hideMark/>
                </w:tcPr>
                <w:p w14:paraId="6B242762" w14:textId="77777777" w:rsidR="007E4DE3" w:rsidRDefault="007E4DE3">
                  <w:pPr>
                    <w:widowControl w:val="0"/>
                    <w:spacing w:line="240" w:lineRule="auto"/>
                    <w:jc w:val="left"/>
                    <w:rPr>
                      <w:i/>
                      <w:sz w:val="20"/>
                      <w:szCs w:val="20"/>
                    </w:rPr>
                  </w:pPr>
                  <w:r>
                    <w:rPr>
                      <w:i/>
                      <w:sz w:val="20"/>
                      <w:szCs w:val="20"/>
                    </w:rPr>
                    <w:t>7.1; 9.1; 13.1</w:t>
                  </w:r>
                </w:p>
              </w:tc>
            </w:tr>
            <w:tr w:rsidR="007E4DE3" w14:paraId="361600C9" w14:textId="77777777">
              <w:tc>
                <w:tcPr>
                  <w:tcW w:w="215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hideMark/>
                </w:tcPr>
                <w:p w14:paraId="79AC9F38" w14:textId="77777777" w:rsidR="007E4DE3" w:rsidRDefault="007E4DE3">
                  <w:pPr>
                    <w:widowControl w:val="0"/>
                    <w:spacing w:line="240" w:lineRule="auto"/>
                    <w:jc w:val="left"/>
                    <w:rPr>
                      <w:i/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11. Disaster and Climate Risk Screening</w:t>
                  </w:r>
                </w:p>
              </w:tc>
              <w:tc>
                <w:tcPr>
                  <w:tcW w:w="215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hideMark/>
                </w:tcPr>
                <w:p w14:paraId="6E650FA4" w14:textId="77777777" w:rsidR="007E4DE3" w:rsidRDefault="007E4DE3">
                  <w:pPr>
                    <w:widowControl w:val="0"/>
                    <w:spacing w:line="240" w:lineRule="auto"/>
                    <w:jc w:val="left"/>
                    <w:rPr>
                      <w:i/>
                      <w:sz w:val="20"/>
                      <w:szCs w:val="20"/>
                    </w:rPr>
                  </w:pPr>
                  <w:r>
                    <w:rPr>
                      <w:i/>
                      <w:sz w:val="20"/>
                      <w:szCs w:val="20"/>
                    </w:rPr>
                    <w:t>7.1; 9.1; 11.b; 13.1</w:t>
                  </w:r>
                </w:p>
              </w:tc>
            </w:tr>
            <w:tr w:rsidR="007E4DE3" w14:paraId="772CF72C" w14:textId="77777777">
              <w:tc>
                <w:tcPr>
                  <w:tcW w:w="215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hideMark/>
                </w:tcPr>
                <w:p w14:paraId="052902C1" w14:textId="77777777" w:rsidR="007E4DE3" w:rsidRDefault="007E4DE3">
                  <w:pPr>
                    <w:widowControl w:val="0"/>
                    <w:spacing w:line="240" w:lineRule="auto"/>
                    <w:jc w:val="lef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34. Decommissioning with Circular economy practices</w:t>
                  </w:r>
                </w:p>
              </w:tc>
              <w:tc>
                <w:tcPr>
                  <w:tcW w:w="215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hideMark/>
                </w:tcPr>
                <w:p w14:paraId="115B5087" w14:textId="77777777" w:rsidR="007E4DE3" w:rsidRDefault="007E4DE3">
                  <w:pPr>
                    <w:spacing w:line="240" w:lineRule="auto"/>
                    <w:jc w:val="left"/>
                    <w:rPr>
                      <w:i/>
                      <w:sz w:val="20"/>
                      <w:szCs w:val="20"/>
                    </w:rPr>
                  </w:pPr>
                  <w:r>
                    <w:rPr>
                      <w:i/>
                      <w:sz w:val="20"/>
                      <w:szCs w:val="20"/>
                    </w:rPr>
                    <w:t>8.4; 9.4; 12.2; 12.5</w:t>
                  </w:r>
                </w:p>
              </w:tc>
            </w:tr>
          </w:tbl>
          <w:p w14:paraId="131352AA" w14:textId="77777777" w:rsidR="007E4DE3" w:rsidRDefault="007E4DE3">
            <w:pPr>
              <w:widowControl w:val="0"/>
              <w:spacing w:line="240" w:lineRule="auto"/>
              <w:jc w:val="left"/>
              <w:rPr>
                <w:i/>
                <w:sz w:val="20"/>
                <w:szCs w:val="20"/>
              </w:rPr>
            </w:pPr>
          </w:p>
        </w:tc>
        <w:tc>
          <w:tcPr>
            <w:tcW w:w="451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7570B03" w14:textId="77777777" w:rsidR="007E4DE3" w:rsidRDefault="007E4DE3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Annex V, Table 2. Activities and SDG outcome in ESLEAP</w:t>
            </w:r>
          </w:p>
          <w:tbl>
            <w:tblPr>
              <w:tblW w:w="4320" w:type="dxa"/>
              <w:tblBorders>
                <w:top w:val="single" w:sz="8" w:space="0" w:color="000000"/>
                <w:left w:val="single" w:sz="8" w:space="0" w:color="000000"/>
                <w:bottom w:val="single" w:sz="8" w:space="0" w:color="000000"/>
                <w:right w:val="single" w:sz="8" w:space="0" w:color="000000"/>
                <w:insideH w:val="single" w:sz="8" w:space="0" w:color="000000"/>
                <w:insideV w:val="single" w:sz="8" w:space="0" w:color="000000"/>
              </w:tblBorders>
              <w:tblLayout w:type="fixed"/>
              <w:tblLook w:val="0600" w:firstRow="0" w:lastRow="0" w:firstColumn="0" w:lastColumn="0" w:noHBand="1" w:noVBand="1"/>
            </w:tblPr>
            <w:tblGrid>
              <w:gridCol w:w="2160"/>
              <w:gridCol w:w="2160"/>
            </w:tblGrid>
            <w:tr w:rsidR="007E4DE3" w14:paraId="492DA54D" w14:textId="77777777">
              <w:tc>
                <w:tcPr>
                  <w:tcW w:w="215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hideMark/>
                </w:tcPr>
                <w:p w14:paraId="114E6854" w14:textId="77777777" w:rsidR="007E4DE3" w:rsidRDefault="007E4DE3">
                  <w:pPr>
                    <w:widowControl w:val="0"/>
                    <w:spacing w:line="240" w:lineRule="auto"/>
                    <w:jc w:val="left"/>
                    <w:rPr>
                      <w:b/>
                      <w:sz w:val="20"/>
                      <w:szCs w:val="20"/>
                    </w:rPr>
                  </w:pPr>
                  <w:r>
                    <w:rPr>
                      <w:b/>
                      <w:sz w:val="20"/>
                      <w:szCs w:val="20"/>
                    </w:rPr>
                    <w:t>Activity</w:t>
                  </w:r>
                </w:p>
              </w:tc>
              <w:tc>
                <w:tcPr>
                  <w:tcW w:w="215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hideMark/>
                </w:tcPr>
                <w:p w14:paraId="08052A1F" w14:textId="77777777" w:rsidR="007E4DE3" w:rsidRDefault="007E4DE3">
                  <w:pPr>
                    <w:widowControl w:val="0"/>
                    <w:spacing w:line="240" w:lineRule="auto"/>
                    <w:jc w:val="left"/>
                    <w:rPr>
                      <w:b/>
                      <w:sz w:val="20"/>
                      <w:szCs w:val="20"/>
                    </w:rPr>
                  </w:pPr>
                  <w:r>
                    <w:rPr>
                      <w:b/>
                      <w:sz w:val="20"/>
                      <w:szCs w:val="20"/>
                    </w:rPr>
                    <w:t>SDG Outcome</w:t>
                  </w:r>
                </w:p>
              </w:tc>
            </w:tr>
            <w:tr w:rsidR="007E4DE3" w14:paraId="1BC41609" w14:textId="77777777">
              <w:tc>
                <w:tcPr>
                  <w:tcW w:w="215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hideMark/>
                </w:tcPr>
                <w:p w14:paraId="772B6418" w14:textId="77777777" w:rsidR="007E4DE3" w:rsidRDefault="007E4DE3">
                  <w:pPr>
                    <w:widowControl w:val="0"/>
                    <w:spacing w:line="240" w:lineRule="auto"/>
                    <w:jc w:val="left"/>
                    <w:rPr>
                      <w:i/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1.Stakeholder mapping and Engagement</w:t>
                  </w:r>
                </w:p>
              </w:tc>
              <w:tc>
                <w:tcPr>
                  <w:tcW w:w="215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hideMark/>
                </w:tcPr>
                <w:p w14:paraId="56ABE6DA" w14:textId="77777777" w:rsidR="007E4DE3" w:rsidRDefault="007E4DE3">
                  <w:pPr>
                    <w:jc w:val="left"/>
                    <w:rPr>
                      <w:i/>
                      <w:sz w:val="20"/>
                      <w:szCs w:val="20"/>
                    </w:rPr>
                  </w:pPr>
                  <w:r>
                    <w:rPr>
                      <w:i/>
                      <w:sz w:val="20"/>
                      <w:szCs w:val="20"/>
                    </w:rPr>
                    <w:t>1.4; 1.5; 5.5</w:t>
                  </w:r>
                </w:p>
              </w:tc>
            </w:tr>
            <w:tr w:rsidR="007E4DE3" w14:paraId="30382AE3" w14:textId="77777777">
              <w:trPr>
                <w:trHeight w:val="684"/>
              </w:trPr>
              <w:tc>
                <w:tcPr>
                  <w:tcW w:w="215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hideMark/>
                </w:tcPr>
                <w:p w14:paraId="4C8E0CC5" w14:textId="77777777" w:rsidR="007E4DE3" w:rsidRDefault="007E4DE3">
                  <w:pPr>
                    <w:spacing w:line="240" w:lineRule="auto"/>
                    <w:jc w:val="left"/>
                    <w:rPr>
                      <w:i/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4. Policy and Legal Framework Assessment</w:t>
                  </w:r>
                </w:p>
              </w:tc>
              <w:tc>
                <w:tcPr>
                  <w:tcW w:w="215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hideMark/>
                </w:tcPr>
                <w:p w14:paraId="008CAF92" w14:textId="77777777" w:rsidR="007E4DE3" w:rsidRDefault="007E4DE3">
                  <w:pPr>
                    <w:spacing w:line="240" w:lineRule="auto"/>
                    <w:jc w:val="left"/>
                    <w:rPr>
                      <w:i/>
                      <w:sz w:val="20"/>
                      <w:szCs w:val="20"/>
                    </w:rPr>
                  </w:pPr>
                  <w:r>
                    <w:rPr>
                      <w:i/>
                      <w:sz w:val="20"/>
                      <w:szCs w:val="20"/>
                    </w:rPr>
                    <w:t>7.1; 7.2; 7.b; 9,1; 13,2; 17,7</w:t>
                  </w:r>
                </w:p>
              </w:tc>
            </w:tr>
            <w:tr w:rsidR="007E4DE3" w14:paraId="7E14767C" w14:textId="77777777">
              <w:tc>
                <w:tcPr>
                  <w:tcW w:w="215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hideMark/>
                </w:tcPr>
                <w:p w14:paraId="75D21ECE" w14:textId="77777777" w:rsidR="007E4DE3" w:rsidRDefault="007E4DE3">
                  <w:pPr>
                    <w:widowControl w:val="0"/>
                    <w:spacing w:line="240" w:lineRule="auto"/>
                    <w:jc w:val="left"/>
                    <w:rPr>
                      <w:i/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5. Consider Interdependencies, Systems Planning and develop Cross-ministerial Cooperation</w:t>
                  </w:r>
                </w:p>
              </w:tc>
              <w:tc>
                <w:tcPr>
                  <w:tcW w:w="215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hideMark/>
                </w:tcPr>
                <w:p w14:paraId="18F4B019" w14:textId="77777777" w:rsidR="007E4DE3" w:rsidRDefault="007E4DE3">
                  <w:pPr>
                    <w:jc w:val="left"/>
                    <w:rPr>
                      <w:i/>
                      <w:sz w:val="20"/>
                      <w:szCs w:val="20"/>
                    </w:rPr>
                  </w:pPr>
                  <w:r>
                    <w:rPr>
                      <w:i/>
                      <w:sz w:val="20"/>
                      <w:szCs w:val="20"/>
                    </w:rPr>
                    <w:t xml:space="preserve">1.4; 1.5; 3.8; 4.1; 7.1; 8.1; 9.1; 9.2; 11.6; </w:t>
                  </w:r>
                  <w:proofErr w:type="gramStart"/>
                  <w:r>
                    <w:rPr>
                      <w:i/>
                      <w:sz w:val="20"/>
                      <w:szCs w:val="20"/>
                    </w:rPr>
                    <w:t>11.b</w:t>
                  </w:r>
                  <w:proofErr w:type="gramEnd"/>
                </w:p>
              </w:tc>
            </w:tr>
            <w:tr w:rsidR="007E4DE3" w14:paraId="16BB3668" w14:textId="77777777">
              <w:tc>
                <w:tcPr>
                  <w:tcW w:w="215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hideMark/>
                </w:tcPr>
                <w:p w14:paraId="72127738" w14:textId="77777777" w:rsidR="007E4DE3" w:rsidRDefault="007E4DE3">
                  <w:pPr>
                    <w:jc w:val="left"/>
                    <w:rPr>
                      <w:i/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8. Create Sustainable Path Dependence and Avoid Carbon Lock-ins</w:t>
                  </w:r>
                </w:p>
              </w:tc>
              <w:tc>
                <w:tcPr>
                  <w:tcW w:w="215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hideMark/>
                </w:tcPr>
                <w:p w14:paraId="49748911" w14:textId="77777777" w:rsidR="007E4DE3" w:rsidRDefault="007E4DE3">
                  <w:pPr>
                    <w:jc w:val="left"/>
                    <w:rPr>
                      <w:i/>
                      <w:sz w:val="20"/>
                      <w:szCs w:val="20"/>
                    </w:rPr>
                  </w:pPr>
                  <w:r>
                    <w:rPr>
                      <w:i/>
                      <w:sz w:val="20"/>
                      <w:szCs w:val="20"/>
                    </w:rPr>
                    <w:t xml:space="preserve">7.1; 7.2; 7.b; 9.2; 13.2 </w:t>
                  </w:r>
                </w:p>
              </w:tc>
            </w:tr>
            <w:tr w:rsidR="007E4DE3" w14:paraId="1B0BD180" w14:textId="77777777">
              <w:tc>
                <w:tcPr>
                  <w:tcW w:w="215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hideMark/>
                </w:tcPr>
                <w:p w14:paraId="2722F678" w14:textId="77777777" w:rsidR="007E4DE3" w:rsidRDefault="007E4DE3">
                  <w:pPr>
                    <w:widowControl w:val="0"/>
                    <w:spacing w:line="240" w:lineRule="auto"/>
                    <w:jc w:val="lef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10. </w:t>
                  </w:r>
                  <w:r>
                    <w:rPr>
                      <w:sz w:val="20"/>
                      <w:szCs w:val="20"/>
                      <w:highlight w:val="white"/>
                    </w:rPr>
                    <w:t>Consideration of Land Use Efficiency in Planning</w:t>
                  </w:r>
                </w:p>
              </w:tc>
              <w:tc>
                <w:tcPr>
                  <w:tcW w:w="215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hideMark/>
                </w:tcPr>
                <w:p w14:paraId="03562666" w14:textId="77777777" w:rsidR="007E4DE3" w:rsidRDefault="007E4DE3">
                  <w:pPr>
                    <w:jc w:val="left"/>
                    <w:rPr>
                      <w:i/>
                      <w:sz w:val="20"/>
                      <w:szCs w:val="20"/>
                    </w:rPr>
                  </w:pPr>
                  <w:r>
                    <w:rPr>
                      <w:i/>
                      <w:sz w:val="20"/>
                      <w:szCs w:val="20"/>
                    </w:rPr>
                    <w:t xml:space="preserve"> 6.6; 15.1; 15.5</w:t>
                  </w:r>
                </w:p>
              </w:tc>
            </w:tr>
            <w:tr w:rsidR="007E4DE3" w14:paraId="1473931E" w14:textId="77777777">
              <w:tc>
                <w:tcPr>
                  <w:tcW w:w="215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hideMark/>
                </w:tcPr>
                <w:p w14:paraId="2F70E90D" w14:textId="77777777" w:rsidR="007E4DE3" w:rsidRDefault="007E4DE3">
                  <w:pPr>
                    <w:widowControl w:val="0"/>
                    <w:spacing w:line="240" w:lineRule="auto"/>
                    <w:jc w:val="left"/>
                    <w:rPr>
                      <w:i/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11. Disaster and Climate Risk Screening</w:t>
                  </w:r>
                </w:p>
              </w:tc>
              <w:tc>
                <w:tcPr>
                  <w:tcW w:w="215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hideMark/>
                </w:tcPr>
                <w:p w14:paraId="19A9717D" w14:textId="77777777" w:rsidR="007E4DE3" w:rsidRDefault="007E4DE3">
                  <w:pPr>
                    <w:jc w:val="left"/>
                    <w:rPr>
                      <w:i/>
                      <w:sz w:val="20"/>
                      <w:szCs w:val="20"/>
                    </w:rPr>
                  </w:pPr>
                  <w:r>
                    <w:rPr>
                      <w:i/>
                      <w:sz w:val="20"/>
                      <w:szCs w:val="20"/>
                    </w:rPr>
                    <w:t>7.1; 9.1; 11.b; 13.1</w:t>
                  </w:r>
                </w:p>
              </w:tc>
            </w:tr>
            <w:tr w:rsidR="007E4DE3" w14:paraId="33BA1DE4" w14:textId="77777777">
              <w:tc>
                <w:tcPr>
                  <w:tcW w:w="215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hideMark/>
                </w:tcPr>
                <w:p w14:paraId="30DF9D0C" w14:textId="77777777" w:rsidR="007E4DE3" w:rsidRDefault="007E4DE3">
                  <w:pPr>
                    <w:jc w:val="lef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21. Resilient and Flexible Design</w:t>
                  </w:r>
                </w:p>
              </w:tc>
              <w:tc>
                <w:tcPr>
                  <w:tcW w:w="215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hideMark/>
                </w:tcPr>
                <w:p w14:paraId="0D98A337" w14:textId="77777777" w:rsidR="007E4DE3" w:rsidRDefault="007E4DE3">
                  <w:pPr>
                    <w:jc w:val="left"/>
                    <w:rPr>
                      <w:i/>
                      <w:sz w:val="20"/>
                      <w:szCs w:val="20"/>
                    </w:rPr>
                  </w:pPr>
                  <w:r>
                    <w:rPr>
                      <w:i/>
                      <w:sz w:val="20"/>
                      <w:szCs w:val="20"/>
                    </w:rPr>
                    <w:t>7.1; 9.1</w:t>
                  </w:r>
                </w:p>
              </w:tc>
            </w:tr>
            <w:tr w:rsidR="007E4DE3" w14:paraId="4BD2414B" w14:textId="77777777">
              <w:tc>
                <w:tcPr>
                  <w:tcW w:w="215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hideMark/>
                </w:tcPr>
                <w:p w14:paraId="0619946A" w14:textId="77777777" w:rsidR="007E4DE3" w:rsidRDefault="007E4DE3">
                  <w:pPr>
                    <w:jc w:val="lef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  <w:highlight w:val="white"/>
                    </w:rPr>
                    <w:t>23. Implement Nature-Based Solutions for increased Resilience</w:t>
                  </w:r>
                </w:p>
              </w:tc>
              <w:tc>
                <w:tcPr>
                  <w:tcW w:w="215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hideMark/>
                </w:tcPr>
                <w:p w14:paraId="1E5F5F28" w14:textId="77777777" w:rsidR="007E4DE3" w:rsidRDefault="007E4DE3">
                  <w:pPr>
                    <w:jc w:val="left"/>
                    <w:rPr>
                      <w:i/>
                      <w:sz w:val="20"/>
                      <w:szCs w:val="20"/>
                    </w:rPr>
                  </w:pPr>
                  <w:r>
                    <w:rPr>
                      <w:i/>
                      <w:sz w:val="20"/>
                      <w:szCs w:val="20"/>
                    </w:rPr>
                    <w:t>6.4; 9.4; 12.2</w:t>
                  </w:r>
                </w:p>
              </w:tc>
            </w:tr>
            <w:tr w:rsidR="007E4DE3" w14:paraId="703B35E4" w14:textId="77777777">
              <w:tc>
                <w:tcPr>
                  <w:tcW w:w="215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hideMark/>
                </w:tcPr>
                <w:p w14:paraId="5C1FCA30" w14:textId="77777777" w:rsidR="007E4DE3" w:rsidRDefault="007E4DE3">
                  <w:pPr>
                    <w:jc w:val="left"/>
                    <w:rPr>
                      <w:sz w:val="20"/>
                      <w:szCs w:val="20"/>
                      <w:highlight w:val="white"/>
                    </w:rPr>
                  </w:pPr>
                  <w:r>
                    <w:rPr>
                      <w:sz w:val="20"/>
                      <w:szCs w:val="20"/>
                    </w:rPr>
                    <w:t xml:space="preserve">31. Proactive Maintenance </w:t>
                  </w:r>
                </w:p>
              </w:tc>
              <w:tc>
                <w:tcPr>
                  <w:tcW w:w="215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hideMark/>
                </w:tcPr>
                <w:p w14:paraId="4A9C7B83" w14:textId="77777777" w:rsidR="007E4DE3" w:rsidRDefault="007E4DE3">
                  <w:pPr>
                    <w:spacing w:line="240" w:lineRule="auto"/>
                    <w:jc w:val="left"/>
                    <w:rPr>
                      <w:color w:val="000000"/>
                    </w:rPr>
                  </w:pPr>
                  <w:r>
                    <w:rPr>
                      <w:i/>
                      <w:color w:val="000000"/>
                      <w:sz w:val="20"/>
                      <w:szCs w:val="20"/>
                    </w:rPr>
                    <w:t>8.4; 9.1; 12.2</w:t>
                  </w:r>
                </w:p>
              </w:tc>
            </w:tr>
            <w:tr w:rsidR="007E4DE3" w14:paraId="59C3CEA4" w14:textId="77777777">
              <w:tc>
                <w:tcPr>
                  <w:tcW w:w="215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hideMark/>
                </w:tcPr>
                <w:p w14:paraId="2A8F5BD9" w14:textId="77777777" w:rsidR="007E4DE3" w:rsidRDefault="007E4DE3">
                  <w:pPr>
                    <w:jc w:val="left"/>
                    <w:rPr>
                      <w:sz w:val="20"/>
                      <w:szCs w:val="20"/>
                      <w:highlight w:val="white"/>
                    </w:rPr>
                  </w:pPr>
                  <w:r>
                    <w:rPr>
                      <w:sz w:val="20"/>
                      <w:szCs w:val="20"/>
                    </w:rPr>
                    <w:t>32. Asset Management for Resilience</w:t>
                  </w:r>
                </w:p>
              </w:tc>
              <w:tc>
                <w:tcPr>
                  <w:tcW w:w="215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hideMark/>
                </w:tcPr>
                <w:p w14:paraId="58C35C96" w14:textId="77777777" w:rsidR="007E4DE3" w:rsidRDefault="007E4DE3">
                  <w:pPr>
                    <w:jc w:val="left"/>
                    <w:rPr>
                      <w:i/>
                      <w:sz w:val="20"/>
                      <w:szCs w:val="20"/>
                    </w:rPr>
                  </w:pPr>
                  <w:r>
                    <w:rPr>
                      <w:i/>
                      <w:sz w:val="20"/>
                      <w:szCs w:val="20"/>
                    </w:rPr>
                    <w:t>11.5; 13.1</w:t>
                  </w:r>
                </w:p>
              </w:tc>
            </w:tr>
            <w:tr w:rsidR="007E4DE3" w14:paraId="7D413BFC" w14:textId="77777777">
              <w:tc>
                <w:tcPr>
                  <w:tcW w:w="215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hideMark/>
                </w:tcPr>
                <w:p w14:paraId="47DB55D9" w14:textId="77777777" w:rsidR="007E4DE3" w:rsidRDefault="007E4DE3">
                  <w:pPr>
                    <w:jc w:val="left"/>
                    <w:rPr>
                      <w:sz w:val="20"/>
                      <w:szCs w:val="20"/>
                      <w:highlight w:val="white"/>
                    </w:rPr>
                  </w:pPr>
                  <w:r>
                    <w:rPr>
                      <w:sz w:val="20"/>
                      <w:szCs w:val="20"/>
                    </w:rPr>
                    <w:t>34. Decommissioning with circular economy practices</w:t>
                  </w:r>
                </w:p>
              </w:tc>
              <w:tc>
                <w:tcPr>
                  <w:tcW w:w="215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hideMark/>
                </w:tcPr>
                <w:p w14:paraId="447951BB" w14:textId="77777777" w:rsidR="007E4DE3" w:rsidRDefault="007E4DE3">
                  <w:pPr>
                    <w:spacing w:line="240" w:lineRule="auto"/>
                    <w:jc w:val="left"/>
                    <w:rPr>
                      <w:sz w:val="20"/>
                      <w:szCs w:val="20"/>
                    </w:rPr>
                  </w:pPr>
                  <w:r>
                    <w:rPr>
                      <w:i/>
                      <w:sz w:val="20"/>
                      <w:szCs w:val="20"/>
                    </w:rPr>
                    <w:t>8.4; 9.4; 12.2; 12.5</w:t>
                  </w:r>
                </w:p>
              </w:tc>
            </w:tr>
          </w:tbl>
          <w:p w14:paraId="4AA73692" w14:textId="77777777" w:rsidR="007E4DE3" w:rsidRDefault="007E4DE3">
            <w:pPr>
              <w:widowControl w:val="0"/>
              <w:spacing w:line="240" w:lineRule="auto"/>
              <w:jc w:val="left"/>
              <w:rPr>
                <w:i/>
                <w:sz w:val="20"/>
                <w:szCs w:val="20"/>
              </w:rPr>
            </w:pPr>
          </w:p>
        </w:tc>
      </w:tr>
    </w:tbl>
    <w:p w14:paraId="78DFFDC9" w14:textId="77777777" w:rsidR="007E4DE3" w:rsidRDefault="007E4DE3" w:rsidP="007E4DE3">
      <w:pPr>
        <w:pStyle w:val="Heading1"/>
      </w:pPr>
      <w:r>
        <w:br w:type="page"/>
      </w:r>
      <w:bookmarkStart w:id="0" w:name="_heading=h.dms1nz4h8zol"/>
      <w:bookmarkEnd w:id="0"/>
    </w:p>
    <w:p w14:paraId="37C215BD" w14:textId="77777777" w:rsidR="00AD1398" w:rsidRDefault="00AD1398"/>
    <w:sectPr w:rsidR="00AD139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4DE3"/>
    <w:rsid w:val="007E4DE3"/>
    <w:rsid w:val="00AD13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946CC1"/>
  <w15:chartTrackingRefBased/>
  <w15:docId w15:val="{C4765920-89FE-4F47-BAC2-C828CC7EBC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E4DE3"/>
    <w:pPr>
      <w:spacing w:after="0" w:line="276" w:lineRule="auto"/>
      <w:jc w:val="both"/>
    </w:pPr>
    <w:rPr>
      <w:rFonts w:ascii="Times New Roman" w:eastAsia="Times New Roman" w:hAnsi="Times New Roman" w:cs="Times New Roman"/>
      <w:sz w:val="24"/>
      <w:szCs w:val="24"/>
      <w:lang w:val="en-GB" w:eastAsia="sv-SE"/>
    </w:rPr>
  </w:style>
  <w:style w:type="paragraph" w:styleId="Heading1">
    <w:name w:val="heading 1"/>
    <w:basedOn w:val="Normal"/>
    <w:next w:val="Normal"/>
    <w:link w:val="Heading1Char"/>
    <w:uiPriority w:val="9"/>
    <w:qFormat/>
    <w:rsid w:val="007E4DE3"/>
    <w:pPr>
      <w:keepNext/>
      <w:keepLines/>
      <w:spacing w:before="400" w:after="120"/>
      <w:outlineLvl w:val="0"/>
    </w:pPr>
    <w:rPr>
      <w:color w:val="0B5394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E4DE3"/>
    <w:pPr>
      <w:keepNext/>
      <w:keepLines/>
      <w:spacing w:before="360" w:after="120"/>
      <w:outlineLvl w:val="1"/>
    </w:pPr>
    <w:rPr>
      <w:color w:val="1C4587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E4DE3"/>
    <w:rPr>
      <w:rFonts w:ascii="Times New Roman" w:eastAsia="Times New Roman" w:hAnsi="Times New Roman" w:cs="Times New Roman"/>
      <w:color w:val="0B5394"/>
      <w:sz w:val="40"/>
      <w:szCs w:val="40"/>
      <w:lang w:val="en-GB" w:eastAsia="sv-S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E4DE3"/>
    <w:rPr>
      <w:rFonts w:ascii="Times New Roman" w:eastAsia="Times New Roman" w:hAnsi="Times New Roman" w:cs="Times New Roman"/>
      <w:color w:val="1C4587"/>
      <w:sz w:val="32"/>
      <w:szCs w:val="32"/>
      <w:lang w:val="en-GB"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7805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221</Words>
  <Characters>1261</Characters>
  <Application>Microsoft Office Word</Application>
  <DocSecurity>0</DocSecurity>
  <Lines>10</Lines>
  <Paragraphs>2</Paragraphs>
  <ScaleCrop>false</ScaleCrop>
  <Company>Springer Nature</Company>
  <LinksUpToDate>false</LinksUpToDate>
  <CharactersWithSpaces>1480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Bhushan Tandale</dc:creator>
  <cp:keywords/>
  <dc:description/>
  <cp:lastModifiedBy>Bhushan Tandale</cp:lastModifiedBy>
  <cp:revision>1</cp:revision>
  <dcterms:created xsi:type="dcterms:W3CDTF">2023-11-01T03:45:00Z</dcterms:created>
  <dcterms:modified xsi:type="dcterms:W3CDTF">2023-11-01T03:46:00Z</dcterms:modified>
</cp:coreProperties>
</file>