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DA6042" w14:textId="77777777" w:rsidR="00345A72" w:rsidRPr="00345A72" w:rsidRDefault="00345A72" w:rsidP="00345A72">
      <w:pPr>
        <w:widowControl/>
        <w:spacing w:line="360" w:lineRule="auto"/>
        <w:rPr>
          <w:rFonts w:ascii="Times New Roman" w:hAnsi="Times New Roman" w:cs="Times New Roman"/>
          <w:b/>
          <w:bCs/>
          <w:sz w:val="24"/>
          <w:szCs w:val="24"/>
        </w:rPr>
      </w:pPr>
      <w:r w:rsidRPr="00345A72">
        <w:rPr>
          <w:rFonts w:ascii="Times New Roman" w:hAnsi="Times New Roman" w:cs="Times New Roman"/>
          <w:b/>
          <w:bCs/>
          <w:sz w:val="24"/>
          <w:szCs w:val="24"/>
        </w:rPr>
        <w:t>Extended Data</w:t>
      </w:r>
    </w:p>
    <w:p w14:paraId="77ABB531" w14:textId="77777777" w:rsidR="00345A72" w:rsidRPr="00345A72" w:rsidRDefault="00345A72" w:rsidP="00345A72">
      <w:pPr>
        <w:rPr>
          <w:rFonts w:ascii="Times New Roman" w:hAnsi="Times New Roman" w:cs="Times New Roman"/>
          <w:b/>
          <w:bCs/>
          <w:sz w:val="24"/>
          <w:szCs w:val="24"/>
        </w:rPr>
      </w:pPr>
    </w:p>
    <w:p w14:paraId="11530453" w14:textId="77777777" w:rsidR="00345A72" w:rsidRPr="00345A72" w:rsidRDefault="00345A72" w:rsidP="00345A72">
      <w:pPr>
        <w:rPr>
          <w:rFonts w:ascii="Times New Roman" w:hAnsi="Times New Roman" w:cs="Times New Roman"/>
          <w:sz w:val="24"/>
          <w:szCs w:val="24"/>
        </w:rPr>
      </w:pPr>
      <w:bookmarkStart w:id="0" w:name="_Hlk144999807"/>
      <w:r w:rsidRPr="00345A72">
        <w:rPr>
          <w:rFonts w:ascii="Times New Roman" w:hAnsi="Times New Roman" w:cs="Times New Roman"/>
          <w:noProof/>
          <w:sz w:val="24"/>
          <w:szCs w:val="24"/>
        </w:rPr>
        <w:drawing>
          <wp:inline distT="0" distB="0" distL="0" distR="0" wp14:anchorId="5F2CC3BC" wp14:editId="535DF26A">
            <wp:extent cx="5400040" cy="3267710"/>
            <wp:effectExtent l="0" t="0" r="0" b="8890"/>
            <wp:docPr id="280428643" name="図 280428643" descr="カラフルな光のcg&#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カラフルな光のcg&#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40" cy="3267710"/>
                    </a:xfrm>
                    <a:prstGeom prst="rect">
                      <a:avLst/>
                    </a:prstGeom>
                  </pic:spPr>
                </pic:pic>
              </a:graphicData>
            </a:graphic>
          </wp:inline>
        </w:drawing>
      </w:r>
    </w:p>
    <w:p w14:paraId="38D9B0CE" w14:textId="77777777" w:rsidR="00345A72" w:rsidRPr="00345A72" w:rsidRDefault="00345A72" w:rsidP="00345A72">
      <w:pPr>
        <w:rPr>
          <w:rFonts w:ascii="Times New Roman" w:hAnsi="Times New Roman" w:cs="Times New Roman"/>
          <w:sz w:val="24"/>
          <w:szCs w:val="24"/>
        </w:rPr>
      </w:pPr>
      <w:r w:rsidRPr="00345A72">
        <w:rPr>
          <w:rFonts w:ascii="Times New Roman" w:hAnsi="Times New Roman" w:cs="Times New Roman"/>
          <w:b/>
          <w:bCs/>
          <w:sz w:val="24"/>
          <w:szCs w:val="24"/>
        </w:rPr>
        <w:t xml:space="preserve">Extended Data </w:t>
      </w:r>
      <w:r w:rsidRPr="00345A72">
        <w:rPr>
          <w:rFonts w:ascii="Times New Roman" w:hAnsi="Times New Roman" w:cs="Times New Roman" w:hint="eastAsia"/>
          <w:b/>
          <w:bCs/>
          <w:sz w:val="24"/>
          <w:szCs w:val="24"/>
        </w:rPr>
        <w:t>F</w:t>
      </w:r>
      <w:r w:rsidRPr="00345A72">
        <w:rPr>
          <w:rFonts w:ascii="Times New Roman" w:hAnsi="Times New Roman" w:cs="Times New Roman"/>
          <w:b/>
          <w:bCs/>
          <w:sz w:val="24"/>
          <w:szCs w:val="24"/>
        </w:rPr>
        <w:t>igure 1: Observed and simulated PWC trends for 1980-2014.</w:t>
      </w:r>
      <w:r w:rsidRPr="00345A72">
        <w:rPr>
          <w:rFonts w:ascii="Times New Roman" w:hAnsi="Times New Roman" w:cs="Times New Roman"/>
          <w:sz w:val="24"/>
          <w:szCs w:val="24"/>
        </w:rPr>
        <w:t xml:space="preserve"> Trend of the SLP PWC index for 1980-2014 in the series of experiments </w:t>
      </w:r>
      <w:r w:rsidRPr="00345A72">
        <w:rPr>
          <w:rFonts w:ascii="Times New Roman" w:hAnsi="Times New Roman" w:cs="Times New Roman" w:hint="eastAsia"/>
          <w:sz w:val="24"/>
          <w:szCs w:val="24"/>
        </w:rPr>
        <w:t>(</w:t>
      </w:r>
      <w:r w:rsidRPr="00345A72">
        <w:rPr>
          <w:rFonts w:ascii="Times New Roman" w:hAnsi="Times New Roman" w:cs="Times New Roman"/>
          <w:sz w:val="24"/>
          <w:szCs w:val="24"/>
        </w:rPr>
        <w:t xml:space="preserve">left) and in the CMIP6 multi-model ensemble (right). Boxes and whiskers respectively indicate (left) </w:t>
      </w:r>
      <w:r w:rsidRPr="00345A72">
        <w:rPr>
          <w:rFonts w:ascii="Times New Roman" w:hAnsi="Times New Roman" w:cs="Times New Roman" w:hint="eastAsia"/>
          <w:sz w:val="24"/>
          <w:szCs w:val="24"/>
        </w:rPr>
        <w:t>±</w:t>
      </w:r>
      <w:r w:rsidRPr="00345A72">
        <w:rPr>
          <w:rFonts w:ascii="Times New Roman" w:hAnsi="Times New Roman" w:cs="Times New Roman"/>
          <w:sz w:val="24"/>
          <w:szCs w:val="24"/>
        </w:rPr>
        <w:t>0.67</w:t>
      </w:r>
      <w:r w:rsidRPr="00345A72">
        <w:rPr>
          <w:rFonts w:ascii="Times New Roman" w:hAnsi="Times New Roman" w:cs="Times New Roman"/>
          <w:i/>
          <w:iCs/>
          <w:sz w:val="24"/>
          <w:szCs w:val="24"/>
        </w:rPr>
        <w:t>σ</w:t>
      </w:r>
      <w:r w:rsidRPr="00345A72">
        <w:rPr>
          <w:rFonts w:ascii="Times New Roman" w:hAnsi="Times New Roman" w:cs="Times New Roman"/>
          <w:sz w:val="24"/>
          <w:szCs w:val="24"/>
        </w:rPr>
        <w:t xml:space="preserve"> and ±1.645</w:t>
      </w:r>
      <w:r w:rsidRPr="00345A72">
        <w:rPr>
          <w:rFonts w:ascii="Times New Roman" w:hAnsi="Times New Roman" w:cs="Times New Roman"/>
          <w:i/>
          <w:iCs/>
          <w:sz w:val="24"/>
          <w:szCs w:val="24"/>
        </w:rPr>
        <w:t>σ</w:t>
      </w:r>
      <w:r w:rsidRPr="00345A72">
        <w:rPr>
          <w:rFonts w:ascii="Times New Roman" w:hAnsi="Times New Roman" w:cs="Times New Roman"/>
          <w:sz w:val="24"/>
          <w:szCs w:val="24"/>
        </w:rPr>
        <w:t xml:space="preserve"> ranges (where </w:t>
      </w:r>
      <w:r w:rsidRPr="00345A72">
        <w:rPr>
          <w:rFonts w:ascii="Times New Roman" w:hAnsi="Times New Roman" w:cs="Times New Roman"/>
          <w:i/>
          <w:iCs/>
          <w:sz w:val="24"/>
          <w:szCs w:val="24"/>
        </w:rPr>
        <w:t>σ</w:t>
      </w:r>
      <w:r w:rsidRPr="00345A72">
        <w:rPr>
          <w:rFonts w:ascii="Times New Roman" w:hAnsi="Times New Roman" w:cs="Times New Roman"/>
          <w:sz w:val="24"/>
          <w:szCs w:val="24"/>
        </w:rPr>
        <w:t xml:space="preserve"> denotes one s.d.), corresponding to 50% and 90% ranges of a normal distribution, and (right) the interquartile and 5th-95th percentile ranges. </w:t>
      </w:r>
    </w:p>
    <w:p w14:paraId="1260A1B6" w14:textId="77777777" w:rsidR="00345A72" w:rsidRPr="00345A72" w:rsidRDefault="00345A72" w:rsidP="00345A72">
      <w:pPr>
        <w:rPr>
          <w:rFonts w:ascii="Times New Roman" w:hAnsi="Times New Roman" w:cs="Times New Roman"/>
          <w:b/>
          <w:bCs/>
          <w:sz w:val="24"/>
          <w:szCs w:val="24"/>
        </w:rPr>
      </w:pPr>
    </w:p>
    <w:p w14:paraId="2028728D" w14:textId="77777777" w:rsidR="00345A72" w:rsidRPr="00345A72" w:rsidRDefault="00345A72" w:rsidP="00345A72">
      <w:pPr>
        <w:rPr>
          <w:rFonts w:ascii="Times New Roman" w:hAnsi="Times New Roman" w:cs="Times New Roman"/>
          <w:b/>
          <w:bCs/>
          <w:sz w:val="24"/>
          <w:szCs w:val="24"/>
        </w:rPr>
      </w:pPr>
    </w:p>
    <w:p w14:paraId="4ABF3DE0" w14:textId="77777777" w:rsidR="00345A72" w:rsidRPr="00345A72" w:rsidRDefault="00345A72" w:rsidP="00345A72">
      <w:pPr>
        <w:rPr>
          <w:rFonts w:ascii="Times New Roman" w:hAnsi="Times New Roman" w:cs="Times New Roman"/>
          <w:sz w:val="24"/>
          <w:szCs w:val="24"/>
        </w:rPr>
      </w:pPr>
      <w:r w:rsidRPr="00345A72">
        <w:rPr>
          <w:rFonts w:ascii="Times New Roman" w:hAnsi="Times New Roman" w:cs="Times New Roman"/>
          <w:noProof/>
          <w:sz w:val="24"/>
          <w:szCs w:val="24"/>
        </w:rPr>
        <w:lastRenderedPageBreak/>
        <w:drawing>
          <wp:inline distT="0" distB="0" distL="0" distR="0" wp14:anchorId="5629B4A8" wp14:editId="19047D4E">
            <wp:extent cx="5400040" cy="4789170"/>
            <wp:effectExtent l="0" t="0" r="0" b="0"/>
            <wp:docPr id="1587349977" name="図 5" descr="文字と写真のスクリーンショット&#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349977" name="図 5" descr="文字と写真のスクリーンショット&#10;&#10;中程度の精度で自動的に生成された説明"/>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00040" cy="4789170"/>
                    </a:xfrm>
                    <a:prstGeom prst="rect">
                      <a:avLst/>
                    </a:prstGeom>
                  </pic:spPr>
                </pic:pic>
              </a:graphicData>
            </a:graphic>
          </wp:inline>
        </w:drawing>
      </w:r>
    </w:p>
    <w:p w14:paraId="25B58C20" w14:textId="77777777" w:rsidR="00345A72" w:rsidRPr="00345A72" w:rsidRDefault="00345A72" w:rsidP="00345A72">
      <w:pPr>
        <w:rPr>
          <w:rFonts w:ascii="Times New Roman" w:hAnsi="Times New Roman" w:cs="Times New Roman"/>
          <w:sz w:val="24"/>
          <w:szCs w:val="24"/>
        </w:rPr>
      </w:pPr>
    </w:p>
    <w:p w14:paraId="40CD619F" w14:textId="77777777" w:rsidR="00345A72" w:rsidRPr="00345A72" w:rsidRDefault="00345A72" w:rsidP="00345A72">
      <w:pPr>
        <w:rPr>
          <w:rFonts w:ascii="Times New Roman" w:hAnsi="Times New Roman" w:cs="Times New Roman"/>
          <w:sz w:val="24"/>
          <w:szCs w:val="24"/>
        </w:rPr>
      </w:pPr>
      <w:r w:rsidRPr="00345A72">
        <w:rPr>
          <w:rFonts w:ascii="Times New Roman" w:hAnsi="Times New Roman" w:cs="Times New Roman"/>
          <w:b/>
          <w:bCs/>
          <w:sz w:val="24"/>
          <w:szCs w:val="24"/>
        </w:rPr>
        <w:t>Extended Data Figure 2: The restoration region and buffer zones for pacemaker experiments.</w:t>
      </w:r>
      <w:r w:rsidRPr="00345A72">
        <w:rPr>
          <w:rFonts w:ascii="Times New Roman" w:hAnsi="Times New Roman" w:cs="Times New Roman"/>
          <w:sz w:val="24"/>
          <w:szCs w:val="24"/>
        </w:rPr>
        <w:t xml:space="preserve"> </w:t>
      </w:r>
      <w:r w:rsidRPr="00345A72">
        <w:rPr>
          <w:rFonts w:ascii="Times New Roman" w:hAnsi="Times New Roman" w:cs="Times New Roman" w:hint="eastAsia"/>
          <w:sz w:val="24"/>
          <w:szCs w:val="24"/>
        </w:rPr>
        <w:t>T</w:t>
      </w:r>
      <w:r w:rsidRPr="00345A72">
        <w:rPr>
          <w:rFonts w:ascii="Times New Roman" w:hAnsi="Times New Roman" w:cs="Times New Roman"/>
          <w:sz w:val="24"/>
          <w:szCs w:val="24"/>
        </w:rPr>
        <w:t>he restoration region</w:t>
      </w:r>
      <w:r w:rsidRPr="00345A72">
        <w:rPr>
          <w:rFonts w:ascii="Times New Roman" w:hAnsi="Times New Roman" w:cs="Times New Roman" w:hint="eastAsia"/>
          <w:sz w:val="24"/>
          <w:szCs w:val="24"/>
        </w:rPr>
        <w:t xml:space="preserve"> </w:t>
      </w:r>
      <w:r w:rsidRPr="00345A72">
        <w:rPr>
          <w:rFonts w:ascii="Times New Roman" w:hAnsi="Times New Roman" w:cs="Times New Roman"/>
          <w:sz w:val="24"/>
          <w:szCs w:val="24"/>
        </w:rPr>
        <w:t>(pink) and buffer zones (sky-blue) for each pacemaker experiment</w:t>
      </w:r>
      <w:r w:rsidRPr="00345A72">
        <w:rPr>
          <w:rFonts w:ascii="Times New Roman" w:hAnsi="Times New Roman" w:cs="Times New Roman" w:hint="eastAsia"/>
          <w:sz w:val="24"/>
          <w:szCs w:val="24"/>
        </w:rPr>
        <w:t xml:space="preserve"> </w:t>
      </w:r>
      <w:r w:rsidRPr="00345A72">
        <w:rPr>
          <w:rFonts w:ascii="Times New Roman" w:hAnsi="Times New Roman" w:cs="Times New Roman"/>
          <w:sz w:val="24"/>
          <w:szCs w:val="24"/>
        </w:rPr>
        <w:t>as indicated.</w:t>
      </w:r>
      <w:r w:rsidRPr="00345A72">
        <w:rPr>
          <w:rFonts w:ascii="Times New Roman" w:hAnsi="Times New Roman" w:cs="Times New Roman" w:hint="eastAsia"/>
          <w:sz w:val="24"/>
          <w:szCs w:val="24"/>
        </w:rPr>
        <w:t xml:space="preserve"> </w:t>
      </w:r>
      <w:r w:rsidRPr="00345A72">
        <w:rPr>
          <w:rFonts w:ascii="Times New Roman" w:hAnsi="Times New Roman" w:cs="Times New Roman"/>
          <w:sz w:val="24"/>
          <w:szCs w:val="24"/>
        </w:rPr>
        <w:t>See Methods for the detailed explanation of the restoration region and buffer zones.</w:t>
      </w:r>
    </w:p>
    <w:p w14:paraId="2226DADE" w14:textId="77777777" w:rsidR="00345A72" w:rsidRPr="00345A72" w:rsidRDefault="00345A72" w:rsidP="00345A72">
      <w:pPr>
        <w:rPr>
          <w:rFonts w:ascii="Times New Roman" w:hAnsi="Times New Roman" w:cs="Times New Roman"/>
          <w:sz w:val="24"/>
          <w:szCs w:val="24"/>
        </w:rPr>
      </w:pPr>
    </w:p>
    <w:p w14:paraId="47A742C7" w14:textId="77777777" w:rsidR="00345A72" w:rsidRPr="00345A72" w:rsidRDefault="00345A72" w:rsidP="00345A72">
      <w:pPr>
        <w:rPr>
          <w:rFonts w:ascii="Times New Roman" w:hAnsi="Times New Roman" w:cs="Times New Roman"/>
          <w:sz w:val="24"/>
          <w:szCs w:val="24"/>
        </w:rPr>
      </w:pPr>
    </w:p>
    <w:p w14:paraId="76B994BF" w14:textId="77777777" w:rsidR="00345A72" w:rsidRPr="00345A72" w:rsidRDefault="00345A72" w:rsidP="00345A72">
      <w:pPr>
        <w:jc w:val="center"/>
        <w:rPr>
          <w:rFonts w:ascii="Times New Roman" w:hAnsi="Times New Roman" w:cs="Times New Roman"/>
          <w:sz w:val="24"/>
          <w:szCs w:val="24"/>
        </w:rPr>
      </w:pPr>
      <w:r w:rsidRPr="00345A72">
        <w:rPr>
          <w:rFonts w:ascii="Times New Roman" w:hAnsi="Times New Roman" w:cs="Times New Roman"/>
          <w:noProof/>
          <w:sz w:val="24"/>
          <w:szCs w:val="24"/>
        </w:rPr>
        <w:lastRenderedPageBreak/>
        <w:drawing>
          <wp:inline distT="0" distB="0" distL="0" distR="0" wp14:anchorId="5C47DEDE" wp14:editId="654F5158">
            <wp:extent cx="4684854" cy="7277100"/>
            <wp:effectExtent l="0" t="0" r="1905" b="0"/>
            <wp:docPr id="758853533" name="図 6" descr="カラフルな光のcg&#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853533" name="図 6" descr="カラフルな光のcg&#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92178" cy="7288476"/>
                    </a:xfrm>
                    <a:prstGeom prst="rect">
                      <a:avLst/>
                    </a:prstGeom>
                  </pic:spPr>
                </pic:pic>
              </a:graphicData>
            </a:graphic>
          </wp:inline>
        </w:drawing>
      </w:r>
    </w:p>
    <w:p w14:paraId="488C5607" w14:textId="77777777" w:rsidR="00345A72" w:rsidRPr="00345A72" w:rsidRDefault="00345A72" w:rsidP="00345A72">
      <w:pPr>
        <w:rPr>
          <w:rFonts w:ascii="Times New Roman" w:hAnsi="Times New Roman" w:cs="Times New Roman"/>
          <w:b/>
          <w:bCs/>
          <w:sz w:val="24"/>
          <w:szCs w:val="24"/>
        </w:rPr>
      </w:pPr>
      <w:r w:rsidRPr="00345A72">
        <w:rPr>
          <w:rFonts w:ascii="Times New Roman" w:hAnsi="Times New Roman" w:cs="Times New Roman"/>
          <w:b/>
          <w:bCs/>
          <w:sz w:val="24"/>
          <w:szCs w:val="24"/>
        </w:rPr>
        <w:t xml:space="preserve">Extended Data </w:t>
      </w:r>
      <w:r w:rsidRPr="00345A72">
        <w:rPr>
          <w:rFonts w:ascii="Times New Roman" w:hAnsi="Times New Roman" w:cs="Times New Roman" w:hint="eastAsia"/>
          <w:b/>
          <w:bCs/>
          <w:sz w:val="24"/>
          <w:szCs w:val="24"/>
        </w:rPr>
        <w:t>F</w:t>
      </w:r>
      <w:r w:rsidRPr="00345A72">
        <w:rPr>
          <w:rFonts w:ascii="Times New Roman" w:hAnsi="Times New Roman" w:cs="Times New Roman"/>
          <w:b/>
          <w:bCs/>
          <w:sz w:val="24"/>
          <w:szCs w:val="24"/>
        </w:rPr>
        <w:t xml:space="preserve">igure 3: Trends of the </w:t>
      </w:r>
      <w:r w:rsidRPr="00345A72">
        <w:rPr>
          <w:rFonts w:ascii="Times New Roman" w:hAnsi="Times New Roman" w:cs="Times New Roman"/>
          <w:b/>
          <w:bCs/>
          <w:i/>
          <w:iCs/>
          <w:sz w:val="24"/>
          <w:szCs w:val="24"/>
        </w:rPr>
        <w:t>u</w:t>
      </w:r>
      <w:r w:rsidRPr="00345A72">
        <w:rPr>
          <w:rFonts w:ascii="Times New Roman" w:hAnsi="Times New Roman" w:cs="Times New Roman"/>
          <w:b/>
          <w:bCs/>
          <w:sz w:val="24"/>
          <w:szCs w:val="24"/>
        </w:rPr>
        <w:t xml:space="preserve">10 and </w:t>
      </w:r>
      <w:r w:rsidRPr="00345A72">
        <w:rPr>
          <w:rFonts w:ascii="Times New Roman" w:hAnsi="Times New Roman" w:cs="Times New Roman"/>
          <w:b/>
          <w:bCs/>
          <w:i/>
          <w:iCs/>
          <w:sz w:val="24"/>
          <w:szCs w:val="24"/>
        </w:rPr>
        <w:t>ω</w:t>
      </w:r>
      <w:r w:rsidRPr="00345A72">
        <w:rPr>
          <w:rFonts w:ascii="Times New Roman" w:hAnsi="Times New Roman" w:cs="Times New Roman" w:hint="eastAsia"/>
          <w:b/>
          <w:bCs/>
          <w:sz w:val="24"/>
          <w:szCs w:val="24"/>
        </w:rPr>
        <w:t>5</w:t>
      </w:r>
      <w:r w:rsidRPr="00345A72">
        <w:rPr>
          <w:rFonts w:ascii="Times New Roman" w:hAnsi="Times New Roman" w:cs="Times New Roman"/>
          <w:b/>
          <w:bCs/>
          <w:sz w:val="24"/>
          <w:szCs w:val="24"/>
        </w:rPr>
        <w:t>00 PWC indices for 1980-20</w:t>
      </w:r>
      <w:r w:rsidRPr="00345A72">
        <w:rPr>
          <w:rFonts w:ascii="Times New Roman" w:hAnsi="Times New Roman" w:cs="Times New Roman" w:hint="eastAsia"/>
          <w:b/>
          <w:bCs/>
          <w:sz w:val="24"/>
          <w:szCs w:val="24"/>
        </w:rPr>
        <w:t>2</w:t>
      </w:r>
      <w:r w:rsidRPr="00345A72">
        <w:rPr>
          <w:rFonts w:ascii="Times New Roman" w:hAnsi="Times New Roman" w:cs="Times New Roman"/>
          <w:b/>
          <w:bCs/>
          <w:sz w:val="24"/>
          <w:szCs w:val="24"/>
        </w:rPr>
        <w:t>0</w:t>
      </w:r>
    </w:p>
    <w:p w14:paraId="4ACD2116" w14:textId="77777777" w:rsidR="00345A72" w:rsidRPr="00345A72" w:rsidRDefault="00345A72" w:rsidP="00345A72">
      <w:pPr>
        <w:rPr>
          <w:rFonts w:ascii="Times New Roman" w:hAnsi="Times New Roman" w:cs="Times New Roman"/>
          <w:sz w:val="24"/>
          <w:szCs w:val="24"/>
        </w:rPr>
      </w:pPr>
      <w:r w:rsidRPr="00345A72">
        <w:rPr>
          <w:rFonts w:ascii="Times New Roman" w:hAnsi="Times New Roman" w:cs="Times New Roman" w:hint="eastAsia"/>
          <w:sz w:val="24"/>
          <w:szCs w:val="24"/>
        </w:rPr>
        <w:t>A</w:t>
      </w:r>
      <w:r w:rsidRPr="00345A72">
        <w:rPr>
          <w:rFonts w:ascii="Times New Roman" w:hAnsi="Times New Roman" w:cs="Times New Roman"/>
          <w:sz w:val="24"/>
          <w:szCs w:val="24"/>
        </w:rPr>
        <w:t xml:space="preserve">s in Fig. 1a left, but with (a) the </w:t>
      </w:r>
      <w:r w:rsidRPr="00345A72">
        <w:rPr>
          <w:rFonts w:ascii="Times New Roman" w:hAnsi="Times New Roman" w:cs="Times New Roman"/>
          <w:i/>
          <w:iCs/>
          <w:sz w:val="24"/>
          <w:szCs w:val="24"/>
        </w:rPr>
        <w:t>u</w:t>
      </w:r>
      <w:r w:rsidRPr="00345A72">
        <w:rPr>
          <w:rFonts w:ascii="Times New Roman" w:hAnsi="Times New Roman" w:cs="Times New Roman"/>
          <w:sz w:val="24"/>
          <w:szCs w:val="24"/>
        </w:rPr>
        <w:t xml:space="preserve">10 index and (b) the </w:t>
      </w:r>
      <w:r w:rsidRPr="00345A72">
        <w:rPr>
          <w:rFonts w:ascii="Times New Roman" w:hAnsi="Times New Roman" w:cs="Times New Roman"/>
          <w:i/>
          <w:iCs/>
          <w:sz w:val="24"/>
          <w:szCs w:val="24"/>
        </w:rPr>
        <w:t>ω</w:t>
      </w:r>
      <w:r w:rsidRPr="00345A72">
        <w:rPr>
          <w:rFonts w:ascii="Times New Roman" w:hAnsi="Times New Roman" w:cs="Times New Roman" w:hint="eastAsia"/>
          <w:sz w:val="24"/>
          <w:szCs w:val="24"/>
        </w:rPr>
        <w:t>5</w:t>
      </w:r>
      <w:r w:rsidRPr="00345A72">
        <w:rPr>
          <w:rFonts w:ascii="Times New Roman" w:hAnsi="Times New Roman" w:cs="Times New Roman"/>
          <w:sz w:val="24"/>
          <w:szCs w:val="24"/>
        </w:rPr>
        <w:t xml:space="preserve">00 index. </w:t>
      </w:r>
    </w:p>
    <w:p w14:paraId="3A7B1AF7" w14:textId="77777777" w:rsidR="00345A72" w:rsidRPr="00345A72" w:rsidRDefault="00345A72" w:rsidP="00345A72">
      <w:pPr>
        <w:rPr>
          <w:rFonts w:ascii="Times New Roman" w:hAnsi="Times New Roman" w:cs="Times New Roman"/>
          <w:sz w:val="24"/>
          <w:szCs w:val="24"/>
        </w:rPr>
      </w:pPr>
      <w:r w:rsidRPr="00345A72">
        <w:rPr>
          <w:rFonts w:ascii="Times New Roman" w:hAnsi="Times New Roman" w:cs="Times New Roman"/>
          <w:noProof/>
          <w:sz w:val="24"/>
          <w:szCs w:val="24"/>
        </w:rPr>
        <w:lastRenderedPageBreak/>
        <w:drawing>
          <wp:inline distT="0" distB="0" distL="0" distR="0" wp14:anchorId="7BE39BD5" wp14:editId="65DE3C87">
            <wp:extent cx="5400040" cy="2419350"/>
            <wp:effectExtent l="0" t="0" r="0" b="0"/>
            <wp:docPr id="6" name="図 6" descr="テレビの画面が表示されたゲーム画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テレビの画面が表示されたゲーム画面&#10;&#10;中程度の精度で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0040" cy="2419350"/>
                    </a:xfrm>
                    <a:prstGeom prst="rect">
                      <a:avLst/>
                    </a:prstGeom>
                  </pic:spPr>
                </pic:pic>
              </a:graphicData>
            </a:graphic>
          </wp:inline>
        </w:drawing>
      </w:r>
    </w:p>
    <w:p w14:paraId="1FC644A2" w14:textId="77777777" w:rsidR="00345A72" w:rsidRPr="00345A72" w:rsidRDefault="00345A72" w:rsidP="00345A72">
      <w:pPr>
        <w:rPr>
          <w:rFonts w:ascii="Times New Roman" w:hAnsi="Times New Roman" w:cs="Times New Roman"/>
          <w:b/>
          <w:bCs/>
          <w:sz w:val="24"/>
          <w:szCs w:val="24"/>
        </w:rPr>
      </w:pPr>
      <w:r w:rsidRPr="00345A72">
        <w:rPr>
          <w:rFonts w:ascii="Times New Roman" w:hAnsi="Times New Roman" w:cs="Times New Roman"/>
          <w:b/>
          <w:bCs/>
          <w:sz w:val="24"/>
          <w:szCs w:val="24"/>
        </w:rPr>
        <w:t xml:space="preserve">Extended Data </w:t>
      </w:r>
      <w:r w:rsidRPr="00345A72">
        <w:rPr>
          <w:rFonts w:ascii="Times New Roman" w:hAnsi="Times New Roman" w:cs="Times New Roman" w:hint="eastAsia"/>
          <w:b/>
          <w:bCs/>
          <w:sz w:val="24"/>
          <w:szCs w:val="24"/>
        </w:rPr>
        <w:t>F</w:t>
      </w:r>
      <w:r w:rsidRPr="00345A72">
        <w:rPr>
          <w:rFonts w:ascii="Times New Roman" w:hAnsi="Times New Roman" w:cs="Times New Roman"/>
          <w:b/>
          <w:bCs/>
          <w:sz w:val="24"/>
          <w:szCs w:val="24"/>
        </w:rPr>
        <w:t>igure 4: Spatial trend patterns of surface zonal wind velocity and mid-tropospheric vertical velocity</w:t>
      </w:r>
    </w:p>
    <w:p w14:paraId="1443B898" w14:textId="77777777" w:rsidR="00345A72" w:rsidRPr="00345A72" w:rsidRDefault="00345A72" w:rsidP="00345A72">
      <w:pPr>
        <w:rPr>
          <w:rFonts w:ascii="Times New Roman" w:hAnsi="Times New Roman" w:cs="Times New Roman"/>
          <w:sz w:val="24"/>
          <w:szCs w:val="24"/>
        </w:rPr>
      </w:pPr>
      <w:r w:rsidRPr="00345A72">
        <w:rPr>
          <w:rFonts w:ascii="Times New Roman" w:hAnsi="Times New Roman" w:cs="Times New Roman"/>
          <w:sz w:val="24"/>
          <w:szCs w:val="24"/>
        </w:rPr>
        <w:t xml:space="preserve">(a,c,e) The horizontal distribution of </w:t>
      </w:r>
      <w:r w:rsidRPr="00345A72">
        <w:rPr>
          <w:rFonts w:ascii="Times New Roman" w:hAnsi="Times New Roman" w:cs="Times New Roman"/>
          <w:i/>
          <w:iCs/>
          <w:sz w:val="24"/>
          <w:szCs w:val="24"/>
        </w:rPr>
        <w:t>u</w:t>
      </w:r>
      <w:r w:rsidRPr="00345A72">
        <w:rPr>
          <w:rFonts w:ascii="Times New Roman" w:hAnsi="Times New Roman" w:cs="Times New Roman"/>
          <w:sz w:val="24"/>
          <w:szCs w:val="24"/>
        </w:rPr>
        <w:t xml:space="preserve">10 trend for 1980-2020 in (a) ERA5 and CM2.1 ensemble means of (c) HIST and  XTOGA15. (b,d,f) As in (a,c,e), but for </w:t>
      </w:r>
      <w:r w:rsidRPr="00345A72">
        <w:rPr>
          <w:rFonts w:ascii="Times New Roman" w:hAnsi="Times New Roman" w:cs="Times New Roman"/>
          <w:i/>
          <w:iCs/>
          <w:sz w:val="24"/>
          <w:szCs w:val="24"/>
        </w:rPr>
        <w:t>ω</w:t>
      </w:r>
      <w:r w:rsidRPr="00345A72">
        <w:rPr>
          <w:rFonts w:ascii="Times New Roman" w:hAnsi="Times New Roman" w:cs="Times New Roman"/>
          <w:sz w:val="24"/>
          <w:szCs w:val="24"/>
        </w:rPr>
        <w:t xml:space="preserve">500 (positive if downward). The green boxes in (a) and (b) are the reference region for the </w:t>
      </w:r>
      <w:r w:rsidRPr="00345A72">
        <w:rPr>
          <w:rFonts w:ascii="Times New Roman" w:hAnsi="Times New Roman" w:cs="Times New Roman"/>
          <w:i/>
          <w:iCs/>
          <w:sz w:val="24"/>
          <w:szCs w:val="24"/>
        </w:rPr>
        <w:t>u</w:t>
      </w:r>
      <w:r w:rsidRPr="00345A72">
        <w:rPr>
          <w:rFonts w:ascii="Times New Roman" w:hAnsi="Times New Roman" w:cs="Times New Roman"/>
          <w:sz w:val="24"/>
          <w:szCs w:val="24"/>
        </w:rPr>
        <w:t xml:space="preserve">10 and </w:t>
      </w:r>
      <w:r w:rsidRPr="00345A72">
        <w:rPr>
          <w:rFonts w:ascii="Times New Roman" w:hAnsi="Times New Roman" w:cs="Times New Roman"/>
          <w:i/>
          <w:iCs/>
          <w:sz w:val="24"/>
          <w:szCs w:val="24"/>
        </w:rPr>
        <w:t>ω</w:t>
      </w:r>
      <w:r w:rsidRPr="00345A72">
        <w:rPr>
          <w:rFonts w:ascii="Times New Roman" w:hAnsi="Times New Roman" w:cs="Times New Roman"/>
          <w:sz w:val="24"/>
          <w:szCs w:val="24"/>
        </w:rPr>
        <w:t>500</w:t>
      </w:r>
      <w:r w:rsidRPr="00345A72">
        <w:rPr>
          <w:rFonts w:ascii="Times New Roman" w:hAnsi="Times New Roman" w:cs="Times New Roman"/>
          <w:i/>
          <w:iCs/>
          <w:sz w:val="24"/>
          <w:szCs w:val="24"/>
        </w:rPr>
        <w:t xml:space="preserve"> </w:t>
      </w:r>
      <w:r w:rsidRPr="00345A72">
        <w:rPr>
          <w:rFonts w:ascii="Times New Roman" w:hAnsi="Times New Roman" w:cs="Times New Roman"/>
          <w:sz w:val="24"/>
          <w:szCs w:val="24"/>
        </w:rPr>
        <w:t>PWC indices.</w:t>
      </w:r>
    </w:p>
    <w:p w14:paraId="050D6C79" w14:textId="77777777" w:rsidR="00345A72" w:rsidRPr="00345A72" w:rsidRDefault="00345A72" w:rsidP="00345A72">
      <w:pPr>
        <w:rPr>
          <w:rFonts w:ascii="Times New Roman" w:hAnsi="Times New Roman" w:cs="Times New Roman"/>
          <w:sz w:val="24"/>
          <w:szCs w:val="24"/>
        </w:rPr>
      </w:pPr>
    </w:p>
    <w:p w14:paraId="6F071BD8" w14:textId="77777777" w:rsidR="00345A72" w:rsidRPr="00345A72" w:rsidRDefault="00345A72" w:rsidP="00345A72">
      <w:pPr>
        <w:rPr>
          <w:rFonts w:ascii="Times New Roman" w:hAnsi="Times New Roman" w:cs="Times New Roman"/>
          <w:sz w:val="24"/>
          <w:szCs w:val="24"/>
        </w:rPr>
      </w:pPr>
    </w:p>
    <w:p w14:paraId="7EC42F04" w14:textId="77777777" w:rsidR="00345A72" w:rsidRPr="00345A72" w:rsidRDefault="00345A72" w:rsidP="00345A72">
      <w:pPr>
        <w:rPr>
          <w:rFonts w:ascii="Times New Roman" w:hAnsi="Times New Roman" w:cs="Times New Roman"/>
          <w:sz w:val="24"/>
          <w:szCs w:val="24"/>
        </w:rPr>
      </w:pPr>
      <w:r w:rsidRPr="00345A72">
        <w:rPr>
          <w:rFonts w:ascii="Times New Roman" w:hAnsi="Times New Roman" w:cs="Times New Roman" w:hint="eastAsia"/>
          <w:noProof/>
          <w:sz w:val="24"/>
          <w:szCs w:val="24"/>
        </w:rPr>
        <w:drawing>
          <wp:inline distT="0" distB="0" distL="0" distR="0" wp14:anchorId="19C4F484" wp14:editId="5DC200E0">
            <wp:extent cx="5400040" cy="2209800"/>
            <wp:effectExtent l="0" t="0" r="0" b="0"/>
            <wp:docPr id="369259733" name="図 3" descr="ゲームの画面&#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259733" name="図 3" descr="ゲームの画面&#10;&#10;低い精度で自動的に生成された説明"/>
                    <pic:cNvPicPr/>
                  </pic:nvPicPr>
                  <pic:blipFill rotWithShape="1">
                    <a:blip r:embed="rId12" cstate="print">
                      <a:extLst>
                        <a:ext uri="{28A0092B-C50C-407E-A947-70E740481C1C}">
                          <a14:useLocalDpi xmlns:a14="http://schemas.microsoft.com/office/drawing/2010/main" val="0"/>
                        </a:ext>
                      </a:extLst>
                    </a:blip>
                    <a:srcRect b="56609"/>
                    <a:stretch/>
                  </pic:blipFill>
                  <pic:spPr bwMode="auto">
                    <a:xfrm>
                      <a:off x="0" y="0"/>
                      <a:ext cx="5400040" cy="2209800"/>
                    </a:xfrm>
                    <a:prstGeom prst="rect">
                      <a:avLst/>
                    </a:prstGeom>
                    <a:ln>
                      <a:noFill/>
                    </a:ln>
                    <a:extLst>
                      <a:ext uri="{53640926-AAD7-44D8-BBD7-CCE9431645EC}">
                        <a14:shadowObscured xmlns:a14="http://schemas.microsoft.com/office/drawing/2010/main"/>
                      </a:ext>
                    </a:extLst>
                  </pic:spPr>
                </pic:pic>
              </a:graphicData>
            </a:graphic>
          </wp:inline>
        </w:drawing>
      </w:r>
    </w:p>
    <w:p w14:paraId="474CAEE7" w14:textId="02ABB34D" w:rsidR="00345A72" w:rsidRPr="00345A72" w:rsidRDefault="00345A72" w:rsidP="00345A72">
      <w:pPr>
        <w:rPr>
          <w:rFonts w:ascii="Times New Roman" w:hAnsi="Times New Roman" w:cs="Times New Roman"/>
          <w:sz w:val="24"/>
          <w:szCs w:val="24"/>
        </w:rPr>
      </w:pPr>
      <w:r w:rsidRPr="00345A72">
        <w:rPr>
          <w:rFonts w:ascii="Times New Roman" w:hAnsi="Times New Roman" w:cs="Times New Roman"/>
          <w:b/>
          <w:bCs/>
          <w:sz w:val="24"/>
          <w:szCs w:val="24"/>
        </w:rPr>
        <w:t xml:space="preserve">Extended Data </w:t>
      </w:r>
      <w:r w:rsidRPr="00345A72">
        <w:rPr>
          <w:rFonts w:ascii="Times New Roman" w:hAnsi="Times New Roman" w:cs="Times New Roman" w:hint="eastAsia"/>
          <w:b/>
          <w:bCs/>
          <w:sz w:val="24"/>
          <w:szCs w:val="24"/>
        </w:rPr>
        <w:t>F</w:t>
      </w:r>
      <w:r w:rsidRPr="00345A72">
        <w:rPr>
          <w:rFonts w:ascii="Times New Roman" w:hAnsi="Times New Roman" w:cs="Times New Roman"/>
          <w:b/>
          <w:bCs/>
          <w:sz w:val="24"/>
          <w:szCs w:val="24"/>
        </w:rPr>
        <w:t xml:space="preserve">igure 5: </w:t>
      </w:r>
      <w:r w:rsidR="00436D71">
        <w:rPr>
          <w:rFonts w:ascii="Times New Roman" w:hAnsi="Times New Roman" w:cs="Times New Roman"/>
          <w:b/>
          <w:bCs/>
          <w:sz w:val="24"/>
          <w:szCs w:val="24"/>
        </w:rPr>
        <w:t xml:space="preserve">Time series </w:t>
      </w:r>
      <w:r w:rsidRPr="00345A72">
        <w:rPr>
          <w:rFonts w:ascii="Times New Roman" w:hAnsi="Times New Roman" w:cs="Times New Roman"/>
          <w:b/>
          <w:bCs/>
          <w:sz w:val="24"/>
          <w:szCs w:val="24"/>
        </w:rPr>
        <w:t xml:space="preserve">of tropical Pacific indexes between the experiment and observations </w:t>
      </w:r>
    </w:p>
    <w:p w14:paraId="63DEB6E5" w14:textId="05B3E293" w:rsidR="00345A72" w:rsidRPr="00345A72" w:rsidRDefault="00345A72" w:rsidP="00345A72">
      <w:pPr>
        <w:widowControl/>
        <w:spacing w:line="360" w:lineRule="auto"/>
        <w:rPr>
          <w:rFonts w:ascii="Times New Roman" w:hAnsi="Times New Roman" w:cs="Times New Roman"/>
          <w:sz w:val="24"/>
          <w:szCs w:val="24"/>
        </w:rPr>
      </w:pPr>
      <w:r w:rsidRPr="00345A72">
        <w:rPr>
          <w:rFonts w:ascii="Times New Roman" w:hAnsi="Times New Roman" w:cs="Times New Roman"/>
          <w:sz w:val="24"/>
          <w:szCs w:val="24"/>
        </w:rPr>
        <w:t xml:space="preserve">(a) Time series of the annual mean SLP PWC index in XTOGA15 and HIST of CM2.1 and ERA5. Shadings indicate the ensemble range from minimum to maximum. The correlation coefficient between XTOGA15 ensemble mean and ERA5 is given at the top </w:t>
      </w:r>
      <w:r w:rsidRPr="00345A72">
        <w:rPr>
          <w:rFonts w:ascii="Times New Roman" w:hAnsi="Times New Roman" w:cs="Times New Roman"/>
          <w:sz w:val="24"/>
          <w:szCs w:val="24"/>
        </w:rPr>
        <w:lastRenderedPageBreak/>
        <w:t>left. (b) As in (a) but for the ENSO index (Niño 3.4 SST anomalies). The black line represents ERSSTv5</w:t>
      </w:r>
    </w:p>
    <w:p w14:paraId="721B6D5E" w14:textId="77777777" w:rsidR="00345A72" w:rsidRPr="00345A72" w:rsidRDefault="00345A72" w:rsidP="00345A72">
      <w:pPr>
        <w:rPr>
          <w:rFonts w:ascii="Times New Roman" w:hAnsi="Times New Roman" w:cs="Times New Roman"/>
          <w:sz w:val="24"/>
          <w:szCs w:val="24"/>
        </w:rPr>
      </w:pPr>
    </w:p>
    <w:p w14:paraId="213FAADB" w14:textId="77777777" w:rsidR="00345A72" w:rsidRPr="00345A72" w:rsidRDefault="00345A72" w:rsidP="00345A72">
      <w:pPr>
        <w:rPr>
          <w:rFonts w:ascii="Times New Roman" w:hAnsi="Times New Roman" w:cs="Times New Roman"/>
          <w:sz w:val="24"/>
          <w:szCs w:val="24"/>
        </w:rPr>
      </w:pPr>
    </w:p>
    <w:p w14:paraId="228A6934" w14:textId="77777777" w:rsidR="00345A72" w:rsidRPr="00345A72" w:rsidRDefault="00345A72" w:rsidP="00345A72">
      <w:pPr>
        <w:rPr>
          <w:rFonts w:ascii="Times New Roman" w:hAnsi="Times New Roman" w:cs="Times New Roman"/>
          <w:sz w:val="24"/>
          <w:szCs w:val="24"/>
        </w:rPr>
      </w:pPr>
    </w:p>
    <w:p w14:paraId="32F2BAF8" w14:textId="77777777" w:rsidR="00345A72" w:rsidRPr="00345A72" w:rsidRDefault="00345A72" w:rsidP="00345A72">
      <w:pPr>
        <w:rPr>
          <w:rFonts w:ascii="Times New Roman" w:hAnsi="Times New Roman" w:cs="Times New Roman"/>
          <w:sz w:val="24"/>
          <w:szCs w:val="24"/>
        </w:rPr>
      </w:pPr>
      <w:r w:rsidRPr="00345A72">
        <w:rPr>
          <w:rFonts w:ascii="Times New Roman" w:hAnsi="Times New Roman" w:cs="Times New Roman"/>
          <w:noProof/>
          <w:sz w:val="24"/>
          <w:szCs w:val="24"/>
        </w:rPr>
        <w:drawing>
          <wp:inline distT="0" distB="0" distL="0" distR="0" wp14:anchorId="7A1E57AB" wp14:editId="79164523">
            <wp:extent cx="4773178" cy="2136652"/>
            <wp:effectExtent l="0" t="0" r="8890" b="0"/>
            <wp:docPr id="12410713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071343" name="図 124107134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73178" cy="2136652"/>
                    </a:xfrm>
                    <a:prstGeom prst="rect">
                      <a:avLst/>
                    </a:prstGeom>
                  </pic:spPr>
                </pic:pic>
              </a:graphicData>
            </a:graphic>
          </wp:inline>
        </w:drawing>
      </w:r>
    </w:p>
    <w:p w14:paraId="24FB9616" w14:textId="77777777" w:rsidR="00345A72" w:rsidRPr="00345A72" w:rsidRDefault="00345A72" w:rsidP="00345A72">
      <w:pPr>
        <w:rPr>
          <w:rFonts w:ascii="Times New Roman" w:hAnsi="Times New Roman" w:cs="Times New Roman"/>
          <w:b/>
          <w:bCs/>
          <w:sz w:val="24"/>
          <w:szCs w:val="24"/>
        </w:rPr>
      </w:pPr>
      <w:r w:rsidRPr="00345A72">
        <w:rPr>
          <w:rFonts w:ascii="Times New Roman" w:hAnsi="Times New Roman" w:cs="Times New Roman"/>
          <w:b/>
          <w:bCs/>
          <w:sz w:val="24"/>
          <w:szCs w:val="24"/>
        </w:rPr>
        <w:t xml:space="preserve">Extended Data </w:t>
      </w:r>
      <w:r w:rsidRPr="00345A72">
        <w:rPr>
          <w:rFonts w:ascii="Times New Roman" w:hAnsi="Times New Roman" w:cs="Times New Roman" w:hint="eastAsia"/>
          <w:b/>
          <w:bCs/>
          <w:sz w:val="24"/>
          <w:szCs w:val="24"/>
        </w:rPr>
        <w:t>F</w:t>
      </w:r>
      <w:r w:rsidRPr="00345A72">
        <w:rPr>
          <w:rFonts w:ascii="Times New Roman" w:hAnsi="Times New Roman" w:cs="Times New Roman"/>
          <w:b/>
          <w:bCs/>
          <w:sz w:val="24"/>
          <w:szCs w:val="24"/>
        </w:rPr>
        <w:t xml:space="preserve">igure 6: </w:t>
      </w:r>
      <w:r w:rsidRPr="00345A72">
        <w:rPr>
          <w:rFonts w:ascii="Times New Roman" w:hAnsi="Times New Roman" w:cs="Times New Roman" w:hint="eastAsia"/>
          <w:b/>
          <w:bCs/>
          <w:sz w:val="24"/>
          <w:szCs w:val="24"/>
        </w:rPr>
        <w:t>A</w:t>
      </w:r>
      <w:r w:rsidRPr="00345A72">
        <w:rPr>
          <w:rFonts w:ascii="Times New Roman" w:hAnsi="Times New Roman" w:cs="Times New Roman"/>
          <w:b/>
          <w:bCs/>
          <w:sz w:val="24"/>
          <w:szCs w:val="24"/>
        </w:rPr>
        <w:t>nnual mean SST forcing prescribed to aXTOGA1</w:t>
      </w:r>
      <w:r w:rsidRPr="00345A72">
        <w:rPr>
          <w:rFonts w:ascii="Times New Roman" w:hAnsi="Times New Roman" w:cs="Times New Roman" w:hint="eastAsia"/>
          <w:b/>
          <w:bCs/>
          <w:sz w:val="24"/>
          <w:szCs w:val="24"/>
        </w:rPr>
        <w:t>5</w:t>
      </w:r>
      <w:r w:rsidRPr="00345A72">
        <w:rPr>
          <w:rFonts w:ascii="Times New Roman" w:hAnsi="Times New Roman" w:cs="Times New Roman"/>
          <w:b/>
          <w:bCs/>
          <w:sz w:val="24"/>
          <w:szCs w:val="24"/>
        </w:rPr>
        <w:t xml:space="preserve"> and sXTOGA15</w:t>
      </w:r>
    </w:p>
    <w:p w14:paraId="62B9833C" w14:textId="77777777" w:rsidR="00345A72" w:rsidRPr="00345A72" w:rsidRDefault="00345A72" w:rsidP="00345A72">
      <w:pPr>
        <w:rPr>
          <w:rFonts w:ascii="Times New Roman" w:hAnsi="Times New Roman" w:cs="Times New Roman"/>
          <w:sz w:val="24"/>
          <w:szCs w:val="24"/>
        </w:rPr>
      </w:pPr>
      <w:r w:rsidRPr="00345A72">
        <w:rPr>
          <w:rFonts w:ascii="Times New Roman" w:hAnsi="Times New Roman" w:cs="Times New Roman"/>
          <w:sz w:val="24"/>
          <w:szCs w:val="24"/>
        </w:rPr>
        <w:t xml:space="preserve">The 1980-2020 SST trend difference between XTOGA15 and HIST scaled </w:t>
      </w:r>
      <w:r w:rsidRPr="00345A72">
        <w:rPr>
          <w:rFonts w:ascii="Times New Roman" w:hAnsi="Times New Roman" w:cs="Times New Roman" w:hint="eastAsia"/>
          <w:sz w:val="24"/>
          <w:szCs w:val="24"/>
        </w:rPr>
        <w:t>t</w:t>
      </w:r>
      <w:r w:rsidRPr="00345A72">
        <w:rPr>
          <w:rFonts w:ascii="Times New Roman" w:hAnsi="Times New Roman" w:cs="Times New Roman"/>
          <w:sz w:val="24"/>
          <w:szCs w:val="24"/>
        </w:rPr>
        <w:t>o 100 yr changes. In aXTOGA15, this difference, weighted in the same manner as in XTOGA15 restoring, is superposed on HIST climatology. In sXTOGA15, SST is restored toward this difference plus HIST climatology with the same weighting as in XTOGA15.</w:t>
      </w:r>
    </w:p>
    <w:p w14:paraId="01EC8C50" w14:textId="77777777" w:rsidR="00345A72" w:rsidRPr="00345A72" w:rsidRDefault="00345A72" w:rsidP="00345A72">
      <w:pPr>
        <w:rPr>
          <w:rFonts w:ascii="Times New Roman" w:hAnsi="Times New Roman" w:cs="Times New Roman"/>
          <w:sz w:val="24"/>
          <w:szCs w:val="24"/>
        </w:rPr>
      </w:pPr>
    </w:p>
    <w:p w14:paraId="6ACF81AC" w14:textId="77777777" w:rsidR="00345A72" w:rsidRPr="00345A72" w:rsidRDefault="00345A72" w:rsidP="00345A72">
      <w:pPr>
        <w:rPr>
          <w:rFonts w:ascii="Times New Roman" w:hAnsi="Times New Roman" w:cs="Times New Roman"/>
          <w:sz w:val="24"/>
          <w:szCs w:val="24"/>
        </w:rPr>
      </w:pPr>
      <w:r w:rsidRPr="00345A72">
        <w:rPr>
          <w:rFonts w:ascii="Times New Roman" w:hAnsi="Times New Roman" w:cs="Times New Roman"/>
          <w:noProof/>
          <w:sz w:val="24"/>
          <w:szCs w:val="24"/>
        </w:rPr>
        <w:lastRenderedPageBreak/>
        <w:drawing>
          <wp:inline distT="0" distB="0" distL="0" distR="0" wp14:anchorId="66674008" wp14:editId="22105789">
            <wp:extent cx="5400040" cy="3353435"/>
            <wp:effectExtent l="0" t="0" r="0" b="0"/>
            <wp:docPr id="69182611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26110" name="図 6918261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3353435"/>
                    </a:xfrm>
                    <a:prstGeom prst="rect">
                      <a:avLst/>
                    </a:prstGeom>
                  </pic:spPr>
                </pic:pic>
              </a:graphicData>
            </a:graphic>
          </wp:inline>
        </w:drawing>
      </w:r>
    </w:p>
    <w:p w14:paraId="35AE8E8F" w14:textId="77777777" w:rsidR="00345A72" w:rsidRPr="00345A72" w:rsidRDefault="00345A72" w:rsidP="00345A72">
      <w:pPr>
        <w:spacing w:line="360" w:lineRule="auto"/>
        <w:rPr>
          <w:rFonts w:ascii="Times New Roman" w:hAnsi="Times New Roman" w:cs="Times New Roman"/>
          <w:b/>
          <w:bCs/>
          <w:sz w:val="24"/>
          <w:szCs w:val="24"/>
        </w:rPr>
      </w:pPr>
      <w:r w:rsidRPr="00345A72">
        <w:rPr>
          <w:rFonts w:ascii="Times New Roman" w:hAnsi="Times New Roman" w:cs="Times New Roman"/>
          <w:b/>
          <w:bCs/>
          <w:sz w:val="24"/>
          <w:szCs w:val="24"/>
        </w:rPr>
        <w:t>Extended Data Figure 7: Surface heat flux and surface atmospheric circulation responses obtained by atmosphere-only experiments</w:t>
      </w:r>
    </w:p>
    <w:p w14:paraId="049FE416" w14:textId="7EA4F257" w:rsidR="00345A72" w:rsidRPr="00345A72" w:rsidRDefault="00345A72" w:rsidP="00345A72">
      <w:pPr>
        <w:widowControl/>
        <w:spacing w:line="360" w:lineRule="auto"/>
        <w:rPr>
          <w:rFonts w:ascii="Times New Roman" w:hAnsi="Times New Roman" w:cs="Times New Roman"/>
          <w:sz w:val="24"/>
          <w:szCs w:val="24"/>
        </w:rPr>
      </w:pPr>
      <w:r w:rsidRPr="00345A72">
        <w:rPr>
          <w:rFonts w:ascii="Times New Roman" w:hAnsi="Times New Roman" w:cs="Times New Roman"/>
          <w:sz w:val="24"/>
          <w:szCs w:val="24"/>
        </w:rPr>
        <w:t>(a-c) The horizontal pattern of (a) net (turbulent and radiation) heat flux at surface, (b) latent heat flux (color) and scalar wind speed at the 10 m level (contour), (c) surface short wave radiation flux (color) and low-level cloud cover (contour) obtained by subtracting aCLM from aXTOGA15. Downward flux is positive. Contours are drawn (b) from -0.3 to 1.5 W m</w:t>
      </w:r>
      <w:r w:rsidRPr="00345A72">
        <w:rPr>
          <w:rFonts w:ascii="Times New Roman" w:hAnsi="Times New Roman" w:cs="Times New Roman"/>
          <w:sz w:val="24"/>
          <w:szCs w:val="24"/>
          <w:vertAlign w:val="superscript"/>
        </w:rPr>
        <w:t>–2</w:t>
      </w:r>
      <w:r w:rsidRPr="00345A72">
        <w:rPr>
          <w:rFonts w:ascii="Times New Roman" w:hAnsi="Times New Roman" w:cs="Times New Roman"/>
          <w:sz w:val="24"/>
          <w:szCs w:val="24"/>
        </w:rPr>
        <w:t xml:space="preserve"> with intervals of 0.3 and (c) from 0 to 24 % with intervals of 8. Hatching indicates that the difference is not significant at the 95% confidence level for each surface flux. The gray solid lines and dot lines represent 15</w:t>
      </w:r>
      <w:r w:rsidRPr="00345A72">
        <w:rPr>
          <w:rFonts w:ascii="Times New Roman" w:hAnsi="Times New Roman" w:cs="Times New Roman" w:hint="eastAsia"/>
          <w:sz w:val="24"/>
          <w:szCs w:val="24"/>
        </w:rPr>
        <w:t>°</w:t>
      </w:r>
      <w:r w:rsidRPr="00345A72">
        <w:rPr>
          <w:rFonts w:ascii="Times New Roman" w:hAnsi="Times New Roman" w:cs="Times New Roman"/>
          <w:sz w:val="24"/>
          <w:szCs w:val="24"/>
        </w:rPr>
        <w:t>N or S and 10°N or S, respectively. The region between a solid line and a dot</w:t>
      </w:r>
      <w:r w:rsidR="00436D71">
        <w:rPr>
          <w:rFonts w:ascii="Times New Roman" w:hAnsi="Times New Roman" w:cs="Times New Roman"/>
          <w:sz w:val="24"/>
          <w:szCs w:val="24"/>
        </w:rPr>
        <w:t>ted</w:t>
      </w:r>
      <w:r w:rsidRPr="00345A72">
        <w:rPr>
          <w:rFonts w:ascii="Times New Roman" w:hAnsi="Times New Roman" w:cs="Times New Roman"/>
          <w:sz w:val="24"/>
          <w:szCs w:val="24"/>
        </w:rPr>
        <w:t xml:space="preserve"> line corresponds to the buffer zone indicated in Extended Data Fig.2a. (d-f) As in (a-c) but obtained by subtracting aCLM from aXTOGA25. The gray solid lines and dot lines represent 25°N or S and 20°N or S, respectively. The region between a solid line and a dot</w:t>
      </w:r>
      <w:r w:rsidR="00436D71">
        <w:rPr>
          <w:rFonts w:ascii="Times New Roman" w:hAnsi="Times New Roman" w:cs="Times New Roman"/>
          <w:sz w:val="24"/>
          <w:szCs w:val="24"/>
        </w:rPr>
        <w:t>ted</w:t>
      </w:r>
      <w:r w:rsidRPr="00345A72">
        <w:rPr>
          <w:rFonts w:ascii="Times New Roman" w:hAnsi="Times New Roman" w:cs="Times New Roman"/>
          <w:sz w:val="24"/>
          <w:szCs w:val="24"/>
        </w:rPr>
        <w:t xml:space="preserve"> line corresponds to the buffer zone indicated in Extended Data Fig.2b.</w:t>
      </w:r>
    </w:p>
    <w:p w14:paraId="04FDD532" w14:textId="77777777" w:rsidR="00345A72" w:rsidRPr="00345A72" w:rsidRDefault="00345A72" w:rsidP="00345A72">
      <w:pPr>
        <w:rPr>
          <w:rFonts w:ascii="Times New Roman" w:hAnsi="Times New Roman" w:cs="Times New Roman"/>
          <w:sz w:val="24"/>
          <w:szCs w:val="24"/>
        </w:rPr>
      </w:pPr>
    </w:p>
    <w:p w14:paraId="18E8914B" w14:textId="77777777" w:rsidR="00345A72" w:rsidRPr="00345A72" w:rsidRDefault="00345A72" w:rsidP="00345A72">
      <w:pPr>
        <w:rPr>
          <w:rFonts w:ascii="Times New Roman" w:hAnsi="Times New Roman" w:cs="Times New Roman"/>
          <w:sz w:val="24"/>
          <w:szCs w:val="24"/>
        </w:rPr>
      </w:pPr>
      <w:r w:rsidRPr="00345A72">
        <w:rPr>
          <w:rFonts w:ascii="Times New Roman" w:hAnsi="Times New Roman" w:cs="Times New Roman" w:hint="eastAsia"/>
          <w:noProof/>
          <w:sz w:val="24"/>
          <w:szCs w:val="24"/>
        </w:rPr>
        <w:drawing>
          <wp:inline distT="0" distB="0" distL="0" distR="0" wp14:anchorId="67FAFA6F" wp14:editId="3A44326D">
            <wp:extent cx="4663449" cy="5605283"/>
            <wp:effectExtent l="0" t="0" r="3810" b="0"/>
            <wp:docPr id="886628133" name="図 1" descr="カレンダー, マッ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28133" name="図 1" descr="カレンダー, マップ&#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63449" cy="5605283"/>
                    </a:xfrm>
                    <a:prstGeom prst="rect">
                      <a:avLst/>
                    </a:prstGeom>
                  </pic:spPr>
                </pic:pic>
              </a:graphicData>
            </a:graphic>
          </wp:inline>
        </w:drawing>
      </w:r>
    </w:p>
    <w:p w14:paraId="2D1AB194" w14:textId="77777777" w:rsidR="00345A72" w:rsidRPr="00345A72" w:rsidRDefault="00345A72" w:rsidP="00345A72">
      <w:pPr>
        <w:spacing w:line="360" w:lineRule="auto"/>
        <w:rPr>
          <w:rFonts w:ascii="Times New Roman" w:hAnsi="Times New Roman" w:cs="Times New Roman"/>
          <w:b/>
          <w:bCs/>
          <w:sz w:val="24"/>
          <w:szCs w:val="24"/>
        </w:rPr>
      </w:pPr>
      <w:r w:rsidRPr="00345A72">
        <w:rPr>
          <w:rFonts w:ascii="Times New Roman" w:hAnsi="Times New Roman" w:cs="Times New Roman"/>
          <w:b/>
          <w:bCs/>
          <w:sz w:val="24"/>
          <w:szCs w:val="24"/>
        </w:rPr>
        <w:t>Extended Data Figure 8: SST and SLP trends for 1980-2020 induced by the tropical Pacific SST changes with and without radiative forcing</w:t>
      </w:r>
    </w:p>
    <w:p w14:paraId="741B519B" w14:textId="77777777" w:rsidR="00345A72" w:rsidRPr="00345A72" w:rsidRDefault="00345A72" w:rsidP="00345A72">
      <w:pPr>
        <w:rPr>
          <w:rFonts w:ascii="Times New Roman" w:hAnsi="Times New Roman" w:cs="Times New Roman"/>
          <w:sz w:val="24"/>
          <w:szCs w:val="24"/>
        </w:rPr>
      </w:pPr>
      <w:r w:rsidRPr="00345A72">
        <w:rPr>
          <w:rFonts w:ascii="Times New Roman" w:hAnsi="Times New Roman" w:cs="Times New Roman" w:hint="eastAsia"/>
          <w:sz w:val="24"/>
          <w:szCs w:val="24"/>
        </w:rPr>
        <w:t>A</w:t>
      </w:r>
      <w:r w:rsidRPr="00345A72">
        <w:rPr>
          <w:rFonts w:ascii="Times New Roman" w:hAnsi="Times New Roman" w:cs="Times New Roman"/>
          <w:sz w:val="24"/>
          <w:szCs w:val="24"/>
        </w:rPr>
        <w:t>s in Fig. 1e,f but for POGA (a) and POGA minus HIST (b).</w:t>
      </w:r>
      <w:r w:rsidRPr="00345A72">
        <w:rPr>
          <w:rFonts w:ascii="Times New Roman" w:hAnsi="Times New Roman" w:cs="Times New Roman" w:hint="eastAsia"/>
          <w:sz w:val="24"/>
          <w:szCs w:val="24"/>
        </w:rPr>
        <w:t xml:space="preserve"> </w:t>
      </w:r>
      <w:r w:rsidRPr="00345A72">
        <w:rPr>
          <w:rFonts w:ascii="Times New Roman" w:hAnsi="Times New Roman" w:cs="Times New Roman"/>
          <w:sz w:val="24"/>
          <w:szCs w:val="24"/>
        </w:rPr>
        <w:t xml:space="preserve">The contours are drawn from -5.6 to 8.4 hPa at every 1.4 interval. </w:t>
      </w:r>
      <w:bookmarkStart w:id="1" w:name="_Hlk143525699"/>
    </w:p>
    <w:bookmarkEnd w:id="1"/>
    <w:p w14:paraId="57169527" w14:textId="77777777" w:rsidR="00345A72" w:rsidRPr="00345A72" w:rsidRDefault="00345A72" w:rsidP="00345A72">
      <w:pPr>
        <w:rPr>
          <w:rFonts w:ascii="Times New Roman" w:hAnsi="Times New Roman" w:cs="Times New Roman"/>
          <w:sz w:val="24"/>
          <w:szCs w:val="24"/>
        </w:rPr>
      </w:pPr>
    </w:p>
    <w:p w14:paraId="1864DE19" w14:textId="77777777" w:rsidR="00345A72" w:rsidRPr="00345A72" w:rsidRDefault="00345A72" w:rsidP="00345A72">
      <w:pPr>
        <w:widowControl/>
        <w:jc w:val="left"/>
        <w:rPr>
          <w:rFonts w:ascii="Times New Roman" w:hAnsi="Times New Roman" w:cs="Times New Roman"/>
          <w:sz w:val="24"/>
          <w:szCs w:val="24"/>
        </w:rPr>
      </w:pPr>
      <w:r w:rsidRPr="00345A72">
        <w:rPr>
          <w:rFonts w:ascii="Times New Roman" w:hAnsi="Times New Roman" w:cs="Times New Roman"/>
          <w:sz w:val="24"/>
          <w:szCs w:val="24"/>
        </w:rPr>
        <w:br w:type="page"/>
      </w:r>
    </w:p>
    <w:p w14:paraId="70A93241" w14:textId="77777777" w:rsidR="00345A72" w:rsidRPr="00345A72" w:rsidRDefault="00345A72" w:rsidP="00345A72">
      <w:pPr>
        <w:rPr>
          <w:rFonts w:ascii="Times New Roman" w:hAnsi="Times New Roman" w:cs="Times New Roman"/>
          <w:sz w:val="24"/>
          <w:szCs w:val="24"/>
        </w:rPr>
      </w:pPr>
      <w:r w:rsidRPr="00345A72">
        <w:rPr>
          <w:rFonts w:ascii="Times New Roman" w:hAnsi="Times New Roman" w:cs="Times New Roman"/>
          <w:noProof/>
          <w:sz w:val="24"/>
          <w:szCs w:val="24"/>
        </w:rPr>
        <w:lastRenderedPageBreak/>
        <w:drawing>
          <wp:inline distT="0" distB="0" distL="0" distR="0" wp14:anchorId="4CCE1087" wp14:editId="4871367D">
            <wp:extent cx="5044450" cy="3572263"/>
            <wp:effectExtent l="0" t="0" r="3810" b="9525"/>
            <wp:docPr id="532702810" name="図 7" descr="カラフルな光のcg&#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02810" name="図 7" descr="カラフルな光のcg&#10;&#10;自動的に生成された説明"/>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4450" cy="3572263"/>
                    </a:xfrm>
                    <a:prstGeom prst="rect">
                      <a:avLst/>
                    </a:prstGeom>
                  </pic:spPr>
                </pic:pic>
              </a:graphicData>
            </a:graphic>
          </wp:inline>
        </w:drawing>
      </w:r>
    </w:p>
    <w:p w14:paraId="25F9EB44" w14:textId="77777777" w:rsidR="00345A72" w:rsidRPr="00345A72" w:rsidRDefault="00345A72" w:rsidP="00345A72">
      <w:pPr>
        <w:rPr>
          <w:rFonts w:ascii="Times New Roman" w:hAnsi="Times New Roman" w:cs="Times New Roman"/>
          <w:b/>
          <w:bCs/>
          <w:sz w:val="24"/>
          <w:szCs w:val="24"/>
        </w:rPr>
      </w:pPr>
      <w:r w:rsidRPr="00345A72">
        <w:rPr>
          <w:rFonts w:ascii="Times New Roman" w:hAnsi="Times New Roman" w:cs="Times New Roman"/>
          <w:b/>
          <w:bCs/>
          <w:sz w:val="24"/>
          <w:szCs w:val="24"/>
        </w:rPr>
        <w:t>Extended Data Figure 9: Observed and simulated SST trends in the tropical Indian and Atlantic Oceans.</w:t>
      </w:r>
    </w:p>
    <w:p w14:paraId="7FC348B8" w14:textId="77777777" w:rsidR="00345A72" w:rsidRPr="00345A72" w:rsidRDefault="00345A72" w:rsidP="00345A72">
      <w:pPr>
        <w:spacing w:line="360" w:lineRule="auto"/>
        <w:rPr>
          <w:rFonts w:ascii="Times New Roman" w:hAnsi="Times New Roman" w:cs="Times New Roman"/>
          <w:sz w:val="24"/>
          <w:szCs w:val="24"/>
        </w:rPr>
      </w:pPr>
      <w:r w:rsidRPr="00345A72">
        <w:rPr>
          <w:rFonts w:ascii="Times New Roman" w:hAnsi="Times New Roman" w:cs="Times New Roman"/>
          <w:sz w:val="24"/>
          <w:szCs w:val="24"/>
        </w:rPr>
        <w:t>SST trends in the tropical Indian</w:t>
      </w:r>
      <w:r w:rsidRPr="00345A72">
        <w:rPr>
          <w:rFonts w:ascii="Times New Roman" w:hAnsi="Times New Roman" w:cs="Times New Roman" w:hint="eastAsia"/>
          <w:sz w:val="24"/>
          <w:szCs w:val="24"/>
        </w:rPr>
        <w:t xml:space="preserve"> </w:t>
      </w:r>
      <w:r w:rsidRPr="00345A72">
        <w:rPr>
          <w:rFonts w:ascii="Times New Roman" w:hAnsi="Times New Roman" w:cs="Times New Roman"/>
          <w:sz w:val="24"/>
          <w:szCs w:val="24"/>
        </w:rPr>
        <w:t>Ocean (15°S-15°N, 40°-100°E), Atlantic Ocean (5°S-15°N, 50°W-0°E) and their average</w:t>
      </w:r>
      <w:r w:rsidRPr="00345A72">
        <w:rPr>
          <w:rFonts w:ascii="Times New Roman" w:hAnsi="Times New Roman" w:cs="Times New Roman" w:hint="eastAsia"/>
          <w:sz w:val="24"/>
          <w:szCs w:val="24"/>
        </w:rPr>
        <w:t xml:space="preserve"> </w:t>
      </w:r>
      <w:r w:rsidRPr="00345A72">
        <w:rPr>
          <w:rFonts w:ascii="Times New Roman" w:hAnsi="Times New Roman" w:cs="Times New Roman"/>
          <w:sz w:val="24"/>
          <w:szCs w:val="24"/>
        </w:rPr>
        <w:t>for 1980-2020. Crosses and stars indicate ensemble mean trends of individual models, and numbered makers represent observational datasets. White lines represent multi-model average of individual model ensemble means, and boxes and whiskers indicate ±0.67</w:t>
      </w:r>
      <w:r w:rsidRPr="00345A72">
        <w:rPr>
          <w:rFonts w:ascii="Times New Roman" w:hAnsi="Times New Roman" w:cs="Times New Roman"/>
          <w:i/>
          <w:iCs/>
          <w:sz w:val="24"/>
          <w:szCs w:val="24"/>
        </w:rPr>
        <w:t xml:space="preserve">σ </w:t>
      </w:r>
      <w:r w:rsidRPr="00345A72">
        <w:rPr>
          <w:rFonts w:ascii="Times New Roman" w:hAnsi="Times New Roman" w:cs="Times New Roman"/>
          <w:sz w:val="24"/>
          <w:szCs w:val="24"/>
        </w:rPr>
        <w:t>and ±1.64</w:t>
      </w:r>
      <w:r w:rsidRPr="00345A72">
        <w:rPr>
          <w:rFonts w:ascii="Times New Roman" w:hAnsi="Times New Roman" w:cs="Times New Roman" w:hint="eastAsia"/>
          <w:sz w:val="24"/>
          <w:szCs w:val="24"/>
        </w:rPr>
        <w:t>5</w:t>
      </w:r>
      <w:r w:rsidRPr="00345A72">
        <w:rPr>
          <w:rFonts w:ascii="Times New Roman" w:hAnsi="Times New Roman" w:cs="Times New Roman"/>
          <w:i/>
          <w:iCs/>
          <w:sz w:val="24"/>
          <w:szCs w:val="24"/>
        </w:rPr>
        <w:t xml:space="preserve">σ </w:t>
      </w:r>
      <w:r w:rsidRPr="00345A72">
        <w:rPr>
          <w:rFonts w:ascii="Times New Roman" w:hAnsi="Times New Roman" w:cs="Times New Roman"/>
          <w:sz w:val="24"/>
          <w:szCs w:val="24"/>
        </w:rPr>
        <w:t>ranges</w:t>
      </w:r>
      <w:r w:rsidRPr="00345A72">
        <w:rPr>
          <w:rFonts w:ascii="Times New Roman" w:hAnsi="Times New Roman" w:cs="Times New Roman" w:hint="eastAsia"/>
          <w:sz w:val="24"/>
          <w:szCs w:val="24"/>
        </w:rPr>
        <w:t>,</w:t>
      </w:r>
      <w:r w:rsidRPr="00345A72">
        <w:rPr>
          <w:rFonts w:ascii="Times New Roman" w:hAnsi="Times New Roman" w:cs="Times New Roman"/>
          <w:sz w:val="24"/>
          <w:szCs w:val="24"/>
        </w:rPr>
        <w:t xml:space="preserve"> respectively. Models with 7 or more ensemble members are used for this analysis.</w:t>
      </w:r>
    </w:p>
    <w:bookmarkEnd w:id="0"/>
    <w:p w14:paraId="01C9C3D1" w14:textId="77777777" w:rsidR="00345A72" w:rsidRPr="00345A72" w:rsidRDefault="00345A72" w:rsidP="00345A72">
      <w:pPr>
        <w:rPr>
          <w:rFonts w:ascii="Times New Roman" w:hAnsi="Times New Roman" w:cs="Times New Roman"/>
          <w:sz w:val="24"/>
          <w:szCs w:val="24"/>
        </w:rPr>
      </w:pPr>
    </w:p>
    <w:p w14:paraId="3469DDE7" w14:textId="77777777" w:rsidR="00345A72" w:rsidRPr="00345A72" w:rsidRDefault="00345A72" w:rsidP="00345A72">
      <w:pPr>
        <w:widowControl/>
        <w:spacing w:line="360" w:lineRule="auto"/>
        <w:rPr>
          <w:rFonts w:ascii="Times New Roman" w:hAnsi="Times New Roman" w:cs="Times New Roman"/>
          <w:sz w:val="24"/>
          <w:szCs w:val="24"/>
        </w:rPr>
      </w:pPr>
    </w:p>
    <w:sectPr w:rsidR="00345A72" w:rsidRPr="00345A72" w:rsidSect="00E745F7">
      <w:pgSz w:w="11906" w:h="16838"/>
      <w:pgMar w:top="1985" w:right="1701" w:bottom="1701" w:left="1701" w:header="851" w:footer="992" w:gutter="0"/>
      <w:lnNumType w:countBy="1" w:restart="continuou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B0ECFD" w14:textId="77777777" w:rsidR="00821602" w:rsidRDefault="00821602" w:rsidP="0099354F">
      <w:r>
        <w:separator/>
      </w:r>
    </w:p>
  </w:endnote>
  <w:endnote w:type="continuationSeparator" w:id="0">
    <w:p w14:paraId="4FDA7B24" w14:textId="77777777" w:rsidR="00821602" w:rsidRDefault="00821602" w:rsidP="00993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615471" w14:textId="77777777" w:rsidR="00821602" w:rsidRDefault="00821602" w:rsidP="0099354F">
      <w:r>
        <w:separator/>
      </w:r>
    </w:p>
  </w:footnote>
  <w:footnote w:type="continuationSeparator" w:id="0">
    <w:p w14:paraId="729A0271" w14:textId="77777777" w:rsidR="00821602" w:rsidRDefault="00821602" w:rsidP="00993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345728"/>
    <w:multiLevelType w:val="hybridMultilevel"/>
    <w:tmpl w:val="A21A55C6"/>
    <w:lvl w:ilvl="0" w:tplc="1AD01AEC">
      <w:start w:val="1"/>
      <w:numFmt w:val="bullet"/>
      <w:lvlText w:val="•"/>
      <w:lvlJc w:val="left"/>
      <w:pPr>
        <w:tabs>
          <w:tab w:val="num" w:pos="720"/>
        </w:tabs>
        <w:ind w:left="720" w:hanging="360"/>
      </w:pPr>
      <w:rPr>
        <w:rFonts w:ascii="Arial" w:hAnsi="Arial" w:hint="default"/>
      </w:rPr>
    </w:lvl>
    <w:lvl w:ilvl="1" w:tplc="1736D26C" w:tentative="1">
      <w:start w:val="1"/>
      <w:numFmt w:val="bullet"/>
      <w:lvlText w:val="•"/>
      <w:lvlJc w:val="left"/>
      <w:pPr>
        <w:tabs>
          <w:tab w:val="num" w:pos="1440"/>
        </w:tabs>
        <w:ind w:left="1440" w:hanging="360"/>
      </w:pPr>
      <w:rPr>
        <w:rFonts w:ascii="Arial" w:hAnsi="Arial" w:hint="default"/>
      </w:rPr>
    </w:lvl>
    <w:lvl w:ilvl="2" w:tplc="13EA7042" w:tentative="1">
      <w:start w:val="1"/>
      <w:numFmt w:val="bullet"/>
      <w:lvlText w:val="•"/>
      <w:lvlJc w:val="left"/>
      <w:pPr>
        <w:tabs>
          <w:tab w:val="num" w:pos="2160"/>
        </w:tabs>
        <w:ind w:left="2160" w:hanging="360"/>
      </w:pPr>
      <w:rPr>
        <w:rFonts w:ascii="Arial" w:hAnsi="Arial" w:hint="default"/>
      </w:rPr>
    </w:lvl>
    <w:lvl w:ilvl="3" w:tplc="FCCA5B76" w:tentative="1">
      <w:start w:val="1"/>
      <w:numFmt w:val="bullet"/>
      <w:lvlText w:val="•"/>
      <w:lvlJc w:val="left"/>
      <w:pPr>
        <w:tabs>
          <w:tab w:val="num" w:pos="2880"/>
        </w:tabs>
        <w:ind w:left="2880" w:hanging="360"/>
      </w:pPr>
      <w:rPr>
        <w:rFonts w:ascii="Arial" w:hAnsi="Arial" w:hint="default"/>
      </w:rPr>
    </w:lvl>
    <w:lvl w:ilvl="4" w:tplc="439C1208" w:tentative="1">
      <w:start w:val="1"/>
      <w:numFmt w:val="bullet"/>
      <w:lvlText w:val="•"/>
      <w:lvlJc w:val="left"/>
      <w:pPr>
        <w:tabs>
          <w:tab w:val="num" w:pos="3600"/>
        </w:tabs>
        <w:ind w:left="3600" w:hanging="360"/>
      </w:pPr>
      <w:rPr>
        <w:rFonts w:ascii="Arial" w:hAnsi="Arial" w:hint="default"/>
      </w:rPr>
    </w:lvl>
    <w:lvl w:ilvl="5" w:tplc="19703C60" w:tentative="1">
      <w:start w:val="1"/>
      <w:numFmt w:val="bullet"/>
      <w:lvlText w:val="•"/>
      <w:lvlJc w:val="left"/>
      <w:pPr>
        <w:tabs>
          <w:tab w:val="num" w:pos="4320"/>
        </w:tabs>
        <w:ind w:left="4320" w:hanging="360"/>
      </w:pPr>
      <w:rPr>
        <w:rFonts w:ascii="Arial" w:hAnsi="Arial" w:hint="default"/>
      </w:rPr>
    </w:lvl>
    <w:lvl w:ilvl="6" w:tplc="A0B8638C" w:tentative="1">
      <w:start w:val="1"/>
      <w:numFmt w:val="bullet"/>
      <w:lvlText w:val="•"/>
      <w:lvlJc w:val="left"/>
      <w:pPr>
        <w:tabs>
          <w:tab w:val="num" w:pos="5040"/>
        </w:tabs>
        <w:ind w:left="5040" w:hanging="360"/>
      </w:pPr>
      <w:rPr>
        <w:rFonts w:ascii="Arial" w:hAnsi="Arial" w:hint="default"/>
      </w:rPr>
    </w:lvl>
    <w:lvl w:ilvl="7" w:tplc="819CCE08" w:tentative="1">
      <w:start w:val="1"/>
      <w:numFmt w:val="bullet"/>
      <w:lvlText w:val="•"/>
      <w:lvlJc w:val="left"/>
      <w:pPr>
        <w:tabs>
          <w:tab w:val="num" w:pos="5760"/>
        </w:tabs>
        <w:ind w:left="5760" w:hanging="360"/>
      </w:pPr>
      <w:rPr>
        <w:rFonts w:ascii="Arial" w:hAnsi="Arial" w:hint="default"/>
      </w:rPr>
    </w:lvl>
    <w:lvl w:ilvl="8" w:tplc="B4DA8B5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45A72"/>
    <w:rsid w:val="00002425"/>
    <w:rsid w:val="00003BBB"/>
    <w:rsid w:val="000174DC"/>
    <w:rsid w:val="00047D44"/>
    <w:rsid w:val="000B4B8E"/>
    <w:rsid w:val="000C31F4"/>
    <w:rsid w:val="000E7499"/>
    <w:rsid w:val="000F2A20"/>
    <w:rsid w:val="001528E0"/>
    <w:rsid w:val="00153E10"/>
    <w:rsid w:val="001752DC"/>
    <w:rsid w:val="00184C96"/>
    <w:rsid w:val="001D5ACB"/>
    <w:rsid w:val="001E60B0"/>
    <w:rsid w:val="001F3BD2"/>
    <w:rsid w:val="001F4800"/>
    <w:rsid w:val="001F776A"/>
    <w:rsid w:val="002006F7"/>
    <w:rsid w:val="00224770"/>
    <w:rsid w:val="00234030"/>
    <w:rsid w:val="00260C46"/>
    <w:rsid w:val="002626EB"/>
    <w:rsid w:val="002C2106"/>
    <w:rsid w:val="002E6CDF"/>
    <w:rsid w:val="002F144D"/>
    <w:rsid w:val="00300D8F"/>
    <w:rsid w:val="003355DB"/>
    <w:rsid w:val="0034167C"/>
    <w:rsid w:val="00345A72"/>
    <w:rsid w:val="003558E6"/>
    <w:rsid w:val="00355FBB"/>
    <w:rsid w:val="00382AEB"/>
    <w:rsid w:val="00387CC2"/>
    <w:rsid w:val="003A1AE5"/>
    <w:rsid w:val="003A4E92"/>
    <w:rsid w:val="003D2FBF"/>
    <w:rsid w:val="003F07F5"/>
    <w:rsid w:val="003F4C0B"/>
    <w:rsid w:val="004066D5"/>
    <w:rsid w:val="00423DC3"/>
    <w:rsid w:val="00436D71"/>
    <w:rsid w:val="004503E3"/>
    <w:rsid w:val="00466D18"/>
    <w:rsid w:val="0047540A"/>
    <w:rsid w:val="00476D6B"/>
    <w:rsid w:val="00483E54"/>
    <w:rsid w:val="004910B4"/>
    <w:rsid w:val="004A6249"/>
    <w:rsid w:val="004C189A"/>
    <w:rsid w:val="004C4F6E"/>
    <w:rsid w:val="004E0443"/>
    <w:rsid w:val="004E7BB7"/>
    <w:rsid w:val="004F027F"/>
    <w:rsid w:val="0051506C"/>
    <w:rsid w:val="0052526A"/>
    <w:rsid w:val="00536C4A"/>
    <w:rsid w:val="00545AA1"/>
    <w:rsid w:val="00553740"/>
    <w:rsid w:val="0058090B"/>
    <w:rsid w:val="005971F8"/>
    <w:rsid w:val="005D3950"/>
    <w:rsid w:val="005D68F1"/>
    <w:rsid w:val="0062733E"/>
    <w:rsid w:val="00637317"/>
    <w:rsid w:val="00664E93"/>
    <w:rsid w:val="00672945"/>
    <w:rsid w:val="00674DC3"/>
    <w:rsid w:val="00680558"/>
    <w:rsid w:val="006A0D17"/>
    <w:rsid w:val="006C45FB"/>
    <w:rsid w:val="006C5882"/>
    <w:rsid w:val="006E0953"/>
    <w:rsid w:val="0071077D"/>
    <w:rsid w:val="00723E85"/>
    <w:rsid w:val="00737649"/>
    <w:rsid w:val="00773C22"/>
    <w:rsid w:val="0079784D"/>
    <w:rsid w:val="007B5E1F"/>
    <w:rsid w:val="007F0CA8"/>
    <w:rsid w:val="007F4EDB"/>
    <w:rsid w:val="007F5058"/>
    <w:rsid w:val="008036E9"/>
    <w:rsid w:val="008109E6"/>
    <w:rsid w:val="008211DE"/>
    <w:rsid w:val="00821602"/>
    <w:rsid w:val="00827F4D"/>
    <w:rsid w:val="00837D4C"/>
    <w:rsid w:val="008636B6"/>
    <w:rsid w:val="00880E20"/>
    <w:rsid w:val="008914D9"/>
    <w:rsid w:val="00895FE0"/>
    <w:rsid w:val="008D203B"/>
    <w:rsid w:val="008E6B6C"/>
    <w:rsid w:val="00905452"/>
    <w:rsid w:val="009060E6"/>
    <w:rsid w:val="009068AB"/>
    <w:rsid w:val="00922B38"/>
    <w:rsid w:val="009343EE"/>
    <w:rsid w:val="00937F13"/>
    <w:rsid w:val="00940F26"/>
    <w:rsid w:val="00966B66"/>
    <w:rsid w:val="009933F5"/>
    <w:rsid w:val="0099354F"/>
    <w:rsid w:val="009A1A4E"/>
    <w:rsid w:val="009D057E"/>
    <w:rsid w:val="009D51DC"/>
    <w:rsid w:val="009D6CE6"/>
    <w:rsid w:val="00A32D26"/>
    <w:rsid w:val="00A36E12"/>
    <w:rsid w:val="00A41BEB"/>
    <w:rsid w:val="00A442FF"/>
    <w:rsid w:val="00A46217"/>
    <w:rsid w:val="00A7411E"/>
    <w:rsid w:val="00A80E7C"/>
    <w:rsid w:val="00AC36D7"/>
    <w:rsid w:val="00AF58C0"/>
    <w:rsid w:val="00B00BAF"/>
    <w:rsid w:val="00B11BC5"/>
    <w:rsid w:val="00B143F5"/>
    <w:rsid w:val="00B372B0"/>
    <w:rsid w:val="00B4315C"/>
    <w:rsid w:val="00B53C61"/>
    <w:rsid w:val="00B6447F"/>
    <w:rsid w:val="00B658D1"/>
    <w:rsid w:val="00B716F4"/>
    <w:rsid w:val="00BA04BF"/>
    <w:rsid w:val="00BA6E52"/>
    <w:rsid w:val="00BC05AD"/>
    <w:rsid w:val="00BE102C"/>
    <w:rsid w:val="00BF5A7E"/>
    <w:rsid w:val="00C06F71"/>
    <w:rsid w:val="00C20553"/>
    <w:rsid w:val="00C24106"/>
    <w:rsid w:val="00C25AA6"/>
    <w:rsid w:val="00C35A51"/>
    <w:rsid w:val="00C45095"/>
    <w:rsid w:val="00C55E48"/>
    <w:rsid w:val="00C65B7F"/>
    <w:rsid w:val="00C70367"/>
    <w:rsid w:val="00C76F6B"/>
    <w:rsid w:val="00C9431C"/>
    <w:rsid w:val="00CA11BC"/>
    <w:rsid w:val="00CC0FB3"/>
    <w:rsid w:val="00CC639F"/>
    <w:rsid w:val="00CE2E2E"/>
    <w:rsid w:val="00CF5117"/>
    <w:rsid w:val="00CF6BE7"/>
    <w:rsid w:val="00D1553D"/>
    <w:rsid w:val="00D327C5"/>
    <w:rsid w:val="00D53C47"/>
    <w:rsid w:val="00D93ACA"/>
    <w:rsid w:val="00D946B3"/>
    <w:rsid w:val="00DB3549"/>
    <w:rsid w:val="00DD415B"/>
    <w:rsid w:val="00DD49C4"/>
    <w:rsid w:val="00E36157"/>
    <w:rsid w:val="00E438E5"/>
    <w:rsid w:val="00E54524"/>
    <w:rsid w:val="00E660DA"/>
    <w:rsid w:val="00E745F7"/>
    <w:rsid w:val="00E91FED"/>
    <w:rsid w:val="00EB1D41"/>
    <w:rsid w:val="00F01FC8"/>
    <w:rsid w:val="00F04A54"/>
    <w:rsid w:val="00F07D50"/>
    <w:rsid w:val="00F17721"/>
    <w:rsid w:val="00F224CB"/>
    <w:rsid w:val="00F25589"/>
    <w:rsid w:val="00F45138"/>
    <w:rsid w:val="00FC49ED"/>
    <w:rsid w:val="00FD7B22"/>
    <w:rsid w:val="00FE17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944BB96"/>
  <w15:docId w15:val="{12DE0C49-10C4-48CD-AED1-E331BFC84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
    <w:name w:val="リストなし1"/>
    <w:next w:val="NoList"/>
    <w:uiPriority w:val="99"/>
    <w:semiHidden/>
    <w:unhideWhenUsed/>
    <w:rsid w:val="00345A72"/>
  </w:style>
  <w:style w:type="paragraph" w:styleId="Header">
    <w:name w:val="header"/>
    <w:basedOn w:val="Normal"/>
    <w:link w:val="HeaderChar"/>
    <w:uiPriority w:val="99"/>
    <w:unhideWhenUsed/>
    <w:rsid w:val="00345A72"/>
    <w:pPr>
      <w:widowControl/>
      <w:tabs>
        <w:tab w:val="center" w:pos="4252"/>
        <w:tab w:val="right" w:pos="8504"/>
      </w:tabs>
      <w:snapToGrid w:val="0"/>
      <w:spacing w:line="480" w:lineRule="auto"/>
      <w:ind w:firstLine="839"/>
    </w:pPr>
  </w:style>
  <w:style w:type="character" w:customStyle="1" w:styleId="HeaderChar">
    <w:name w:val="Header Char"/>
    <w:basedOn w:val="DefaultParagraphFont"/>
    <w:link w:val="Header"/>
    <w:uiPriority w:val="99"/>
    <w:rsid w:val="00345A72"/>
  </w:style>
  <w:style w:type="paragraph" w:styleId="Footer">
    <w:name w:val="footer"/>
    <w:basedOn w:val="Normal"/>
    <w:link w:val="FooterChar"/>
    <w:uiPriority w:val="99"/>
    <w:unhideWhenUsed/>
    <w:rsid w:val="00345A72"/>
    <w:pPr>
      <w:widowControl/>
      <w:tabs>
        <w:tab w:val="center" w:pos="4252"/>
        <w:tab w:val="right" w:pos="8504"/>
      </w:tabs>
      <w:snapToGrid w:val="0"/>
      <w:spacing w:line="480" w:lineRule="auto"/>
      <w:ind w:firstLine="839"/>
    </w:pPr>
  </w:style>
  <w:style w:type="character" w:customStyle="1" w:styleId="FooterChar">
    <w:name w:val="Footer Char"/>
    <w:basedOn w:val="DefaultParagraphFont"/>
    <w:link w:val="Footer"/>
    <w:uiPriority w:val="99"/>
    <w:rsid w:val="00345A72"/>
  </w:style>
  <w:style w:type="character" w:styleId="PlaceholderText">
    <w:name w:val="Placeholder Text"/>
    <w:basedOn w:val="DefaultParagraphFont"/>
    <w:uiPriority w:val="99"/>
    <w:semiHidden/>
    <w:rsid w:val="00345A72"/>
    <w:rPr>
      <w:color w:val="808080"/>
    </w:rPr>
  </w:style>
  <w:style w:type="character" w:styleId="CommentReference">
    <w:name w:val="annotation reference"/>
    <w:basedOn w:val="DefaultParagraphFont"/>
    <w:uiPriority w:val="99"/>
    <w:semiHidden/>
    <w:unhideWhenUsed/>
    <w:rsid w:val="00345A72"/>
    <w:rPr>
      <w:sz w:val="18"/>
      <w:szCs w:val="18"/>
    </w:rPr>
  </w:style>
  <w:style w:type="paragraph" w:styleId="CommentText">
    <w:name w:val="annotation text"/>
    <w:basedOn w:val="Normal"/>
    <w:link w:val="CommentTextChar"/>
    <w:uiPriority w:val="99"/>
    <w:unhideWhenUsed/>
    <w:rsid w:val="00345A72"/>
    <w:pPr>
      <w:widowControl/>
      <w:spacing w:line="480" w:lineRule="auto"/>
      <w:ind w:firstLine="839"/>
      <w:jc w:val="left"/>
    </w:pPr>
  </w:style>
  <w:style w:type="character" w:customStyle="1" w:styleId="CommentTextChar">
    <w:name w:val="Comment Text Char"/>
    <w:basedOn w:val="DefaultParagraphFont"/>
    <w:link w:val="CommentText"/>
    <w:uiPriority w:val="99"/>
    <w:rsid w:val="00345A72"/>
  </w:style>
  <w:style w:type="paragraph" w:styleId="CommentSubject">
    <w:name w:val="annotation subject"/>
    <w:basedOn w:val="CommentText"/>
    <w:next w:val="CommentText"/>
    <w:link w:val="CommentSubjectChar"/>
    <w:uiPriority w:val="99"/>
    <w:semiHidden/>
    <w:unhideWhenUsed/>
    <w:rsid w:val="00345A72"/>
    <w:rPr>
      <w:b/>
      <w:bCs/>
    </w:rPr>
  </w:style>
  <w:style w:type="character" w:customStyle="1" w:styleId="CommentSubjectChar">
    <w:name w:val="Comment Subject Char"/>
    <w:basedOn w:val="CommentTextChar"/>
    <w:link w:val="CommentSubject"/>
    <w:uiPriority w:val="99"/>
    <w:semiHidden/>
    <w:rsid w:val="00345A72"/>
    <w:rPr>
      <w:b/>
      <w:bCs/>
    </w:rPr>
  </w:style>
  <w:style w:type="paragraph" w:styleId="Revision">
    <w:name w:val="Revision"/>
    <w:hidden/>
    <w:uiPriority w:val="99"/>
    <w:semiHidden/>
    <w:rsid w:val="00345A72"/>
  </w:style>
  <w:style w:type="character" w:styleId="LineNumber">
    <w:name w:val="line number"/>
    <w:basedOn w:val="DefaultParagraphFont"/>
    <w:uiPriority w:val="99"/>
    <w:semiHidden/>
    <w:unhideWhenUsed/>
    <w:rsid w:val="00345A72"/>
  </w:style>
  <w:style w:type="character" w:styleId="Hyperlink">
    <w:name w:val="Hyperlink"/>
    <w:basedOn w:val="DefaultParagraphFont"/>
    <w:uiPriority w:val="99"/>
    <w:unhideWhenUsed/>
    <w:rsid w:val="00345A72"/>
    <w:rPr>
      <w:color w:val="0563C1" w:themeColor="hyperlink"/>
      <w:u w:val="single"/>
    </w:rPr>
  </w:style>
  <w:style w:type="character" w:styleId="UnresolvedMention">
    <w:name w:val="Unresolved Mention"/>
    <w:basedOn w:val="DefaultParagraphFont"/>
    <w:uiPriority w:val="99"/>
    <w:semiHidden/>
    <w:unhideWhenUsed/>
    <w:rsid w:val="00345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0B2CD-04BC-5C40-9041-7345E505E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8</Pages>
  <Words>614</Words>
  <Characters>3501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戸田　賢希</dc:creator>
  <cp:keywords/>
  <dc:description/>
  <cp:lastModifiedBy>Poonam Mutha</cp:lastModifiedBy>
  <cp:revision>38</cp:revision>
  <cp:lastPrinted>2023-09-26T06:07:00Z</cp:lastPrinted>
  <dcterms:created xsi:type="dcterms:W3CDTF">2023-10-06T10:29:00Z</dcterms:created>
  <dcterms:modified xsi:type="dcterms:W3CDTF">2023-11-13T13:55:00Z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85848e70-5240-4a1d-a3f5-7977332bcf95</vt:lpwstr>
  </property>
</Properties>
</file>