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F143E" w14:textId="31BC5477" w:rsidR="00D35DD1" w:rsidRPr="00991121" w:rsidRDefault="00991121" w:rsidP="00C00FAD">
      <w:pPr>
        <w:spacing w:before="100" w:beforeAutospacing="1" w:after="100" w:afterAutospacing="1"/>
        <w:jc w:val="center"/>
        <w:rPr>
          <w:rFonts w:ascii="Times New Roman" w:hAnsi="Times New Roman" w:cs="Times New Roman"/>
          <w:sz w:val="24"/>
          <w:szCs w:val="24"/>
        </w:rPr>
      </w:pPr>
      <w:r w:rsidRPr="00991121">
        <w:rPr>
          <w:rFonts w:ascii="Times New Roman" w:hAnsi="Times New Roman" w:cs="Times New Roman"/>
          <w:sz w:val="24"/>
          <w:szCs w:val="24"/>
        </w:rPr>
        <w:t>Supplementary material to</w:t>
      </w:r>
    </w:p>
    <w:p w14:paraId="01027343" w14:textId="70F4A105" w:rsidR="000E0CFD" w:rsidRPr="00991121" w:rsidRDefault="00991121" w:rsidP="00C00FAD">
      <w:pPr>
        <w:spacing w:before="100" w:beforeAutospacing="1" w:after="100" w:afterAutospacing="1"/>
        <w:jc w:val="center"/>
        <w:rPr>
          <w:rFonts w:ascii="Times New Roman" w:hAnsi="Times New Roman" w:cs="Times New Roman"/>
          <w:b/>
          <w:sz w:val="24"/>
          <w:szCs w:val="24"/>
        </w:rPr>
      </w:pPr>
      <w:r w:rsidRPr="00991121">
        <w:rPr>
          <w:rFonts w:ascii="Times New Roman" w:hAnsi="Times New Roman" w:cs="Times New Roman"/>
          <w:b/>
          <w:sz w:val="24"/>
          <w:szCs w:val="24"/>
        </w:rPr>
        <w:t>“</w:t>
      </w:r>
      <w:r w:rsidR="00D35DD1" w:rsidRPr="00991121">
        <w:rPr>
          <w:rFonts w:ascii="Times New Roman" w:hAnsi="Times New Roman" w:cs="Times New Roman"/>
          <w:b/>
          <w:sz w:val="24"/>
          <w:szCs w:val="24"/>
        </w:rPr>
        <w:t>Unraveling secondary ice production in winter orographic clouds through a synergy of in-situ observations, remote sensing and modeling</w:t>
      </w:r>
      <w:r w:rsidRPr="00991121">
        <w:rPr>
          <w:rFonts w:ascii="Times New Roman" w:hAnsi="Times New Roman" w:cs="Times New Roman"/>
          <w:b/>
          <w:sz w:val="24"/>
          <w:szCs w:val="24"/>
        </w:rPr>
        <w:t>”</w:t>
      </w:r>
    </w:p>
    <w:p w14:paraId="5B2C0599" w14:textId="241B1367" w:rsidR="00531575" w:rsidRPr="00991121" w:rsidRDefault="00531575" w:rsidP="00C00FAD">
      <w:pPr>
        <w:spacing w:before="100" w:beforeAutospacing="1" w:after="100" w:afterAutospacing="1"/>
        <w:jc w:val="center"/>
        <w:rPr>
          <w:rFonts w:ascii="Times New Roman" w:hAnsi="Times New Roman" w:cs="Times New Roman"/>
          <w:sz w:val="24"/>
          <w:szCs w:val="24"/>
        </w:rPr>
      </w:pPr>
      <w:r w:rsidRPr="00991121">
        <w:rPr>
          <w:rFonts w:ascii="Times New Roman" w:hAnsi="Times New Roman" w:cs="Times New Roman"/>
          <w:sz w:val="24"/>
          <w:szCs w:val="24"/>
        </w:rPr>
        <w:t>Paraskevi Georgakaki</w:t>
      </w:r>
      <w:r w:rsidRPr="00991121">
        <w:rPr>
          <w:rFonts w:ascii="Times New Roman" w:hAnsi="Times New Roman" w:cs="Times New Roman"/>
          <w:sz w:val="24"/>
          <w:szCs w:val="24"/>
          <w:vertAlign w:val="superscript"/>
        </w:rPr>
        <w:t>1</w:t>
      </w:r>
      <w:r w:rsidRPr="00991121">
        <w:rPr>
          <w:rFonts w:ascii="Times New Roman" w:hAnsi="Times New Roman" w:cs="Times New Roman"/>
          <w:sz w:val="24"/>
          <w:szCs w:val="24"/>
        </w:rPr>
        <w:t>, Anne-Claire Billault-Roux</w:t>
      </w:r>
      <w:r w:rsidRPr="00991121">
        <w:rPr>
          <w:rFonts w:ascii="Times New Roman" w:hAnsi="Times New Roman" w:cs="Times New Roman"/>
          <w:sz w:val="24"/>
          <w:szCs w:val="24"/>
          <w:vertAlign w:val="superscript"/>
        </w:rPr>
        <w:t>2</w:t>
      </w:r>
      <w:r w:rsidRPr="00991121">
        <w:rPr>
          <w:rFonts w:ascii="Times New Roman" w:hAnsi="Times New Roman" w:cs="Times New Roman"/>
          <w:sz w:val="24"/>
          <w:szCs w:val="24"/>
        </w:rPr>
        <w:t>, Romanos Foskinis</w:t>
      </w:r>
      <w:r w:rsidRPr="00991121">
        <w:rPr>
          <w:rFonts w:ascii="Times New Roman" w:hAnsi="Times New Roman" w:cs="Times New Roman"/>
          <w:sz w:val="24"/>
          <w:szCs w:val="24"/>
          <w:vertAlign w:val="superscript"/>
        </w:rPr>
        <w:t>3,4,5</w:t>
      </w:r>
      <w:r w:rsidRPr="00991121">
        <w:rPr>
          <w:rFonts w:ascii="Times New Roman" w:hAnsi="Times New Roman" w:cs="Times New Roman"/>
          <w:sz w:val="24"/>
          <w:szCs w:val="24"/>
        </w:rPr>
        <w:t>, Kunfeng Gao</w:t>
      </w:r>
      <w:r w:rsidRPr="00991121">
        <w:rPr>
          <w:rFonts w:ascii="Times New Roman" w:hAnsi="Times New Roman" w:cs="Times New Roman"/>
          <w:sz w:val="24"/>
          <w:szCs w:val="24"/>
          <w:vertAlign w:val="superscript"/>
        </w:rPr>
        <w:t>1</w:t>
      </w:r>
      <w:r w:rsidRPr="00991121">
        <w:rPr>
          <w:rFonts w:ascii="Times New Roman" w:hAnsi="Times New Roman" w:cs="Times New Roman"/>
          <w:sz w:val="24"/>
          <w:szCs w:val="24"/>
        </w:rPr>
        <w:t>, Georgia Sotiropoulou</w:t>
      </w:r>
      <w:r w:rsidR="00041AAE" w:rsidRPr="00991121">
        <w:rPr>
          <w:rFonts w:ascii="Times New Roman" w:hAnsi="Times New Roman" w:cs="Times New Roman"/>
          <w:sz w:val="24"/>
          <w:szCs w:val="24"/>
          <w:vertAlign w:val="superscript"/>
        </w:rPr>
        <w:t>6</w:t>
      </w:r>
      <w:r w:rsidRPr="00991121">
        <w:rPr>
          <w:rFonts w:ascii="Times New Roman" w:hAnsi="Times New Roman" w:cs="Times New Roman"/>
          <w:sz w:val="24"/>
          <w:szCs w:val="24"/>
          <w:vertAlign w:val="superscript"/>
        </w:rPr>
        <w:t>,</w:t>
      </w:r>
      <w:r w:rsidR="00D4054C" w:rsidRPr="00991121">
        <w:rPr>
          <w:rFonts w:ascii="Times New Roman" w:hAnsi="Times New Roman" w:cs="Times New Roman"/>
          <w:sz w:val="24"/>
          <w:szCs w:val="24"/>
          <w:vertAlign w:val="superscript"/>
        </w:rPr>
        <w:t>1</w:t>
      </w:r>
      <w:r w:rsidRPr="00991121">
        <w:rPr>
          <w:rFonts w:ascii="Times New Roman" w:hAnsi="Times New Roman" w:cs="Times New Roman"/>
          <w:sz w:val="24"/>
          <w:szCs w:val="24"/>
        </w:rPr>
        <w:t>, Maria Gini</w:t>
      </w:r>
      <w:r w:rsidR="00041AAE" w:rsidRPr="00991121">
        <w:rPr>
          <w:rFonts w:ascii="Times New Roman" w:hAnsi="Times New Roman" w:cs="Times New Roman"/>
          <w:sz w:val="24"/>
          <w:szCs w:val="24"/>
          <w:vertAlign w:val="superscript"/>
        </w:rPr>
        <w:t>5</w:t>
      </w:r>
      <w:r w:rsidRPr="00991121">
        <w:rPr>
          <w:rFonts w:ascii="Times New Roman" w:hAnsi="Times New Roman" w:cs="Times New Roman"/>
          <w:sz w:val="24"/>
          <w:szCs w:val="24"/>
        </w:rPr>
        <w:t xml:space="preserve">, </w:t>
      </w:r>
      <w:r w:rsidR="00096E13" w:rsidRPr="00991121">
        <w:rPr>
          <w:rFonts w:ascii="Times New Roman" w:hAnsi="Times New Roman" w:cs="Times New Roman"/>
          <w:sz w:val="24"/>
          <w:szCs w:val="24"/>
        </w:rPr>
        <w:t>Satoshi Takahama</w:t>
      </w:r>
      <w:r w:rsidR="00096E13" w:rsidRPr="00991121">
        <w:rPr>
          <w:rFonts w:ascii="Times New Roman" w:hAnsi="Times New Roman" w:cs="Times New Roman"/>
          <w:sz w:val="24"/>
          <w:szCs w:val="24"/>
          <w:vertAlign w:val="superscript"/>
        </w:rPr>
        <w:t>1</w:t>
      </w:r>
      <w:r w:rsidR="00096E13" w:rsidRPr="00991121">
        <w:rPr>
          <w:rFonts w:ascii="Times New Roman" w:hAnsi="Times New Roman" w:cs="Times New Roman"/>
          <w:sz w:val="24"/>
          <w:szCs w:val="24"/>
        </w:rPr>
        <w:t xml:space="preserve">, </w:t>
      </w:r>
      <w:r w:rsidRPr="00991121">
        <w:rPr>
          <w:rFonts w:ascii="Times New Roman" w:hAnsi="Times New Roman" w:cs="Times New Roman"/>
          <w:sz w:val="24"/>
          <w:szCs w:val="24"/>
        </w:rPr>
        <w:t>Konstantinos Eleftheriadis</w:t>
      </w:r>
      <w:r w:rsidR="00041AAE" w:rsidRPr="00991121">
        <w:rPr>
          <w:rFonts w:ascii="Times New Roman" w:hAnsi="Times New Roman" w:cs="Times New Roman"/>
          <w:sz w:val="24"/>
          <w:szCs w:val="24"/>
          <w:vertAlign w:val="superscript"/>
        </w:rPr>
        <w:t>5</w:t>
      </w:r>
      <w:r w:rsidRPr="00991121">
        <w:rPr>
          <w:rFonts w:ascii="Times New Roman" w:hAnsi="Times New Roman" w:cs="Times New Roman"/>
          <w:sz w:val="24"/>
          <w:szCs w:val="24"/>
        </w:rPr>
        <w:t xml:space="preserve">, </w:t>
      </w:r>
      <w:r w:rsidR="00096E13" w:rsidRPr="00991121">
        <w:rPr>
          <w:rFonts w:ascii="Times New Roman" w:hAnsi="Times New Roman" w:cs="Times New Roman"/>
          <w:sz w:val="24"/>
          <w:szCs w:val="24"/>
        </w:rPr>
        <w:t>Alexandros Papayannis</w:t>
      </w:r>
      <w:r w:rsidR="00F77704" w:rsidRPr="00991121">
        <w:rPr>
          <w:rFonts w:ascii="Times New Roman" w:hAnsi="Times New Roman" w:cs="Times New Roman"/>
          <w:sz w:val="24"/>
          <w:szCs w:val="24"/>
          <w:vertAlign w:val="superscript"/>
        </w:rPr>
        <w:t>1</w:t>
      </w:r>
      <w:r w:rsidR="00096E13" w:rsidRPr="00991121">
        <w:rPr>
          <w:rFonts w:ascii="Times New Roman" w:hAnsi="Times New Roman" w:cs="Times New Roman"/>
          <w:sz w:val="24"/>
          <w:szCs w:val="24"/>
          <w:vertAlign w:val="superscript"/>
        </w:rPr>
        <w:t>,</w:t>
      </w:r>
      <w:r w:rsidR="00F77704" w:rsidRPr="00991121">
        <w:rPr>
          <w:rFonts w:ascii="Times New Roman" w:hAnsi="Times New Roman" w:cs="Times New Roman"/>
          <w:sz w:val="24"/>
          <w:szCs w:val="24"/>
          <w:vertAlign w:val="superscript"/>
        </w:rPr>
        <w:t>3</w:t>
      </w:r>
      <w:r w:rsidR="00096E13" w:rsidRPr="00991121">
        <w:rPr>
          <w:rFonts w:ascii="Times New Roman" w:hAnsi="Times New Roman" w:cs="Times New Roman"/>
          <w:sz w:val="24"/>
          <w:szCs w:val="24"/>
        </w:rPr>
        <w:t xml:space="preserve">, </w:t>
      </w:r>
      <w:r w:rsidRPr="00991121">
        <w:rPr>
          <w:rFonts w:ascii="Times New Roman" w:hAnsi="Times New Roman" w:cs="Times New Roman"/>
          <w:sz w:val="24"/>
          <w:szCs w:val="24"/>
        </w:rPr>
        <w:t>Alexis Berne</w:t>
      </w:r>
      <w:r w:rsidRPr="00991121">
        <w:rPr>
          <w:rFonts w:ascii="Times New Roman" w:hAnsi="Times New Roman" w:cs="Times New Roman"/>
          <w:sz w:val="24"/>
          <w:szCs w:val="24"/>
          <w:vertAlign w:val="superscript"/>
        </w:rPr>
        <w:t>2</w:t>
      </w:r>
      <w:r w:rsidRPr="00991121">
        <w:rPr>
          <w:rFonts w:ascii="Times New Roman" w:hAnsi="Times New Roman" w:cs="Times New Roman"/>
          <w:sz w:val="24"/>
          <w:szCs w:val="24"/>
        </w:rPr>
        <w:t>, and Athanasios Nenes</w:t>
      </w:r>
      <w:r w:rsidRPr="00991121">
        <w:rPr>
          <w:rFonts w:ascii="Times New Roman" w:hAnsi="Times New Roman" w:cs="Times New Roman"/>
          <w:sz w:val="24"/>
          <w:szCs w:val="24"/>
          <w:vertAlign w:val="superscript"/>
        </w:rPr>
        <w:t>1,</w:t>
      </w:r>
      <w:r w:rsidR="00041AAE" w:rsidRPr="00991121">
        <w:rPr>
          <w:rFonts w:ascii="Times New Roman" w:hAnsi="Times New Roman" w:cs="Times New Roman"/>
          <w:sz w:val="24"/>
          <w:szCs w:val="24"/>
          <w:vertAlign w:val="superscript"/>
        </w:rPr>
        <w:t>4</w:t>
      </w:r>
    </w:p>
    <w:p w14:paraId="266A663D" w14:textId="77777777" w:rsidR="00041AAE" w:rsidRPr="00991121" w:rsidRDefault="00041AAE" w:rsidP="00C00FAD">
      <w:pPr>
        <w:jc w:val="center"/>
        <w:rPr>
          <w:rFonts w:ascii="Times New Roman" w:hAnsi="Times New Roman" w:cs="Times New Roman"/>
          <w:sz w:val="24"/>
          <w:szCs w:val="24"/>
        </w:rPr>
      </w:pPr>
      <w:r w:rsidRPr="00991121">
        <w:rPr>
          <w:rFonts w:ascii="Times New Roman" w:hAnsi="Times New Roman" w:cs="Times New Roman"/>
          <w:sz w:val="24"/>
          <w:szCs w:val="24"/>
          <w:vertAlign w:val="superscript"/>
        </w:rPr>
        <w:t>1</w:t>
      </w:r>
      <w:r w:rsidRPr="00991121">
        <w:rPr>
          <w:rFonts w:ascii="Times New Roman" w:hAnsi="Times New Roman" w:cs="Times New Roman"/>
          <w:sz w:val="24"/>
          <w:szCs w:val="24"/>
        </w:rPr>
        <w:t>Laboratory of Atmospheric Processes and their Impacts (LAPI), School of Architecture, Civil &amp; Environmental Engineering, Ecole Polytechnique Fédérale de Lausanne, Lausanne, Switzerland.</w:t>
      </w:r>
    </w:p>
    <w:p w14:paraId="5AE0F5E5" w14:textId="77777777" w:rsidR="00041AAE" w:rsidRPr="00991121" w:rsidRDefault="00041AAE" w:rsidP="00C00FAD">
      <w:pPr>
        <w:jc w:val="center"/>
        <w:rPr>
          <w:rFonts w:ascii="Times New Roman" w:hAnsi="Times New Roman" w:cs="Times New Roman"/>
          <w:sz w:val="24"/>
          <w:szCs w:val="24"/>
        </w:rPr>
      </w:pPr>
      <w:r w:rsidRPr="00991121">
        <w:rPr>
          <w:rFonts w:ascii="Times New Roman" w:hAnsi="Times New Roman" w:cs="Times New Roman"/>
          <w:sz w:val="24"/>
          <w:szCs w:val="24"/>
          <w:vertAlign w:val="superscript"/>
        </w:rPr>
        <w:t>2</w:t>
      </w:r>
      <w:r w:rsidRPr="00991121">
        <w:rPr>
          <w:rFonts w:ascii="Times New Roman" w:hAnsi="Times New Roman" w:cs="Times New Roman"/>
          <w:sz w:val="24"/>
          <w:szCs w:val="24"/>
        </w:rPr>
        <w:t>Environmental Remote Sensing Laboratory (LTE), School of Architecture, Civil &amp; Environmental Engineering, Ecole Polytechnique Fédérale de Lausanne, Lausanne, Switzerland</w:t>
      </w:r>
    </w:p>
    <w:p w14:paraId="034633D4" w14:textId="77777777" w:rsidR="00041AAE" w:rsidRPr="00991121" w:rsidRDefault="00041AAE" w:rsidP="00C00FAD">
      <w:pPr>
        <w:jc w:val="center"/>
        <w:rPr>
          <w:rFonts w:ascii="Times New Roman" w:hAnsi="Times New Roman" w:cs="Times New Roman"/>
          <w:sz w:val="24"/>
          <w:szCs w:val="24"/>
        </w:rPr>
      </w:pPr>
      <w:r w:rsidRPr="00991121">
        <w:rPr>
          <w:rFonts w:ascii="Times New Roman" w:hAnsi="Times New Roman" w:cs="Times New Roman"/>
          <w:sz w:val="24"/>
          <w:szCs w:val="24"/>
          <w:vertAlign w:val="superscript"/>
        </w:rPr>
        <w:t>3</w:t>
      </w:r>
      <w:r w:rsidRPr="00991121">
        <w:rPr>
          <w:rFonts w:ascii="Times New Roman" w:hAnsi="Times New Roman" w:cs="Times New Roman"/>
          <w:sz w:val="24"/>
          <w:szCs w:val="24"/>
        </w:rPr>
        <w:t>Laser Remote Sensing Unit (LRSU), Physics Department, National Technical University of Athens, Zografou, Greece</w:t>
      </w:r>
    </w:p>
    <w:p w14:paraId="373EF321" w14:textId="77777777" w:rsidR="00041AAE" w:rsidRPr="00991121" w:rsidRDefault="00041AAE" w:rsidP="00C00FAD">
      <w:pPr>
        <w:jc w:val="center"/>
        <w:rPr>
          <w:rFonts w:ascii="Times New Roman" w:hAnsi="Times New Roman" w:cs="Times New Roman"/>
          <w:sz w:val="24"/>
          <w:szCs w:val="24"/>
        </w:rPr>
      </w:pPr>
      <w:r w:rsidRPr="00991121">
        <w:rPr>
          <w:rFonts w:ascii="Times New Roman" w:hAnsi="Times New Roman" w:cs="Times New Roman"/>
          <w:sz w:val="24"/>
          <w:szCs w:val="24"/>
          <w:vertAlign w:val="superscript"/>
        </w:rPr>
        <w:t>4</w:t>
      </w:r>
      <w:r w:rsidRPr="00991121">
        <w:rPr>
          <w:rFonts w:ascii="Times New Roman" w:hAnsi="Times New Roman" w:cs="Times New Roman"/>
          <w:sz w:val="24"/>
          <w:szCs w:val="24"/>
        </w:rPr>
        <w:t>Center for Studies of Air Quality and Climate Change, Institute of Chemical Engineering Sciences, Foundation for Research and Technology Hellas, Patras, Greece.</w:t>
      </w:r>
    </w:p>
    <w:p w14:paraId="05020BCA" w14:textId="77777777" w:rsidR="00041AAE" w:rsidRPr="00991121" w:rsidRDefault="00041AAE" w:rsidP="00C00FAD">
      <w:pPr>
        <w:jc w:val="center"/>
        <w:rPr>
          <w:rFonts w:ascii="Times New Roman" w:hAnsi="Times New Roman" w:cs="Times New Roman"/>
          <w:sz w:val="24"/>
          <w:szCs w:val="24"/>
        </w:rPr>
      </w:pPr>
      <w:r w:rsidRPr="00991121">
        <w:rPr>
          <w:rFonts w:ascii="Times New Roman" w:hAnsi="Times New Roman" w:cs="Times New Roman"/>
          <w:sz w:val="24"/>
          <w:szCs w:val="24"/>
          <w:vertAlign w:val="superscript"/>
        </w:rPr>
        <w:t>5</w:t>
      </w:r>
      <w:r w:rsidRPr="00991121">
        <w:rPr>
          <w:rFonts w:ascii="Times New Roman" w:hAnsi="Times New Roman" w:cs="Times New Roman"/>
          <w:sz w:val="24"/>
          <w:szCs w:val="24"/>
        </w:rPr>
        <w:t>ERL, Institute of Nuclear and Radiological Sciences and Technology, Energy and Safety, National Centre of Scientific Research “Demokritos”, Ag. Paraskevi, Greece</w:t>
      </w:r>
    </w:p>
    <w:p w14:paraId="542706E5" w14:textId="3A8B03D9" w:rsidR="00AB4FE6" w:rsidRDefault="00041AAE" w:rsidP="00C00FAD">
      <w:pPr>
        <w:jc w:val="center"/>
        <w:rPr>
          <w:rFonts w:ascii="Times New Roman" w:hAnsi="Times New Roman" w:cs="Times New Roman"/>
          <w:sz w:val="24"/>
          <w:szCs w:val="24"/>
        </w:rPr>
      </w:pPr>
      <w:r w:rsidRPr="00991121">
        <w:rPr>
          <w:rFonts w:ascii="Times New Roman" w:hAnsi="Times New Roman" w:cs="Times New Roman"/>
          <w:sz w:val="24"/>
          <w:szCs w:val="24"/>
          <w:vertAlign w:val="superscript"/>
        </w:rPr>
        <w:t>6</w:t>
      </w:r>
      <w:r w:rsidRPr="00991121">
        <w:rPr>
          <w:rFonts w:ascii="Times New Roman" w:hAnsi="Times New Roman" w:cs="Times New Roman"/>
          <w:sz w:val="24"/>
          <w:szCs w:val="24"/>
        </w:rPr>
        <w:t>Division of Environmental Physics and Meteorology, Department of Physics, University of Athens, Athens, Greece</w:t>
      </w:r>
    </w:p>
    <w:p w14:paraId="07F71879" w14:textId="77777777" w:rsidR="00430B34" w:rsidRPr="00AF1693" w:rsidRDefault="00430B34" w:rsidP="00E31D75">
      <w:pPr>
        <w:jc w:val="both"/>
        <w:rPr>
          <w:rFonts w:ascii="Times New Roman" w:hAnsi="Times New Roman" w:cs="Times New Roman"/>
          <w:sz w:val="24"/>
          <w:szCs w:val="24"/>
        </w:rPr>
      </w:pPr>
    </w:p>
    <w:p w14:paraId="0B14C31E" w14:textId="4058A817" w:rsidR="00041AAE" w:rsidRPr="00AF1693" w:rsidRDefault="00430B34" w:rsidP="00991121">
      <w:pPr>
        <w:jc w:val="both"/>
        <w:rPr>
          <w:rStyle w:val="Hyperlink"/>
          <w:rFonts w:ascii="Times New Roman" w:hAnsi="Times New Roman" w:cs="Times New Roman"/>
          <w:sz w:val="24"/>
          <w:szCs w:val="24"/>
        </w:rPr>
      </w:pPr>
      <w:r w:rsidRPr="00AF1693">
        <w:rPr>
          <w:rFonts w:ascii="Times New Roman" w:hAnsi="Times New Roman" w:cs="Times New Roman"/>
          <w:sz w:val="24"/>
          <w:szCs w:val="24"/>
          <w:vertAlign w:val="superscript"/>
        </w:rPr>
        <w:t>*</w:t>
      </w:r>
      <w:r w:rsidRPr="00AF1693">
        <w:rPr>
          <w:rFonts w:ascii="Times New Roman" w:hAnsi="Times New Roman" w:cs="Times New Roman"/>
          <w:sz w:val="24"/>
          <w:szCs w:val="24"/>
        </w:rPr>
        <w:t>Corresponding author: Athanasios Nenes (</w:t>
      </w:r>
      <w:hyperlink r:id="rId8" w:history="1">
        <w:r w:rsidRPr="00AF1693">
          <w:rPr>
            <w:rStyle w:val="Hyperlink"/>
            <w:rFonts w:ascii="Times New Roman" w:hAnsi="Times New Roman" w:cs="Times New Roman"/>
            <w:sz w:val="24"/>
            <w:szCs w:val="24"/>
          </w:rPr>
          <w:t>athanasios.nenes@epfl.ch)</w:t>
        </w:r>
      </w:hyperlink>
    </w:p>
    <w:p w14:paraId="2AF398D3" w14:textId="77777777" w:rsidR="00430B34" w:rsidRPr="00991121" w:rsidRDefault="00430B34" w:rsidP="00991121">
      <w:pPr>
        <w:jc w:val="both"/>
        <w:rPr>
          <w:rFonts w:ascii="Times New Roman" w:hAnsi="Times New Roman" w:cs="Times New Roman"/>
          <w:b/>
          <w:sz w:val="24"/>
          <w:szCs w:val="24"/>
        </w:rPr>
      </w:pPr>
    </w:p>
    <w:p w14:paraId="192BEF29" w14:textId="77777777" w:rsidR="001C7648" w:rsidRDefault="001C7648" w:rsidP="00991121">
      <w:pPr>
        <w:spacing w:before="100" w:beforeAutospacing="1" w:after="100" w:afterAutospacing="1"/>
        <w:jc w:val="both"/>
        <w:rPr>
          <w:rFonts w:ascii="Times New Roman" w:hAnsi="Times New Roman" w:cs="Times New Roman"/>
          <w:b/>
          <w:sz w:val="24"/>
          <w:szCs w:val="24"/>
        </w:rPr>
      </w:pPr>
    </w:p>
    <w:p w14:paraId="3D762DB2" w14:textId="77777777" w:rsidR="00E31D75" w:rsidRDefault="00E31D75" w:rsidP="00991121">
      <w:pPr>
        <w:spacing w:before="100" w:beforeAutospacing="1" w:after="100" w:afterAutospacing="1"/>
        <w:jc w:val="both"/>
        <w:rPr>
          <w:rFonts w:ascii="Times New Roman" w:hAnsi="Times New Roman" w:cs="Times New Roman"/>
          <w:b/>
          <w:sz w:val="24"/>
          <w:szCs w:val="24"/>
        </w:rPr>
      </w:pPr>
    </w:p>
    <w:p w14:paraId="6A792880" w14:textId="77777777" w:rsidR="00E31D75" w:rsidRDefault="00E31D75" w:rsidP="00991121">
      <w:pPr>
        <w:spacing w:before="100" w:beforeAutospacing="1" w:after="100" w:afterAutospacing="1"/>
        <w:jc w:val="both"/>
        <w:rPr>
          <w:rFonts w:ascii="Times New Roman" w:hAnsi="Times New Roman" w:cs="Times New Roman"/>
          <w:b/>
          <w:sz w:val="24"/>
          <w:szCs w:val="24"/>
        </w:rPr>
      </w:pPr>
    </w:p>
    <w:p w14:paraId="1B58A27C" w14:textId="77777777" w:rsidR="00E31D75" w:rsidRDefault="00E31D75" w:rsidP="00991121">
      <w:pPr>
        <w:spacing w:before="100" w:beforeAutospacing="1" w:after="100" w:afterAutospacing="1"/>
        <w:jc w:val="both"/>
        <w:rPr>
          <w:rFonts w:ascii="Times New Roman" w:hAnsi="Times New Roman" w:cs="Times New Roman"/>
          <w:b/>
          <w:bCs/>
          <w:sz w:val="24"/>
          <w:szCs w:val="24"/>
        </w:rPr>
      </w:pPr>
    </w:p>
    <w:p w14:paraId="5E390946" w14:textId="77777777" w:rsidR="00E31D75" w:rsidRDefault="00E31D75" w:rsidP="00991121">
      <w:pPr>
        <w:spacing w:before="100" w:beforeAutospacing="1" w:after="100" w:afterAutospacing="1"/>
        <w:jc w:val="both"/>
        <w:rPr>
          <w:rFonts w:ascii="Times New Roman" w:hAnsi="Times New Roman" w:cs="Times New Roman"/>
          <w:b/>
          <w:bCs/>
          <w:sz w:val="24"/>
          <w:szCs w:val="24"/>
        </w:rPr>
      </w:pPr>
    </w:p>
    <w:p w14:paraId="374D7036" w14:textId="77777777" w:rsidR="00E31D75" w:rsidRPr="00991121" w:rsidRDefault="00E31D75" w:rsidP="00991121">
      <w:pPr>
        <w:spacing w:before="100" w:beforeAutospacing="1" w:after="100" w:afterAutospacing="1"/>
        <w:jc w:val="both"/>
        <w:rPr>
          <w:rFonts w:ascii="Times New Roman" w:hAnsi="Times New Roman" w:cs="Times New Roman"/>
          <w:b/>
          <w:bCs/>
          <w:sz w:val="24"/>
          <w:szCs w:val="24"/>
        </w:rPr>
      </w:pPr>
    </w:p>
    <w:p w14:paraId="65833B4D" w14:textId="4AC7728E" w:rsidR="000D60BE" w:rsidRPr="000D60BE" w:rsidRDefault="000D60BE" w:rsidP="000D60BE">
      <w:pPr>
        <w:spacing w:line="360" w:lineRule="auto"/>
        <w:jc w:val="both"/>
        <w:rPr>
          <w:rFonts w:ascii="Times New Roman" w:hAnsi="Times New Roman" w:cs="Times New Roman"/>
          <w:b/>
          <w:bCs/>
          <w:sz w:val="28"/>
          <w:szCs w:val="28"/>
        </w:rPr>
      </w:pPr>
      <w:r w:rsidRPr="000D60BE">
        <w:rPr>
          <w:rFonts w:ascii="Times New Roman" w:hAnsi="Times New Roman" w:cs="Times New Roman"/>
          <w:b/>
          <w:bCs/>
          <w:sz w:val="28"/>
          <w:szCs w:val="28"/>
        </w:rPr>
        <w:lastRenderedPageBreak/>
        <w:t>Supplementary Table</w:t>
      </w:r>
      <w:r w:rsidR="004620B2">
        <w:rPr>
          <w:rFonts w:ascii="Times New Roman" w:hAnsi="Times New Roman" w:cs="Times New Roman"/>
          <w:b/>
          <w:bCs/>
          <w:sz w:val="28"/>
          <w:szCs w:val="28"/>
        </w:rPr>
        <w:t>s</w:t>
      </w:r>
    </w:p>
    <w:p w14:paraId="0EA5261E" w14:textId="77777777" w:rsidR="00672AB1" w:rsidRDefault="00672AB1" w:rsidP="004D29F9">
      <w:pPr>
        <w:jc w:val="both"/>
        <w:rPr>
          <w:rFonts w:ascii="Times New Roman" w:hAnsi="Times New Roman" w:cs="Times New Roman"/>
          <w:b/>
          <w:bCs/>
          <w:sz w:val="24"/>
          <w:szCs w:val="24"/>
        </w:rPr>
      </w:pPr>
      <w:r w:rsidRPr="00FA2A11">
        <w:rPr>
          <w:rFonts w:ascii="Times New Roman" w:hAnsi="Times New Roman" w:cs="Times New Roman"/>
          <w:b/>
          <w:bCs/>
          <w:sz w:val="24"/>
          <w:szCs w:val="24"/>
        </w:rPr>
        <w:t>Supplementary Table 1</w:t>
      </w:r>
    </w:p>
    <w:p w14:paraId="70B404CB" w14:textId="51088353" w:rsidR="00672AB1" w:rsidRPr="00991121" w:rsidRDefault="006B21F5" w:rsidP="00672AB1">
      <w:pPr>
        <w:jc w:val="both"/>
        <w:rPr>
          <w:rFonts w:ascii="Times New Roman" w:hAnsi="Times New Roman" w:cs="Times New Roman"/>
          <w:sz w:val="24"/>
          <w:szCs w:val="24"/>
        </w:rPr>
      </w:pPr>
      <w:r w:rsidRPr="006B21F5">
        <w:rPr>
          <w:rFonts w:ascii="Times New Roman" w:hAnsi="Times New Roman" w:cs="Times New Roman"/>
          <w:sz w:val="24"/>
          <w:szCs w:val="24"/>
        </w:rPr>
        <w:t>W-band spectral zenith profiler (WProf)</w:t>
      </w:r>
      <w:r>
        <w:rPr>
          <w:rFonts w:ascii="Times New Roman" w:hAnsi="Times New Roman" w:cs="Times New Roman"/>
          <w:sz w:val="24"/>
          <w:szCs w:val="24"/>
        </w:rPr>
        <w:t xml:space="preserve"> </w:t>
      </w:r>
      <w:r w:rsidR="00672AB1" w:rsidRPr="00991121">
        <w:rPr>
          <w:rFonts w:ascii="Times New Roman" w:hAnsi="Times New Roman" w:cs="Times New Roman"/>
          <w:sz w:val="24"/>
          <w:szCs w:val="24"/>
        </w:rPr>
        <w:t>properties and parameters. WProf uses three chirps, whose ranges are: chirp 0: 104-1,245 m, chirp 1: 1,267-4,191 m, chirp 2: 4,221-9,981 m.</w:t>
      </w:r>
    </w:p>
    <w:tbl>
      <w:tblPr>
        <w:tblStyle w:val="TableGrid"/>
        <w:tblW w:w="8278" w:type="dxa"/>
        <w:jc w:val="center"/>
        <w:tblBorders>
          <w:top w:val="none" w:sz="0" w:space="0" w:color="auto"/>
          <w:left w:val="none" w:sz="0" w:space="0" w:color="auto"/>
          <w:bottom w:val="none" w:sz="0" w:space="0" w:color="auto"/>
          <w:right w:val="none" w:sz="0" w:space="0" w:color="auto"/>
          <w:insideV w:val="none" w:sz="0" w:space="0" w:color="auto"/>
        </w:tblBorders>
        <w:shd w:val="clear" w:color="auto" w:fill="FFFFFF" w:themeFill="background1"/>
        <w:tblLook w:val="04A0" w:firstRow="1" w:lastRow="0" w:firstColumn="1" w:lastColumn="0" w:noHBand="0" w:noVBand="1"/>
      </w:tblPr>
      <w:tblGrid>
        <w:gridCol w:w="2665"/>
        <w:gridCol w:w="5613"/>
      </w:tblGrid>
      <w:tr w:rsidR="00AC088D" w:rsidRPr="00991121" w14:paraId="34C3B692" w14:textId="77777777" w:rsidTr="00932479">
        <w:trPr>
          <w:jc w:val="center"/>
        </w:trPr>
        <w:tc>
          <w:tcPr>
            <w:tcW w:w="2665" w:type="dxa"/>
            <w:shd w:val="clear" w:color="auto" w:fill="FFFFFF" w:themeFill="background1"/>
            <w:vAlign w:val="center"/>
          </w:tcPr>
          <w:p w14:paraId="4D2ACA2C" w14:textId="42F31A9F" w:rsidR="00F1331F" w:rsidRPr="00991121" w:rsidRDefault="008E70FD" w:rsidP="00991121">
            <w:pPr>
              <w:spacing w:line="360" w:lineRule="auto"/>
              <w:jc w:val="both"/>
              <w:rPr>
                <w:rFonts w:ascii="Times New Roman" w:hAnsi="Times New Roman" w:cs="Times New Roman"/>
                <w:sz w:val="24"/>
                <w:szCs w:val="24"/>
              </w:rPr>
            </w:pPr>
            <w:r w:rsidRPr="00991121">
              <w:rPr>
                <w:rFonts w:ascii="Times New Roman" w:hAnsi="Times New Roman" w:cs="Times New Roman"/>
                <w:sz w:val="24"/>
                <w:szCs w:val="24"/>
              </w:rPr>
              <w:t>Frequency (GHz)</w:t>
            </w:r>
          </w:p>
        </w:tc>
        <w:tc>
          <w:tcPr>
            <w:tcW w:w="5613" w:type="dxa"/>
            <w:shd w:val="clear" w:color="auto" w:fill="FFFFFF" w:themeFill="background1"/>
            <w:vAlign w:val="center"/>
          </w:tcPr>
          <w:p w14:paraId="567A816A" w14:textId="1E164EF8" w:rsidR="00F1331F" w:rsidRPr="00991121" w:rsidRDefault="008E70FD" w:rsidP="00991121">
            <w:pPr>
              <w:jc w:val="both"/>
              <w:rPr>
                <w:rFonts w:ascii="Times New Roman" w:hAnsi="Times New Roman" w:cs="Times New Roman"/>
                <w:sz w:val="24"/>
                <w:szCs w:val="24"/>
              </w:rPr>
            </w:pPr>
            <w:r w:rsidRPr="00991121">
              <w:rPr>
                <w:rFonts w:ascii="Times New Roman" w:hAnsi="Times New Roman" w:cs="Times New Roman"/>
                <w:sz w:val="24"/>
                <w:szCs w:val="24"/>
              </w:rPr>
              <w:t>94</w:t>
            </w:r>
          </w:p>
        </w:tc>
      </w:tr>
      <w:tr w:rsidR="00AC088D" w:rsidRPr="00991121" w14:paraId="38C8A62E" w14:textId="77777777" w:rsidTr="00932479">
        <w:trPr>
          <w:jc w:val="center"/>
        </w:trPr>
        <w:tc>
          <w:tcPr>
            <w:tcW w:w="2665" w:type="dxa"/>
            <w:shd w:val="clear" w:color="auto" w:fill="FFFFFF" w:themeFill="background1"/>
            <w:vAlign w:val="center"/>
          </w:tcPr>
          <w:p w14:paraId="533FCA91" w14:textId="7C86302D" w:rsidR="00F1331F" w:rsidRPr="00991121" w:rsidRDefault="00AC088D" w:rsidP="00991121">
            <w:pPr>
              <w:spacing w:line="360" w:lineRule="auto"/>
              <w:jc w:val="both"/>
              <w:rPr>
                <w:rFonts w:ascii="Times New Roman" w:hAnsi="Times New Roman" w:cs="Times New Roman"/>
                <w:sz w:val="24"/>
                <w:szCs w:val="24"/>
              </w:rPr>
            </w:pPr>
            <w:r w:rsidRPr="00991121">
              <w:rPr>
                <w:rFonts w:ascii="Times New Roman" w:hAnsi="Times New Roman" w:cs="Times New Roman"/>
                <w:sz w:val="24"/>
                <w:szCs w:val="24"/>
              </w:rPr>
              <w:t>Transmission</w:t>
            </w:r>
          </w:p>
        </w:tc>
        <w:tc>
          <w:tcPr>
            <w:tcW w:w="5613" w:type="dxa"/>
            <w:shd w:val="clear" w:color="auto" w:fill="FFFFFF" w:themeFill="background1"/>
            <w:vAlign w:val="center"/>
          </w:tcPr>
          <w:p w14:paraId="009A4152" w14:textId="49592E5C" w:rsidR="00F1331F" w:rsidRPr="00991121" w:rsidRDefault="008E70FD" w:rsidP="00991121">
            <w:pPr>
              <w:jc w:val="both"/>
              <w:rPr>
                <w:rFonts w:ascii="Times New Roman" w:hAnsi="Times New Roman" w:cs="Times New Roman"/>
                <w:sz w:val="24"/>
                <w:szCs w:val="24"/>
              </w:rPr>
            </w:pPr>
            <w:r w:rsidRPr="00991121">
              <w:rPr>
                <w:rFonts w:ascii="Times New Roman" w:hAnsi="Times New Roman" w:cs="Times New Roman"/>
                <w:sz w:val="24"/>
                <w:szCs w:val="24"/>
              </w:rPr>
              <w:t>Frequency-modulated continuous wave (FMCW)</w:t>
            </w:r>
          </w:p>
        </w:tc>
      </w:tr>
      <w:tr w:rsidR="00AC088D" w:rsidRPr="00991121" w14:paraId="5E95E429" w14:textId="77777777" w:rsidTr="00932479">
        <w:trPr>
          <w:jc w:val="center"/>
        </w:trPr>
        <w:tc>
          <w:tcPr>
            <w:tcW w:w="2665" w:type="dxa"/>
            <w:shd w:val="clear" w:color="auto" w:fill="FFFFFF" w:themeFill="background1"/>
            <w:vAlign w:val="center"/>
          </w:tcPr>
          <w:p w14:paraId="049BFFD1" w14:textId="0E6A48AD" w:rsidR="00F1331F" w:rsidRPr="00991121" w:rsidRDefault="00AC088D" w:rsidP="00991121">
            <w:pPr>
              <w:spacing w:line="360" w:lineRule="auto"/>
              <w:jc w:val="both"/>
              <w:rPr>
                <w:rFonts w:ascii="Times New Roman" w:hAnsi="Times New Roman" w:cs="Times New Roman"/>
                <w:sz w:val="24"/>
                <w:szCs w:val="24"/>
              </w:rPr>
            </w:pPr>
            <w:r w:rsidRPr="00991121">
              <w:rPr>
                <w:rFonts w:ascii="Times New Roman" w:hAnsi="Times New Roman" w:cs="Times New Roman"/>
                <w:sz w:val="24"/>
                <w:szCs w:val="24"/>
              </w:rPr>
              <w:t>3-dB beam width (</w:t>
            </w:r>
            <w:r w:rsidR="00B96A4D" w:rsidRPr="00991121">
              <w:rPr>
                <w:rFonts w:ascii="Times New Roman" w:hAnsi="Times New Roman" w:cs="Times New Roman"/>
                <w:sz w:val="24"/>
                <w:szCs w:val="24"/>
              </w:rPr>
              <w:t>°</w:t>
            </w:r>
            <w:r w:rsidRPr="00991121">
              <w:rPr>
                <w:rFonts w:ascii="Times New Roman" w:hAnsi="Times New Roman" w:cs="Times New Roman"/>
                <w:sz w:val="24"/>
                <w:szCs w:val="24"/>
              </w:rPr>
              <w:t>)</w:t>
            </w:r>
          </w:p>
        </w:tc>
        <w:tc>
          <w:tcPr>
            <w:tcW w:w="5613" w:type="dxa"/>
            <w:shd w:val="clear" w:color="auto" w:fill="FFFFFF" w:themeFill="background1"/>
            <w:vAlign w:val="center"/>
          </w:tcPr>
          <w:p w14:paraId="7BBEB796" w14:textId="52E0D738" w:rsidR="00F1331F" w:rsidRPr="00991121" w:rsidRDefault="00AC088D" w:rsidP="00991121">
            <w:pPr>
              <w:jc w:val="both"/>
              <w:rPr>
                <w:rFonts w:ascii="Times New Roman" w:hAnsi="Times New Roman" w:cs="Times New Roman"/>
                <w:sz w:val="24"/>
                <w:szCs w:val="24"/>
              </w:rPr>
            </w:pPr>
            <w:r w:rsidRPr="00991121">
              <w:rPr>
                <w:rFonts w:ascii="Times New Roman" w:hAnsi="Times New Roman" w:cs="Times New Roman"/>
                <w:sz w:val="24"/>
                <w:szCs w:val="24"/>
              </w:rPr>
              <w:t>0.53</w:t>
            </w:r>
          </w:p>
        </w:tc>
      </w:tr>
      <w:tr w:rsidR="00AC088D" w:rsidRPr="00991121" w14:paraId="6EF977F4" w14:textId="77777777" w:rsidTr="00932479">
        <w:trPr>
          <w:jc w:val="center"/>
        </w:trPr>
        <w:tc>
          <w:tcPr>
            <w:tcW w:w="2665" w:type="dxa"/>
            <w:shd w:val="clear" w:color="auto" w:fill="FFFFFF" w:themeFill="background1"/>
            <w:vAlign w:val="center"/>
          </w:tcPr>
          <w:p w14:paraId="375EDDAD" w14:textId="07E3D795" w:rsidR="00F1331F" w:rsidRPr="00991121" w:rsidRDefault="00AC088D" w:rsidP="00991121">
            <w:pPr>
              <w:spacing w:line="360" w:lineRule="auto"/>
              <w:jc w:val="both"/>
              <w:rPr>
                <w:rFonts w:ascii="Times New Roman" w:hAnsi="Times New Roman" w:cs="Times New Roman"/>
                <w:sz w:val="24"/>
                <w:szCs w:val="24"/>
              </w:rPr>
            </w:pPr>
            <w:r w:rsidRPr="00991121">
              <w:rPr>
                <w:rFonts w:ascii="Times New Roman" w:hAnsi="Times New Roman" w:cs="Times New Roman"/>
                <w:sz w:val="24"/>
                <w:szCs w:val="24"/>
              </w:rPr>
              <w:t>Time resolution (s)</w:t>
            </w:r>
          </w:p>
        </w:tc>
        <w:tc>
          <w:tcPr>
            <w:tcW w:w="5613" w:type="dxa"/>
            <w:shd w:val="clear" w:color="auto" w:fill="FFFFFF" w:themeFill="background1"/>
            <w:vAlign w:val="center"/>
          </w:tcPr>
          <w:p w14:paraId="2ED2FB25" w14:textId="1293D9A3" w:rsidR="00F1331F" w:rsidRPr="00991121" w:rsidRDefault="00AC088D" w:rsidP="00991121">
            <w:pPr>
              <w:jc w:val="both"/>
              <w:rPr>
                <w:rFonts w:ascii="Times New Roman" w:hAnsi="Times New Roman" w:cs="Times New Roman"/>
                <w:sz w:val="24"/>
                <w:szCs w:val="24"/>
              </w:rPr>
            </w:pPr>
            <w:r w:rsidRPr="00991121">
              <w:rPr>
                <w:rFonts w:ascii="Times New Roman" w:hAnsi="Times New Roman" w:cs="Times New Roman"/>
                <w:sz w:val="24"/>
                <w:szCs w:val="24"/>
              </w:rPr>
              <w:t>5</w:t>
            </w:r>
          </w:p>
        </w:tc>
      </w:tr>
      <w:tr w:rsidR="00F1331F" w:rsidRPr="00991121" w14:paraId="133A753B" w14:textId="77777777" w:rsidTr="00932479">
        <w:trPr>
          <w:jc w:val="center"/>
        </w:trPr>
        <w:tc>
          <w:tcPr>
            <w:tcW w:w="2665" w:type="dxa"/>
            <w:tcBorders>
              <w:bottom w:val="single" w:sz="4" w:space="0" w:color="auto"/>
            </w:tcBorders>
            <w:shd w:val="clear" w:color="auto" w:fill="FFFFFF" w:themeFill="background1"/>
            <w:vAlign w:val="center"/>
          </w:tcPr>
          <w:p w14:paraId="5C1E21B4" w14:textId="66D5B30D" w:rsidR="00F1331F" w:rsidRPr="00991121" w:rsidRDefault="00AC088D" w:rsidP="00991121">
            <w:pPr>
              <w:spacing w:line="360" w:lineRule="auto"/>
              <w:jc w:val="both"/>
              <w:rPr>
                <w:rFonts w:ascii="Times New Roman" w:hAnsi="Times New Roman" w:cs="Times New Roman"/>
                <w:sz w:val="24"/>
                <w:szCs w:val="24"/>
              </w:rPr>
            </w:pPr>
            <w:r w:rsidRPr="00991121">
              <w:rPr>
                <w:rFonts w:ascii="Times New Roman" w:hAnsi="Times New Roman" w:cs="Times New Roman"/>
                <w:sz w:val="24"/>
                <w:szCs w:val="24"/>
              </w:rPr>
              <w:t>Range resolution (m)</w:t>
            </w:r>
          </w:p>
        </w:tc>
        <w:tc>
          <w:tcPr>
            <w:tcW w:w="5613" w:type="dxa"/>
            <w:tcBorders>
              <w:bottom w:val="single" w:sz="4" w:space="0" w:color="auto"/>
            </w:tcBorders>
            <w:shd w:val="clear" w:color="auto" w:fill="FFFFFF" w:themeFill="background1"/>
            <w:vAlign w:val="center"/>
          </w:tcPr>
          <w:p w14:paraId="0AFFD27B" w14:textId="397DBE11" w:rsidR="00F1331F" w:rsidRPr="00991121" w:rsidRDefault="00AC088D" w:rsidP="00991121">
            <w:pPr>
              <w:jc w:val="both"/>
              <w:rPr>
                <w:rFonts w:ascii="Times New Roman" w:hAnsi="Times New Roman" w:cs="Times New Roman"/>
                <w:sz w:val="24"/>
                <w:szCs w:val="24"/>
              </w:rPr>
            </w:pPr>
            <w:r w:rsidRPr="00991121">
              <w:rPr>
                <w:rFonts w:ascii="Times New Roman" w:hAnsi="Times New Roman" w:cs="Times New Roman"/>
                <w:sz w:val="24"/>
                <w:szCs w:val="24"/>
              </w:rPr>
              <w:t>7.5 / 16 / 32</w:t>
            </w:r>
          </w:p>
        </w:tc>
      </w:tr>
      <w:tr w:rsidR="008E70FD" w:rsidRPr="00991121" w14:paraId="6115BE72" w14:textId="77777777" w:rsidTr="00932479">
        <w:trPr>
          <w:jc w:val="center"/>
        </w:trPr>
        <w:tc>
          <w:tcPr>
            <w:tcW w:w="2665" w:type="dxa"/>
            <w:tcBorders>
              <w:top w:val="single" w:sz="4" w:space="0" w:color="auto"/>
              <w:bottom w:val="single" w:sz="12" w:space="0" w:color="auto"/>
            </w:tcBorders>
            <w:shd w:val="clear" w:color="auto" w:fill="FFFFFF" w:themeFill="background1"/>
            <w:vAlign w:val="center"/>
          </w:tcPr>
          <w:p w14:paraId="5BF2B8EF" w14:textId="28295363" w:rsidR="008E70FD" w:rsidRPr="00991121" w:rsidRDefault="00AC088D" w:rsidP="00991121">
            <w:pPr>
              <w:spacing w:line="360" w:lineRule="auto"/>
              <w:jc w:val="both"/>
              <w:rPr>
                <w:rFonts w:ascii="Times New Roman" w:hAnsi="Times New Roman" w:cs="Times New Roman"/>
                <w:sz w:val="24"/>
                <w:szCs w:val="24"/>
              </w:rPr>
            </w:pPr>
            <w:r w:rsidRPr="00991121">
              <w:rPr>
                <w:rFonts w:ascii="Times New Roman" w:hAnsi="Times New Roman" w:cs="Times New Roman"/>
                <w:sz w:val="24"/>
                <w:szCs w:val="24"/>
              </w:rPr>
              <w:t>Nyquist velocity (m s</w:t>
            </w:r>
            <w:r w:rsidRPr="00991121">
              <w:rPr>
                <w:rFonts w:ascii="Times New Roman" w:hAnsi="Times New Roman" w:cs="Times New Roman"/>
                <w:sz w:val="24"/>
                <w:szCs w:val="24"/>
                <w:vertAlign w:val="superscript"/>
              </w:rPr>
              <w:t>−1</w:t>
            </w:r>
            <w:r w:rsidRPr="00991121">
              <w:rPr>
                <w:rFonts w:ascii="Times New Roman" w:hAnsi="Times New Roman" w:cs="Times New Roman"/>
                <w:sz w:val="24"/>
                <w:szCs w:val="24"/>
              </w:rPr>
              <w:t>)</w:t>
            </w:r>
          </w:p>
        </w:tc>
        <w:tc>
          <w:tcPr>
            <w:tcW w:w="5613" w:type="dxa"/>
            <w:tcBorders>
              <w:top w:val="single" w:sz="4" w:space="0" w:color="auto"/>
              <w:bottom w:val="single" w:sz="12" w:space="0" w:color="auto"/>
            </w:tcBorders>
            <w:shd w:val="clear" w:color="auto" w:fill="FFFFFF" w:themeFill="background1"/>
            <w:vAlign w:val="center"/>
          </w:tcPr>
          <w:p w14:paraId="09AD86B7" w14:textId="6F6AF5EE" w:rsidR="008E70FD" w:rsidRPr="00991121" w:rsidRDefault="00AC088D" w:rsidP="00991121">
            <w:pPr>
              <w:jc w:val="both"/>
              <w:rPr>
                <w:rFonts w:ascii="Times New Roman" w:hAnsi="Times New Roman" w:cs="Times New Roman"/>
                <w:sz w:val="24"/>
                <w:szCs w:val="24"/>
              </w:rPr>
            </w:pPr>
            <w:r w:rsidRPr="00991121">
              <w:rPr>
                <w:rFonts w:ascii="Times New Roman" w:hAnsi="Times New Roman" w:cs="Times New Roman"/>
                <w:sz w:val="24"/>
                <w:szCs w:val="24"/>
              </w:rPr>
              <w:t>10.8 / 6.92 / 3.3</w:t>
            </w:r>
          </w:p>
        </w:tc>
      </w:tr>
    </w:tbl>
    <w:p w14:paraId="73684980" w14:textId="5A580B35" w:rsidR="00196A9E" w:rsidRDefault="00196A9E" w:rsidP="00991121">
      <w:pPr>
        <w:spacing w:before="100" w:beforeAutospacing="1" w:after="100" w:afterAutospacing="1"/>
        <w:jc w:val="both"/>
        <w:rPr>
          <w:rFonts w:ascii="Times New Roman" w:hAnsi="Times New Roman" w:cs="Times New Roman"/>
          <w:sz w:val="24"/>
          <w:szCs w:val="24"/>
        </w:rPr>
      </w:pPr>
    </w:p>
    <w:p w14:paraId="22DED9D8" w14:textId="5A59EBC0" w:rsidR="00196A9E" w:rsidRDefault="00196A9E" w:rsidP="00196A9E">
      <w:pPr>
        <w:rPr>
          <w:rFonts w:ascii="Times New Roman" w:hAnsi="Times New Roman" w:cs="Times New Roman"/>
          <w:sz w:val="24"/>
          <w:szCs w:val="24"/>
        </w:rPr>
      </w:pPr>
      <w:r>
        <w:rPr>
          <w:rFonts w:ascii="Times New Roman" w:hAnsi="Times New Roman" w:cs="Times New Roman"/>
          <w:sz w:val="24"/>
          <w:szCs w:val="24"/>
        </w:rPr>
        <w:br w:type="page"/>
      </w:r>
    </w:p>
    <w:p w14:paraId="4A352D7E" w14:textId="1A743A3A" w:rsidR="001B083C" w:rsidRPr="002A548C" w:rsidRDefault="000D60BE" w:rsidP="002A548C">
      <w:pPr>
        <w:spacing w:line="360" w:lineRule="auto"/>
        <w:rPr>
          <w:rFonts w:ascii="Times New Roman" w:hAnsi="Times New Roman" w:cs="Times New Roman"/>
          <w:sz w:val="24"/>
          <w:szCs w:val="24"/>
        </w:rPr>
      </w:pPr>
      <w:r w:rsidRPr="000D60BE">
        <w:rPr>
          <w:rFonts w:ascii="Times New Roman" w:hAnsi="Times New Roman" w:cs="Times New Roman"/>
          <w:b/>
          <w:bCs/>
          <w:sz w:val="28"/>
          <w:szCs w:val="28"/>
        </w:rPr>
        <w:lastRenderedPageBreak/>
        <w:t xml:space="preserve">Supplementary </w:t>
      </w:r>
      <w:r>
        <w:rPr>
          <w:rFonts w:ascii="Times New Roman" w:hAnsi="Times New Roman" w:cs="Times New Roman"/>
          <w:b/>
          <w:bCs/>
          <w:sz w:val="28"/>
          <w:szCs w:val="28"/>
        </w:rPr>
        <w:t>Texts</w:t>
      </w:r>
    </w:p>
    <w:p w14:paraId="1527EAE5" w14:textId="7A977BAF" w:rsidR="000D60BE" w:rsidRPr="0030606D" w:rsidRDefault="000D60BE" w:rsidP="000D60BE">
      <w:pPr>
        <w:jc w:val="both"/>
        <w:rPr>
          <w:rFonts w:ascii="Times New Roman" w:hAnsi="Times New Roman" w:cs="Times New Roman"/>
          <w:b/>
          <w:bCs/>
          <w:sz w:val="24"/>
          <w:szCs w:val="24"/>
        </w:rPr>
      </w:pPr>
      <w:r w:rsidRPr="0030606D">
        <w:rPr>
          <w:rFonts w:ascii="Times New Roman" w:hAnsi="Times New Roman" w:cs="Times New Roman"/>
          <w:b/>
          <w:bCs/>
          <w:sz w:val="24"/>
          <w:szCs w:val="24"/>
        </w:rPr>
        <w:t xml:space="preserve">Supplementary Text </w:t>
      </w:r>
      <w:r w:rsidR="00AC1718">
        <w:rPr>
          <w:rFonts w:ascii="Times New Roman" w:hAnsi="Times New Roman" w:cs="Times New Roman"/>
          <w:b/>
          <w:bCs/>
          <w:sz w:val="24"/>
          <w:szCs w:val="24"/>
        </w:rPr>
        <w:t>1</w:t>
      </w:r>
      <w:r w:rsidRPr="0030606D">
        <w:rPr>
          <w:rFonts w:ascii="Times New Roman" w:hAnsi="Times New Roman" w:cs="Times New Roman"/>
          <w:b/>
          <w:bCs/>
          <w:sz w:val="24"/>
          <w:szCs w:val="24"/>
        </w:rPr>
        <w:t xml:space="preserve">: </w:t>
      </w:r>
      <w:r w:rsidRPr="0030606D">
        <w:rPr>
          <w:rFonts w:ascii="Times New Roman" w:hAnsi="Times New Roman" w:cs="Times New Roman"/>
          <w:sz w:val="24"/>
          <w:szCs w:val="24"/>
        </w:rPr>
        <w:t>Evaluation of INP concentrations and their effects on the cloud structure</w:t>
      </w:r>
    </w:p>
    <w:p w14:paraId="460A533B" w14:textId="790B8C08" w:rsidR="000D60BE" w:rsidRDefault="000D60BE" w:rsidP="00F30EFE">
      <w:pPr>
        <w:spacing w:before="120"/>
        <w:jc w:val="both"/>
        <w:rPr>
          <w:rFonts w:ascii="Times New Roman" w:hAnsi="Times New Roman" w:cs="Times New Roman"/>
          <w:sz w:val="24"/>
          <w:szCs w:val="24"/>
        </w:rPr>
      </w:pPr>
      <w:r w:rsidRPr="0030606D">
        <w:rPr>
          <w:rFonts w:ascii="Times New Roman" w:hAnsi="Times New Roman" w:cs="Times New Roman"/>
          <w:sz w:val="24"/>
          <w:szCs w:val="24"/>
        </w:rPr>
        <w:t xml:space="preserve">The default temperature-dependent scheme of </w:t>
      </w:r>
      <w:r w:rsidR="004D06E8">
        <w:rPr>
          <w:rFonts w:ascii="Times New Roman" w:hAnsi="Times New Roman" w:cs="Times New Roman"/>
          <w:sz w:val="24"/>
          <w:szCs w:val="24"/>
        </w:rPr>
        <w:t xml:space="preserve">the </w:t>
      </w:r>
      <w:r w:rsidRPr="0030606D">
        <w:rPr>
          <w:rFonts w:ascii="Times New Roman" w:hAnsi="Times New Roman" w:cs="Times New Roman"/>
          <w:sz w:val="24"/>
          <w:szCs w:val="24"/>
        </w:rPr>
        <w:t>W</w:t>
      </w:r>
      <w:r w:rsidR="004D06E8">
        <w:rPr>
          <w:rFonts w:ascii="Times New Roman" w:hAnsi="Times New Roman" w:cs="Times New Roman"/>
          <w:sz w:val="24"/>
          <w:szCs w:val="24"/>
        </w:rPr>
        <w:t xml:space="preserve">eather </w:t>
      </w:r>
      <w:r w:rsidRPr="0030606D">
        <w:rPr>
          <w:rFonts w:ascii="Times New Roman" w:hAnsi="Times New Roman" w:cs="Times New Roman"/>
          <w:sz w:val="24"/>
          <w:szCs w:val="24"/>
        </w:rPr>
        <w:t>R</w:t>
      </w:r>
      <w:r w:rsidR="004D06E8">
        <w:rPr>
          <w:rFonts w:ascii="Times New Roman" w:hAnsi="Times New Roman" w:cs="Times New Roman"/>
          <w:sz w:val="24"/>
          <w:szCs w:val="24"/>
        </w:rPr>
        <w:t xml:space="preserve">esearch and </w:t>
      </w:r>
      <w:r w:rsidRPr="0030606D">
        <w:rPr>
          <w:rFonts w:ascii="Times New Roman" w:hAnsi="Times New Roman" w:cs="Times New Roman"/>
          <w:sz w:val="24"/>
          <w:szCs w:val="24"/>
        </w:rPr>
        <w:t>F</w:t>
      </w:r>
      <w:r w:rsidR="004D06E8">
        <w:rPr>
          <w:rFonts w:ascii="Times New Roman" w:hAnsi="Times New Roman" w:cs="Times New Roman"/>
          <w:sz w:val="24"/>
          <w:szCs w:val="24"/>
        </w:rPr>
        <w:t>orecasting (WRF) model</w:t>
      </w:r>
      <w:r w:rsidRPr="0030606D">
        <w:rPr>
          <w:rFonts w:ascii="Times New Roman" w:hAnsi="Times New Roman" w:cs="Times New Roman"/>
          <w:sz w:val="24"/>
          <w:szCs w:val="24"/>
        </w:rPr>
        <w:t xml:space="preserve"> shows a gradual increase in simulated ICNCs, reaching peak concentrations exceeding 100 L</w:t>
      </w:r>
      <w:r w:rsidRPr="0030606D">
        <w:rPr>
          <w:rFonts w:ascii="Times New Roman" w:hAnsi="Times New Roman" w:cs="Times New Roman"/>
          <w:sz w:val="24"/>
          <w:szCs w:val="24"/>
          <w:vertAlign w:val="superscript"/>
        </w:rPr>
        <w:t>-1</w:t>
      </w:r>
      <w:r w:rsidRPr="0030606D">
        <w:rPr>
          <w:rFonts w:ascii="Times New Roman" w:hAnsi="Times New Roman" w:cs="Times New Roman"/>
          <w:sz w:val="24"/>
          <w:szCs w:val="24"/>
        </w:rPr>
        <w:t xml:space="preserve"> at temperatures below -30°C (Fig. 3a). However, when replacing the default </w:t>
      </w:r>
      <w:r w:rsidR="00FC0D31">
        <w:rPr>
          <w:rFonts w:ascii="Times New Roman" w:hAnsi="Times New Roman" w:cs="Times New Roman"/>
          <w:sz w:val="24"/>
          <w:szCs w:val="24"/>
        </w:rPr>
        <w:t>primary ice production</w:t>
      </w:r>
      <w:r w:rsidRPr="0030606D">
        <w:rPr>
          <w:rFonts w:ascii="Times New Roman" w:hAnsi="Times New Roman" w:cs="Times New Roman"/>
          <w:sz w:val="24"/>
          <w:szCs w:val="24"/>
        </w:rPr>
        <w:t xml:space="preserve"> parameterizations with the aerosol-aware scheme utilized in </w:t>
      </w:r>
      <w:r w:rsidR="00FC0D31">
        <w:rPr>
          <w:rFonts w:ascii="Times New Roman" w:hAnsi="Times New Roman" w:cs="Times New Roman"/>
          <w:sz w:val="24"/>
          <w:szCs w:val="24"/>
        </w:rPr>
        <w:t xml:space="preserve">the </w:t>
      </w:r>
      <w:r w:rsidRPr="0030606D">
        <w:rPr>
          <w:rFonts w:ascii="Times New Roman" w:hAnsi="Times New Roman" w:cs="Times New Roman"/>
          <w:sz w:val="24"/>
          <w:szCs w:val="24"/>
        </w:rPr>
        <w:t>DEMOTT</w:t>
      </w:r>
      <w:r w:rsidR="00DF6B3F">
        <w:rPr>
          <w:rFonts w:ascii="Times New Roman" w:hAnsi="Times New Roman" w:cs="Times New Roman"/>
          <w:sz w:val="24"/>
          <w:szCs w:val="24"/>
        </w:rPr>
        <w:t xml:space="preserve"> simulation</w:t>
      </w:r>
      <w:r w:rsidRPr="0030606D">
        <w:rPr>
          <w:rFonts w:ascii="Times New Roman" w:hAnsi="Times New Roman" w:cs="Times New Roman"/>
          <w:sz w:val="24"/>
          <w:szCs w:val="24"/>
        </w:rPr>
        <w:t xml:space="preserve">, the colder-temperature </w:t>
      </w:r>
      <w:r w:rsidR="00FC0D31">
        <w:rPr>
          <w:rFonts w:ascii="Times New Roman" w:hAnsi="Times New Roman" w:cs="Times New Roman"/>
          <w:sz w:val="24"/>
          <w:szCs w:val="24"/>
        </w:rPr>
        <w:t>ice crystal number concentrations (</w:t>
      </w:r>
      <w:r w:rsidRPr="0030606D">
        <w:rPr>
          <w:rFonts w:ascii="Times New Roman" w:hAnsi="Times New Roman" w:cs="Times New Roman"/>
          <w:sz w:val="24"/>
          <w:szCs w:val="24"/>
        </w:rPr>
        <w:t>ICNCs</w:t>
      </w:r>
      <w:r w:rsidR="00FC0D31">
        <w:rPr>
          <w:rFonts w:ascii="Times New Roman" w:hAnsi="Times New Roman" w:cs="Times New Roman"/>
          <w:sz w:val="24"/>
          <w:szCs w:val="24"/>
        </w:rPr>
        <w:t>)</w:t>
      </w:r>
      <w:r w:rsidRPr="0030606D">
        <w:rPr>
          <w:rFonts w:ascii="Times New Roman" w:hAnsi="Times New Roman" w:cs="Times New Roman"/>
          <w:sz w:val="24"/>
          <w:szCs w:val="24"/>
        </w:rPr>
        <w:t xml:space="preserve"> are reduced, with predicted values consistently remaining below 50 L</w:t>
      </w:r>
      <w:r w:rsidRPr="0030606D">
        <w:rPr>
          <w:rFonts w:ascii="Times New Roman" w:hAnsi="Times New Roman" w:cs="Times New Roman"/>
          <w:sz w:val="24"/>
          <w:szCs w:val="24"/>
          <w:vertAlign w:val="superscript"/>
        </w:rPr>
        <w:t>-1</w:t>
      </w:r>
      <w:r w:rsidRPr="0030606D">
        <w:rPr>
          <w:rFonts w:ascii="Times New Roman" w:hAnsi="Times New Roman" w:cs="Times New Roman"/>
          <w:sz w:val="24"/>
          <w:szCs w:val="24"/>
        </w:rPr>
        <w:t xml:space="preserve"> (Fig. 3b). It is worth noting here that the aerosol information used to constrain the Demott </w:t>
      </w:r>
      <w:r w:rsidRPr="0030606D">
        <w:rPr>
          <w:rFonts w:ascii="Times New Roman" w:hAnsi="Times New Roman" w:cs="Times New Roman"/>
          <w:sz w:val="24"/>
          <w:szCs w:val="24"/>
        </w:rPr>
        <w:fldChar w:fldCharType="begin" w:fldLock="1"/>
      </w:r>
      <w:r w:rsidR="008C5C64">
        <w:rPr>
          <w:rFonts w:ascii="Times New Roman" w:hAnsi="Times New Roman" w:cs="Times New Roman"/>
          <w:sz w:val="24"/>
          <w:szCs w:val="24"/>
        </w:rPr>
        <w:instrText>ADDIN CSL_CITATION {"citationItems":[{"id":"ITEM-1","itemData":{"DOI":"10.1073/pnas.0910818107","ISSN":"0027-8424","abstract":"Knowledge of cloud and precipitation formation processes remains incomplete, yet global precipitation is predominantly produced by clouds containing the ice phase. Ice first forms in clouds warmer than -36 degrees C on particles termed ice nuclei. We combine observations from field studies over a 14-year period, from a variety of locations around the globe, to show that the concentrations of ice nuclei active in mixed-phase cloud conditions can be related to temperature and the number concentrations of particles larger than 0.5 microm in diameter. This new relationship reduces unexplained variability in ice nuclei concentrations at a given temperature from approximately 10(3) to less than a factor of 10, with the remaining variability apparently due to variations in aerosol chemical composition or other factors. When implemented in a global climate model, the new parameterization strongly alters cloud liquid and ice water distributions compared to the simple, temperature-only parameterizations currently widely used. The revised treatment indicates a global net cloud radiative forcing increase of approximately 1 W m(-2) for each order of magnitude increase in ice nuclei concentrations, demonstrating the strong sensitivity of climate simulations to assumptions regarding the initiation of cloud glaciation.","author":[{"dropping-particle":"","family":"DeMott","given":"P. J.","non-dropping-particle":"","parse-names":false,"suffix":""},{"dropping-particle":"","family":"Prenni","given":"A. J.","non-dropping-particle":"","parse-names":false,"suffix":""},{"dropping-particle":"","family":"Liu","given":"X.","non-dropping-particle":"","parse-names":false,"suffix":""},{"dropping-particle":"","family":"Kreidenweis","given":"S. M.","non-dropping-particle":"","parse-names":false,"suffix":""},{"dropping-particle":"","family":"Petters","given":"M. D.","non-dropping-particle":"","parse-names":false,"suffix":""},{"dropping-particle":"","family":"Twohy","given":"C. H.","non-dropping-particle":"","parse-names":false,"suffix":""},{"dropping-particle":"","family":"Richardson","given":"M. S.","non-dropping-particle":"","parse-names":false,"suffix":""},{"dropping-particle":"","family":"Eidhammer","given":"T.","non-dropping-particle":"","parse-names":false,"suffix":""},{"dropping-particle":"","family":"Rogers","given":"D. C.","non-dropping-particle":"","parse-names":false,"suffix":""}],"container-title":"Proceedings of the National Academy of Sciences","id":"ITEM-1","issued":{"date-parts":[["2010"]]},"page":"11217-11222","title":"Predicting global atmospheric ice nuclei distributions and their impacts on climate","type":"article-journal","volume":"107"},"uris":["http://www.mendeley.com/documents/?uuid=a7a81f55-6117-4f4d-8305-fc51d7f824a6"]}],"mendeley":{"formattedCitation":"&lt;sup&gt;6&lt;/sup&gt;","plainTextFormattedCitation":"6","previouslyFormattedCitation":"&lt;sup&gt;6&lt;/sup&gt;"},"properties":{"noteIndex":0},"schema":"https://github.com/citation-style-language/schema/raw/master/csl-citation.json"}</w:instrText>
      </w:r>
      <w:r w:rsidRPr="0030606D">
        <w:rPr>
          <w:rFonts w:ascii="Times New Roman" w:hAnsi="Times New Roman" w:cs="Times New Roman"/>
          <w:sz w:val="24"/>
          <w:szCs w:val="24"/>
        </w:rPr>
        <w:fldChar w:fldCharType="separate"/>
      </w:r>
      <w:r w:rsidR="008C5C64" w:rsidRPr="008C5C64">
        <w:rPr>
          <w:rFonts w:ascii="Times New Roman" w:hAnsi="Times New Roman" w:cs="Times New Roman"/>
          <w:noProof/>
          <w:sz w:val="24"/>
          <w:szCs w:val="24"/>
          <w:vertAlign w:val="superscript"/>
        </w:rPr>
        <w:t>6</w:t>
      </w:r>
      <w:r w:rsidRPr="0030606D">
        <w:rPr>
          <w:rFonts w:ascii="Times New Roman" w:hAnsi="Times New Roman" w:cs="Times New Roman"/>
          <w:sz w:val="24"/>
          <w:szCs w:val="24"/>
        </w:rPr>
        <w:fldChar w:fldCharType="end"/>
      </w:r>
      <w:r w:rsidRPr="0030606D">
        <w:rPr>
          <w:rFonts w:ascii="Times New Roman" w:hAnsi="Times New Roman" w:cs="Times New Roman"/>
          <w:sz w:val="24"/>
          <w:szCs w:val="24"/>
        </w:rPr>
        <w:t xml:space="preserve"> parameterization was derived from the altitude of</w:t>
      </w:r>
      <w:r w:rsidR="008414A6">
        <w:rPr>
          <w:rFonts w:ascii="Times New Roman" w:hAnsi="Times New Roman" w:cs="Times New Roman"/>
          <w:sz w:val="24"/>
          <w:szCs w:val="24"/>
        </w:rPr>
        <w:t xml:space="preserve"> </w:t>
      </w:r>
      <w:r w:rsidR="008414A6" w:rsidRPr="008414A6">
        <w:rPr>
          <w:rFonts w:ascii="Times New Roman" w:hAnsi="Times New Roman" w:cs="Times New Roman"/>
          <w:sz w:val="24"/>
          <w:szCs w:val="24"/>
        </w:rPr>
        <w:t>Helmos Hellenic Atmospheric Aerosol and Climate Change</w:t>
      </w:r>
      <w:r w:rsidRPr="0030606D">
        <w:rPr>
          <w:rFonts w:ascii="Times New Roman" w:hAnsi="Times New Roman" w:cs="Times New Roman"/>
          <w:sz w:val="24"/>
          <w:szCs w:val="24"/>
        </w:rPr>
        <w:t xml:space="preserve"> (HAC)</w:t>
      </w:r>
      <w:r w:rsidRPr="0030606D">
        <w:rPr>
          <w:rFonts w:ascii="Times New Roman" w:hAnsi="Times New Roman" w:cs="Times New Roman"/>
          <w:sz w:val="24"/>
          <w:szCs w:val="24"/>
          <w:vertAlign w:val="superscript"/>
        </w:rPr>
        <w:t>2</w:t>
      </w:r>
      <w:r w:rsidRPr="0030606D">
        <w:rPr>
          <w:rFonts w:ascii="Times New Roman" w:hAnsi="Times New Roman" w:cs="Times New Roman"/>
          <w:sz w:val="24"/>
          <w:szCs w:val="24"/>
        </w:rPr>
        <w:t xml:space="preserve">, which is </w:t>
      </w:r>
      <w:r w:rsidRPr="0030606D">
        <w:rPr>
          <w:rFonts w:ascii="Cambria Math" w:hAnsi="Cambria Math" w:cs="Cambria Math"/>
          <w:sz w:val="24"/>
          <w:szCs w:val="24"/>
        </w:rPr>
        <w:t>∼</w:t>
      </w:r>
      <w:r w:rsidRPr="0030606D">
        <w:rPr>
          <w:rFonts w:ascii="Times New Roman" w:hAnsi="Times New Roman" w:cs="Times New Roman"/>
          <w:sz w:val="24"/>
          <w:szCs w:val="24"/>
        </w:rPr>
        <w:t xml:space="preserve">500 m higher than the VL station. Although this may lead to slight underestimations of the INPs at lower altitudes and, conversely, an </w:t>
      </w:r>
      <w:r w:rsidR="00FC0D31">
        <w:rPr>
          <w:rFonts w:ascii="Times New Roman" w:hAnsi="Times New Roman" w:cs="Times New Roman"/>
          <w:sz w:val="24"/>
          <w:szCs w:val="24"/>
        </w:rPr>
        <w:t>ice nucleating particle (</w:t>
      </w:r>
      <w:r w:rsidRPr="0030606D">
        <w:rPr>
          <w:rFonts w:ascii="Times New Roman" w:hAnsi="Times New Roman" w:cs="Times New Roman"/>
          <w:sz w:val="24"/>
          <w:szCs w:val="24"/>
        </w:rPr>
        <w:t>INP</w:t>
      </w:r>
      <w:r w:rsidR="00FC0D31">
        <w:rPr>
          <w:rFonts w:ascii="Times New Roman" w:hAnsi="Times New Roman" w:cs="Times New Roman"/>
          <w:sz w:val="24"/>
          <w:szCs w:val="24"/>
        </w:rPr>
        <w:t>)</w:t>
      </w:r>
      <w:r w:rsidRPr="0030606D">
        <w:rPr>
          <w:rFonts w:ascii="Times New Roman" w:hAnsi="Times New Roman" w:cs="Times New Roman"/>
          <w:sz w:val="24"/>
          <w:szCs w:val="24"/>
        </w:rPr>
        <w:t xml:space="preserve"> overestimation at altitudes above (HAC)</w:t>
      </w:r>
      <w:r w:rsidRPr="0030606D">
        <w:rPr>
          <w:rFonts w:ascii="Times New Roman" w:hAnsi="Times New Roman" w:cs="Times New Roman"/>
          <w:sz w:val="24"/>
          <w:szCs w:val="24"/>
          <w:vertAlign w:val="superscript"/>
        </w:rPr>
        <w:t>2</w:t>
      </w:r>
      <w:r w:rsidRPr="0030606D">
        <w:rPr>
          <w:rFonts w:ascii="Times New Roman" w:hAnsi="Times New Roman" w:cs="Times New Roman"/>
          <w:sz w:val="24"/>
          <w:szCs w:val="24"/>
        </w:rPr>
        <w:t xml:space="preserve">, DEMOTT still predicts much lower ICNCs than CONTROL at cold temperatures and provides a more realistic representation of the upper-level INPs. Reducing the predicted ICNCs increases the </w:t>
      </w:r>
      <w:r w:rsidR="00FC0D31">
        <w:rPr>
          <w:rFonts w:ascii="Times New Roman" w:hAnsi="Times New Roman" w:cs="Times New Roman"/>
          <w:sz w:val="24"/>
          <w:szCs w:val="24"/>
        </w:rPr>
        <w:t>liquid water content (</w:t>
      </w:r>
      <w:r w:rsidRPr="0030606D">
        <w:rPr>
          <w:rFonts w:ascii="Times New Roman" w:hAnsi="Times New Roman" w:cs="Times New Roman"/>
          <w:sz w:val="24"/>
          <w:szCs w:val="24"/>
        </w:rPr>
        <w:t>LWC</w:t>
      </w:r>
      <w:r w:rsidR="00FC0D31">
        <w:rPr>
          <w:rFonts w:ascii="Times New Roman" w:hAnsi="Times New Roman" w:cs="Times New Roman"/>
          <w:sz w:val="24"/>
          <w:szCs w:val="24"/>
        </w:rPr>
        <w:t>)</w:t>
      </w:r>
      <w:r w:rsidRPr="0030606D">
        <w:rPr>
          <w:rFonts w:ascii="Times New Roman" w:hAnsi="Times New Roman" w:cs="Times New Roman"/>
          <w:sz w:val="24"/>
          <w:szCs w:val="24"/>
        </w:rPr>
        <w:t xml:space="preserve"> present at temperatures below -20°C (Fig. 4b), which is non-existent for CONTROL (Fig. 4a). During the 3</w:t>
      </w:r>
      <w:r w:rsidRPr="0030606D">
        <w:rPr>
          <w:rFonts w:ascii="Times New Roman" w:hAnsi="Times New Roman" w:cs="Times New Roman"/>
          <w:sz w:val="24"/>
          <w:szCs w:val="24"/>
          <w:vertAlign w:val="superscript"/>
        </w:rPr>
        <w:t>rd</w:t>
      </w:r>
      <w:r w:rsidRPr="0030606D">
        <w:rPr>
          <w:rFonts w:ascii="Times New Roman" w:hAnsi="Times New Roman" w:cs="Times New Roman"/>
          <w:sz w:val="24"/>
          <w:szCs w:val="24"/>
        </w:rPr>
        <w:t xml:space="preserve"> cloud period, in the absence of seeding ice particles from above, higher ICNCs predicted by CONTROL lead to effective growth through riming and WBF, allowing for differential settling and justifying the enhanced aggregation rates compared to DEMOTT (Figs. 3a, b). An analysis of the 2D temperature histograms of PIP rates is provided in Supplementary Fig. 6.</w:t>
      </w:r>
    </w:p>
    <w:p w14:paraId="316B320A" w14:textId="77777777" w:rsidR="00224F42" w:rsidRDefault="00224F42" w:rsidP="00F30EFE">
      <w:pPr>
        <w:spacing w:before="120"/>
        <w:jc w:val="both"/>
        <w:rPr>
          <w:rFonts w:ascii="Times New Roman" w:hAnsi="Times New Roman" w:cs="Times New Roman"/>
          <w:sz w:val="24"/>
          <w:szCs w:val="24"/>
        </w:rPr>
      </w:pPr>
    </w:p>
    <w:p w14:paraId="42D98B76" w14:textId="77777777" w:rsidR="00AC1718" w:rsidRPr="00344D94" w:rsidRDefault="00AC1718" w:rsidP="00AC1718">
      <w:pPr>
        <w:jc w:val="both"/>
        <w:rPr>
          <w:rFonts w:ascii="Times New Roman" w:hAnsi="Times New Roman" w:cs="Times New Roman"/>
          <w:sz w:val="24"/>
          <w:szCs w:val="24"/>
        </w:rPr>
      </w:pPr>
      <w:r w:rsidRPr="00FA2A11">
        <w:rPr>
          <w:rFonts w:ascii="Times New Roman" w:hAnsi="Times New Roman" w:cs="Times New Roman"/>
          <w:b/>
          <w:bCs/>
          <w:sz w:val="24"/>
          <w:szCs w:val="24"/>
        </w:rPr>
        <w:t>Supplementary T</w:t>
      </w:r>
      <w:r>
        <w:rPr>
          <w:rFonts w:ascii="Times New Roman" w:hAnsi="Times New Roman" w:cs="Times New Roman"/>
          <w:b/>
          <w:bCs/>
          <w:sz w:val="24"/>
          <w:szCs w:val="24"/>
        </w:rPr>
        <w:t xml:space="preserve">ext 2: </w:t>
      </w:r>
      <w:r>
        <w:rPr>
          <w:rFonts w:ascii="Times New Roman" w:hAnsi="Times New Roman" w:cs="Times New Roman"/>
          <w:sz w:val="24"/>
          <w:szCs w:val="24"/>
        </w:rPr>
        <w:t>Modeling uncertainties during the low-level orographic cloud period</w:t>
      </w:r>
    </w:p>
    <w:p w14:paraId="2EC806BC" w14:textId="1AF35318" w:rsidR="00AC1718" w:rsidRDefault="00AC1718" w:rsidP="00AC1718">
      <w:pPr>
        <w:spacing w:before="120"/>
        <w:jc w:val="both"/>
        <w:rPr>
          <w:rFonts w:ascii="Times New Roman" w:hAnsi="Times New Roman" w:cs="Times New Roman"/>
          <w:color w:val="000000" w:themeColor="text1"/>
          <w:sz w:val="24"/>
          <w:szCs w:val="24"/>
        </w:rPr>
      </w:pPr>
      <w:r w:rsidRPr="00F30EFE">
        <w:rPr>
          <w:rFonts w:ascii="Times New Roman" w:hAnsi="Times New Roman" w:cs="Times New Roman"/>
          <w:color w:val="000000" w:themeColor="text1"/>
          <w:sz w:val="24"/>
          <w:szCs w:val="24"/>
        </w:rPr>
        <w:t>In the orographic cloud persisting after the passage of the seeder cloud</w:t>
      </w:r>
      <w:r>
        <w:rPr>
          <w:rFonts w:ascii="Times New Roman" w:hAnsi="Times New Roman" w:cs="Times New Roman"/>
          <w:color w:val="000000" w:themeColor="text1"/>
          <w:sz w:val="24"/>
          <w:szCs w:val="24"/>
        </w:rPr>
        <w:t xml:space="preserve"> (3</w:t>
      </w:r>
      <w:r w:rsidRPr="00344D94">
        <w:rPr>
          <w:rFonts w:ascii="Times New Roman" w:hAnsi="Times New Roman" w:cs="Times New Roman"/>
          <w:color w:val="000000" w:themeColor="text1"/>
          <w:sz w:val="24"/>
          <w:szCs w:val="24"/>
          <w:vertAlign w:val="superscript"/>
        </w:rPr>
        <w:t>rd</w:t>
      </w:r>
      <w:r>
        <w:rPr>
          <w:rFonts w:ascii="Times New Roman" w:hAnsi="Times New Roman" w:cs="Times New Roman"/>
          <w:color w:val="000000" w:themeColor="text1"/>
          <w:sz w:val="24"/>
          <w:szCs w:val="24"/>
        </w:rPr>
        <w:t xml:space="preserve"> turquoise box in Fig. 1a)</w:t>
      </w:r>
      <w:r w:rsidRPr="00F30EFE">
        <w:rPr>
          <w:rFonts w:ascii="Times New Roman" w:hAnsi="Times New Roman" w:cs="Times New Roman"/>
          <w:color w:val="000000" w:themeColor="text1"/>
          <w:sz w:val="24"/>
          <w:szCs w:val="24"/>
        </w:rPr>
        <w:t xml:space="preserve">, notable spikes of enhanced </w:t>
      </w:r>
      <w:r w:rsidRPr="00F30EFE">
        <w:rPr>
          <w:rFonts w:ascii="Times New Roman" w:hAnsi="Times New Roman" w:cs="Times New Roman"/>
          <w:i/>
          <w:iCs/>
          <w:color w:val="000000" w:themeColor="text1"/>
          <w:sz w:val="24"/>
          <w:szCs w:val="24"/>
        </w:rPr>
        <w:t>Ze</w:t>
      </w:r>
      <w:r w:rsidRPr="00F30EFE">
        <w:rPr>
          <w:rFonts w:ascii="Times New Roman" w:hAnsi="Times New Roman" w:cs="Times New Roman"/>
          <w:color w:val="000000" w:themeColor="text1"/>
          <w:sz w:val="24"/>
          <w:szCs w:val="24"/>
          <w:vertAlign w:val="subscript"/>
        </w:rPr>
        <w:t>w</w:t>
      </w:r>
      <w:r w:rsidRPr="00F30EFE">
        <w:rPr>
          <w:rFonts w:ascii="Times New Roman" w:hAnsi="Times New Roman" w:cs="Times New Roman"/>
          <w:color w:val="000000" w:themeColor="text1"/>
          <w:sz w:val="24"/>
          <w:szCs w:val="24"/>
        </w:rPr>
        <w:t xml:space="preserve"> are observed, which are not fully captured by the </w:t>
      </w:r>
      <w:r>
        <w:rPr>
          <w:rFonts w:ascii="Times New Roman" w:hAnsi="Times New Roman" w:cs="Times New Roman"/>
          <w:color w:val="000000" w:themeColor="text1"/>
          <w:sz w:val="24"/>
          <w:szCs w:val="24"/>
        </w:rPr>
        <w:t>simulation that accounts for ice multiplication, referred to as ALLSIP (</w:t>
      </w:r>
      <w:r w:rsidRPr="00F30EFE">
        <w:rPr>
          <w:rFonts w:ascii="Times New Roman" w:hAnsi="Times New Roman" w:cs="Times New Roman"/>
          <w:color w:val="000000" w:themeColor="text1"/>
          <w:sz w:val="24"/>
          <w:szCs w:val="24"/>
        </w:rPr>
        <w:t>Fig. 1d), but are comparatively better reproduced by the CONTROL and DEMOTT simulations (Figs. 1b, c). This is further supported by median profiles extracted from this period, wherein the predictions of the two simulations incorporating solely PIP parameterizations align more closely with the observations (</w:t>
      </w:r>
      <w:r w:rsidR="00FC2123">
        <w:rPr>
          <w:rFonts w:ascii="Times New Roman" w:hAnsi="Times New Roman" w:cs="Times New Roman"/>
          <w:color w:val="000000" w:themeColor="text1"/>
          <w:sz w:val="24"/>
          <w:szCs w:val="24"/>
        </w:rPr>
        <w:t xml:space="preserve">Supplementary </w:t>
      </w:r>
      <w:r w:rsidRPr="00F30EFE">
        <w:rPr>
          <w:rFonts w:ascii="Times New Roman" w:hAnsi="Times New Roman" w:cs="Times New Roman"/>
          <w:color w:val="000000" w:themeColor="text1"/>
          <w:sz w:val="24"/>
          <w:szCs w:val="24"/>
        </w:rPr>
        <w:t xml:space="preserve">Fig. </w:t>
      </w:r>
      <w:r w:rsidR="00FC2123">
        <w:rPr>
          <w:rFonts w:ascii="Times New Roman" w:hAnsi="Times New Roman" w:cs="Times New Roman"/>
          <w:color w:val="000000" w:themeColor="text1"/>
          <w:sz w:val="24"/>
          <w:szCs w:val="24"/>
        </w:rPr>
        <w:t>4</w:t>
      </w:r>
      <w:r w:rsidRPr="00F30EFE">
        <w:rPr>
          <w:rFonts w:ascii="Times New Roman" w:hAnsi="Times New Roman" w:cs="Times New Roman"/>
          <w:color w:val="000000" w:themeColor="text1"/>
          <w:sz w:val="24"/>
          <w:szCs w:val="24"/>
        </w:rPr>
        <w:t xml:space="preserve">). The inefficiency of the ALLSIP simulation in replicating the observed </w:t>
      </w:r>
      <w:r w:rsidRPr="00F30EFE">
        <w:rPr>
          <w:rFonts w:ascii="Times New Roman" w:hAnsi="Times New Roman" w:cs="Times New Roman"/>
          <w:i/>
          <w:iCs/>
          <w:color w:val="000000" w:themeColor="text1"/>
          <w:sz w:val="24"/>
          <w:szCs w:val="24"/>
        </w:rPr>
        <w:t>Ze</w:t>
      </w:r>
      <w:r w:rsidRPr="00F30EFE">
        <w:rPr>
          <w:rFonts w:ascii="Times New Roman" w:hAnsi="Times New Roman" w:cs="Times New Roman"/>
          <w:color w:val="000000" w:themeColor="text1"/>
          <w:sz w:val="24"/>
          <w:szCs w:val="24"/>
          <w:vertAlign w:val="subscript"/>
        </w:rPr>
        <w:t>w</w:t>
      </w:r>
      <w:r w:rsidRPr="00F30EFE">
        <w:rPr>
          <w:rFonts w:ascii="Times New Roman" w:hAnsi="Times New Roman" w:cs="Times New Roman"/>
          <w:color w:val="000000" w:themeColor="text1"/>
          <w:sz w:val="24"/>
          <w:szCs w:val="24"/>
        </w:rPr>
        <w:t xml:space="preserve"> spikes might stem from uncertainties in the representation of implemented </w:t>
      </w:r>
      <w:r>
        <w:rPr>
          <w:rFonts w:ascii="Times New Roman" w:hAnsi="Times New Roman" w:cs="Times New Roman"/>
          <w:color w:val="000000" w:themeColor="text1"/>
          <w:sz w:val="24"/>
          <w:szCs w:val="24"/>
        </w:rPr>
        <w:t>secondary ice production</w:t>
      </w:r>
      <w:r w:rsidRPr="00F30EFE">
        <w:rPr>
          <w:rFonts w:ascii="Times New Roman" w:hAnsi="Times New Roman" w:cs="Times New Roman"/>
          <w:color w:val="000000" w:themeColor="text1"/>
          <w:sz w:val="24"/>
          <w:szCs w:val="24"/>
        </w:rPr>
        <w:t xml:space="preserve"> mechanisms within the bulk microphysics framework. For instance,</w:t>
      </w:r>
      <w:r>
        <w:rPr>
          <w:rFonts w:ascii="Times New Roman" w:hAnsi="Times New Roman" w:cs="Times New Roman"/>
          <w:color w:val="000000" w:themeColor="text1"/>
          <w:sz w:val="24"/>
          <w:szCs w:val="24"/>
        </w:rPr>
        <w:t xml:space="preserve"> Sotiropoulou </w:t>
      </w:r>
      <w:r>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DOI":"10.1002/essoar.10512081.1","author":[{"dropping-particle":"","family":"Sotiropoulou","given":"Georgia","non-dropping-particle":"","parse-names":false,"suffix":""},{"dropping-particle":"","family":"Lewinschal","given":"Anna","non-dropping-particle":"","parse-names":false,"suffix":""},{"dropping-particle":"","family":"Georgakaki","given":"Paraskevi","non-dropping-particle":"","parse-names":false,"suffix":""},{"dropping-particle":"","family":"Phillips","given":"Vaughan","non-dropping-particle":"","parse-names":false,"suffix":""},{"dropping-particle":"","family":"Patade","given":"Sachine","non-dropping-particle":"","parse-names":false,"suffix":""},{"dropping-particle":"","family":"Ekman","given":"Annica M L","non-dropping-particle":"","parse-names":false,"suffix":""},{"dropping-particle":"","family":"Nenes","given":"Athanasios","non-dropping-particle":"","parse-names":false,"suffix":""}],"container-title":"Preprint on Authorea","id":"ITEM-1","issued":{"date-parts":[["2022"]]},"title":"Sensitivity of Arctic clouds to ice microphysical processes in the NorESM2 climate model","type":"article-journal"},"uris":["http://www.mendeley.com/documents/?uuid=055f2f5c-441a-402d-8ff8-b6aee9459365"]}],"mendeley":{"formattedCitation":"&lt;sup&gt;1&lt;/sup&gt;","plainTextFormattedCitation":"1","previouslyFormattedCitation":"&lt;sup&gt;1&lt;/sup&gt;"},"properties":{"noteIndex":0},"schema":"https://github.com/citation-style-language/schema/raw/master/csl-citation.json"}</w:instrText>
      </w:r>
      <w:r>
        <w:rPr>
          <w:rFonts w:ascii="Times New Roman" w:hAnsi="Times New Roman" w:cs="Times New Roman"/>
          <w:color w:val="000000" w:themeColor="text1"/>
          <w:sz w:val="24"/>
          <w:szCs w:val="24"/>
        </w:rPr>
        <w:fldChar w:fldCharType="separate"/>
      </w:r>
      <w:r w:rsidRPr="00FF53D0">
        <w:rPr>
          <w:rFonts w:ascii="Times New Roman" w:hAnsi="Times New Roman" w:cs="Times New Roman"/>
          <w:noProof/>
          <w:color w:val="000000" w:themeColor="text1"/>
          <w:sz w:val="24"/>
          <w:szCs w:val="24"/>
          <w:vertAlign w:val="superscript"/>
        </w:rPr>
        <w:t>1</w:t>
      </w:r>
      <w:r>
        <w:rPr>
          <w:rFonts w:ascii="Times New Roman" w:hAnsi="Times New Roman" w:cs="Times New Roman"/>
          <w:color w:val="000000" w:themeColor="text1"/>
          <w:sz w:val="24"/>
          <w:szCs w:val="24"/>
        </w:rPr>
        <w:fldChar w:fldCharType="end"/>
      </w:r>
      <w:r w:rsidRPr="00F30EFE">
        <w:rPr>
          <w:rFonts w:ascii="Times New Roman" w:hAnsi="Times New Roman" w:cs="Times New Roman"/>
          <w:color w:val="000000" w:themeColor="text1"/>
          <w:sz w:val="24"/>
          <w:szCs w:val="24"/>
        </w:rPr>
        <w:t xml:space="preserve"> found that adopting an emulated bin framework for </w:t>
      </w:r>
      <w:r>
        <w:rPr>
          <w:rFonts w:ascii="Times New Roman" w:hAnsi="Times New Roman" w:cs="Times New Roman"/>
          <w:color w:val="000000" w:themeColor="text1"/>
          <w:sz w:val="24"/>
          <w:szCs w:val="24"/>
        </w:rPr>
        <w:t>collisional break-up</w:t>
      </w:r>
      <w:r w:rsidRPr="00F30EFE">
        <w:rPr>
          <w:rFonts w:ascii="Times New Roman" w:hAnsi="Times New Roman" w:cs="Times New Roman"/>
          <w:color w:val="000000" w:themeColor="text1"/>
          <w:sz w:val="24"/>
          <w:szCs w:val="24"/>
        </w:rPr>
        <w:t xml:space="preserve"> and </w:t>
      </w:r>
      <w:r>
        <w:rPr>
          <w:rFonts w:ascii="Times New Roman" w:hAnsi="Times New Roman" w:cs="Times New Roman"/>
          <w:color w:val="000000" w:themeColor="text1"/>
          <w:sz w:val="24"/>
          <w:szCs w:val="24"/>
        </w:rPr>
        <w:t>droplet-shattering</w:t>
      </w:r>
      <w:r w:rsidRPr="00F30EFE">
        <w:rPr>
          <w:rFonts w:ascii="Times New Roman" w:hAnsi="Times New Roman" w:cs="Times New Roman"/>
          <w:color w:val="000000" w:themeColor="text1"/>
          <w:sz w:val="24"/>
          <w:szCs w:val="24"/>
        </w:rPr>
        <w:t xml:space="preserve"> could enhance simulated </w:t>
      </w:r>
      <w:r>
        <w:rPr>
          <w:rFonts w:ascii="Times New Roman" w:hAnsi="Times New Roman" w:cs="Times New Roman"/>
          <w:color w:val="000000" w:themeColor="text1"/>
          <w:sz w:val="24"/>
          <w:szCs w:val="24"/>
        </w:rPr>
        <w:t>ice multiplication</w:t>
      </w:r>
      <w:r w:rsidRPr="00F30EFE">
        <w:rPr>
          <w:rFonts w:ascii="Times New Roman" w:hAnsi="Times New Roman" w:cs="Times New Roman"/>
          <w:color w:val="000000" w:themeColor="text1"/>
          <w:sz w:val="24"/>
          <w:szCs w:val="24"/>
        </w:rPr>
        <w:t xml:space="preserve"> rates, albeit with increased computational demand. Given the prevailing stormy conditions during the case study (Supplementary Fig. 2c), various surface-based processes such as blowing snow or detachment of surface hoar frost </w:t>
      </w:r>
      <w:r w:rsidRPr="00F30EFE">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{"citationItems":[{"id":"ITEM-1","itemData":{"DOI":"10.5194/acp-18-8909-2018","ISSN":"16807324","abstract":"In situ cloud observations at mountain-top research stations regularly measure ice crystal number concentrations (ICNCs) orders of magnitudes higher than expected from measurements of ice nucleating particle (INP) concentrations. Thus, several studies suggest that mountain-top in situ cloud microphysical measurements are influenced by surface processes, e.g., blowing snow, hoar frost or riming on snow-covered trees, rocks and the snow surface. This limits the relevance of such measurements for the study of microphysical properties and processes in free-floating clouds. This study assesses the impact of surface processes on in situ cloud observations at the Sonnblick Observatory in the Hohen Tauern region, Austria. Vertical profiles of ICNCs above a snow-covered surface were observed up to a height of 10m. The ICNC decreases at least by a factor of 2 at 10m if the ICNC at the surface is larger than 100L-1. This decrease can be up to 1 order of magnitude during in-cloud conditions and reached its maximum of more than 2 orders of magnitudes when the station was not in cloud. For one case study, the ICNC for regular and irregular ice crystals showed a similar relative decrease with height. This suggests that either surface processes produce both irregular and regular ice crystals or other effects modify the ICNCs near the surface. Therefore, two near-surface processes are proposed to enrich ICNCs near the surface. Either sedimenting ice crystals are captured in a turbulent layer above the surface or the ICNC is enhanced in a convergence zone because the cloud is forced over a mountain. These two processes would also have an impact on ICNCs measured at mountain-top stations if the surrounding surface is not snow covered. Conclusively, this study strongly suggests that ICNCs measured at mountain-top stations are not representative of the properties of a cloud further away from the surface.","author":[{"dropping-particle":"","family":"Beck","given":"Alexander","non-dropping-particle":"","parse-names":false,"suffix":""},{"dropping-particle":"","family":"Henneberger","given":"Jan","non-dropping-particle":"","parse-names":false,"suffix":""},{"dropping-particle":"","family":"Fugal","given":"Jacob P.","non-dropping-particle":"","parse-names":false,"suffix":""},{"dropping-particle":"","family":"David","given":"Robert O.","non-dropping-particle":"","parse-names":false,"suffix":""},{"dropping-particle":"","family":"Lacher","given":"Larissa","non-dropping-particle":"","parse-names":false,"suffix":""},{"dropping-particle":"","family":"Lohmann","given":"Ulrike","non-dropping-particle":"","parse-names":false,"suffix":""}],"container-title":"Atmospheric Chemistry and Physics","id":"ITEM-1","issue":"12","issued":{"date-parts":[["2018"]]},"page":"8909-8927","title":"Impact of surface and near-surface processes on ice crystal concentrations measured at mountain-top research stations","type":"article-journal","volume":"18"},"uris":["http://www.mendeley.com/documents/?uuid=f5ebc229-eea1-41d2-9591-a2b8ef495efc"]}],"mendeley":{"formattedCitation":"&lt;sup&gt;2&lt;/sup&gt;","plainTextFormattedCitation":"2","previouslyFormattedCitation":"&lt;sup&gt;2&lt;/sup&gt;"},"properties":{"noteIndex":0},"schema":"https://github.com/citation-style-language/schema/raw/master/csl-citation.json"}</w:instrText>
      </w:r>
      <w:r w:rsidRPr="00F30EFE">
        <w:rPr>
          <w:rFonts w:ascii="Times New Roman" w:hAnsi="Times New Roman" w:cs="Times New Roman"/>
          <w:color w:val="000000" w:themeColor="text1"/>
          <w:sz w:val="24"/>
          <w:szCs w:val="24"/>
        </w:rPr>
        <w:fldChar w:fldCharType="separate"/>
      </w:r>
      <w:r w:rsidRPr="008C5C64">
        <w:rPr>
          <w:rFonts w:ascii="Times New Roman" w:hAnsi="Times New Roman" w:cs="Times New Roman"/>
          <w:noProof/>
          <w:color w:val="000000" w:themeColor="text1"/>
          <w:sz w:val="24"/>
          <w:szCs w:val="24"/>
          <w:vertAlign w:val="superscript"/>
        </w:rPr>
        <w:t>2</w:t>
      </w:r>
      <w:r w:rsidRPr="00F30EFE">
        <w:rPr>
          <w:rFonts w:ascii="Times New Roman" w:hAnsi="Times New Roman" w:cs="Times New Roman"/>
          <w:color w:val="000000" w:themeColor="text1"/>
          <w:sz w:val="24"/>
          <w:szCs w:val="24"/>
        </w:rPr>
        <w:fldChar w:fldCharType="end"/>
      </w:r>
      <w:r w:rsidRPr="00F30EFE">
        <w:rPr>
          <w:rFonts w:ascii="Times New Roman" w:hAnsi="Times New Roman" w:cs="Times New Roman"/>
          <w:color w:val="000000" w:themeColor="text1"/>
          <w:sz w:val="24"/>
          <w:szCs w:val="24"/>
        </w:rPr>
        <w:t xml:space="preserve"> could </w:t>
      </w:r>
      <w:r w:rsidRPr="00F30EFE">
        <w:rPr>
          <w:rFonts w:ascii="Times New Roman" w:hAnsi="Times New Roman" w:cs="Times New Roman"/>
          <w:color w:val="000000" w:themeColor="text1"/>
          <w:sz w:val="24"/>
          <w:szCs w:val="24"/>
        </w:rPr>
        <w:lastRenderedPageBreak/>
        <w:t xml:space="preserve">have potentially contributed to the observed instances of enhanced </w:t>
      </w:r>
      <w:r w:rsidRPr="00F30EFE">
        <w:rPr>
          <w:rFonts w:ascii="Times New Roman" w:hAnsi="Times New Roman" w:cs="Times New Roman"/>
          <w:i/>
          <w:iCs/>
          <w:color w:val="000000" w:themeColor="text1"/>
          <w:sz w:val="24"/>
          <w:szCs w:val="24"/>
        </w:rPr>
        <w:t>Ze</w:t>
      </w:r>
      <w:r w:rsidRPr="00F30EFE">
        <w:rPr>
          <w:rFonts w:ascii="Times New Roman" w:hAnsi="Times New Roman" w:cs="Times New Roman"/>
          <w:color w:val="000000" w:themeColor="text1"/>
          <w:sz w:val="24"/>
          <w:szCs w:val="24"/>
          <w:vertAlign w:val="subscript"/>
        </w:rPr>
        <w:t>w</w:t>
      </w:r>
      <w:r w:rsidRPr="00F30EFE">
        <w:rPr>
          <w:rFonts w:ascii="Times New Roman" w:hAnsi="Times New Roman" w:cs="Times New Roman"/>
          <w:color w:val="000000" w:themeColor="text1"/>
          <w:sz w:val="24"/>
          <w:szCs w:val="24"/>
        </w:rPr>
        <w:t xml:space="preserve"> close to the surface. Simplified methods to simulate such processes have been explored for orographic MPCs </w:t>
      </w:r>
      <w:r w:rsidRPr="00F30EFE">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{"citationItems":[{"id":"ITEM-1","itemData":{"DOI":"10.5194/acp-16-4945-2016","ISSN":"16807324","abstract":"This paper assesses the reasons for high ice number concentrations observed in orographic clouds by comparing in situ measurements from the Ice NUcleation Process Investigation And Quantification field campaign (INUPIAQ) at Jungfraujoch, Switzerland (3570ma.s.l.) with the Weather Research and Forecasting model (WRF) simulations over real terrain surrounding Jungfraujoch. During the 2014 winter field campaign, between 20 January and 28 February, the model simulations regularly underpredicted the observed ice number concentration by 103L-1. Previous literature has proposed several processes for the high ice number concentrations in orographic clouds, including an increased ice nucleating particle (INP) concentration, secondary ice multiplication and the advection of surface ice crystals into orographic clouds. We find that increasing INP concentrations in the model prevents the simulation of the mixed-phase clouds that were witnessed during the INUPIAQ campaign at Jungfraujoch. Additionally, the inclusion of secondary ice production upwind of Jungfraujoch into the WRF simulations cannot consistently produce enough ice splinters to match the observed concentrations. A flux of surface hoar crystals was included in the WRF model, which simulated ice concentrations comparable to the measured ice number concentrations, without depleting the liquid water content (LWC) simulated in the model. Our simulations therefore suggest that high ice concentrations observed in mixed-phase clouds at Jungfraujoch are caused by a flux of surface hoar crystals into the orographic clouds.","author":[{"dropping-particle":"","family":"Farrington","given":"Robert J.","non-dropping-particle":"","parse-names":false,"suffix":""},{"dropping-particle":"","family":"Connolly","given":"Paul J.","non-dropping-particle":"","parse-names":false,"suffix":""},{"dropping-particle":"","family":"Lloyd","given":"Gary","non-dropping-particle":"","parse-names":false,"suffix":""},{"dropping-particle":"","family":"Bower","given":"Keith N.","non-dropping-particle":"","parse-names":false,"suffix":""},{"dropping-particle":"","family":"Flynn","given":"Michael J.","non-dropping-particle":"","parse-names":false,"suffix":""},{"dropping-particle":"","family":"Gallagher","given":"Martin W.","non-dropping-particle":"","parse-names":false,"suffix":""},{"dropping-particle":"","family":"Field","given":"Paul R.","non-dropping-particle":"","parse-names":false,"suffix":""},{"dropping-particle":"","family":"Dearden","given":"Chris","non-dropping-particle":"","parse-names":false,"suffix":""},{"dropping-particle":"","family":"Choularton","given":"Thomas W.","non-dropping-particle":"","parse-names":false,"suffix":""}],"container-title":"Atmospheric Chemistry and Physics","id":"ITEM-1","issued":{"date-parts":[["2016"]]},"page":"4945-4966","title":"Comparing model and measured ice crystal concentrations in orographic clouds during the INUPIAQ campaign","type":"article-journal","volume":"16"},"uris":["http://www.mendeley.com/documents/?uuid=6aa97136-38ea-4c44-a93d-774d1d5bdd94"]},{"id":"ITEM-2","itemData":{"DOI":"10.1002/essoar.10512081.1","author":[{"dropping-particle":"","family":"Sotiropoulou","given":"Georgia","non-dropping-particle":"","parse-names":false,"suffix":""},{"dropping-particle":"","family":"Lewinschal","given":"Anna","non-dropping-particle":"","parse-names":false,"suffix":""},{"dropping-particle":"","family":"Georgakaki","given":"Paraskevi","non-dropping-particle":"","parse-names":false,"suffix":""},{"dropping-particle":"","family":"Phillips","given":"Vaughan","non-dropping-particle":"","parse-names":false,"suffix":""},{"dropping-particle":"","family":"Patade","given":"Sachine","non-dropping-particle":"","parse-names":false,"suffix":""},{"dropping-particle":"","family":"Ekman","given":"Annica M L","non-dropping-particle":"","parse-names":false,"suffix":""},{"dropping-particle":"","family":"Nenes","given":"Athanasios","non-dropping-particle":"","parse-names":false,"suffix":""}],"container-title":"Preprint on Authorea","id":"ITEM-2","issued":{"date-parts":[["2022"]]},"title":"Sensitivity of Arctic clouds to ice microphysical processes in the NorESM2 climate model","type":"article-journal"},"uris":["http://www.mendeley.com/documents/?uuid=055f2f5c-441a-402d-8ff8-b6aee9459365"]}],"mendeley":{"formattedCitation":"&lt;sup&gt;1,3&lt;/sup&gt;","plainTextFormattedCitation":"1,3","previouslyFormattedCitation":"&lt;sup&gt;1,3&lt;/sup&gt;"},"properties":{"noteIndex":0},"schema":"https://github.com/citation-style-language/schema/raw/master/csl-citation.json"}</w:instrText>
      </w:r>
      <w:r w:rsidRPr="00F30EFE">
        <w:rPr>
          <w:rFonts w:ascii="Times New Roman" w:hAnsi="Times New Roman" w:cs="Times New Roman"/>
          <w:color w:val="000000" w:themeColor="text1"/>
          <w:sz w:val="24"/>
          <w:szCs w:val="24"/>
        </w:rPr>
        <w:fldChar w:fldCharType="separate"/>
      </w:r>
      <w:r w:rsidRPr="008C5C64">
        <w:rPr>
          <w:rFonts w:ascii="Times New Roman" w:hAnsi="Times New Roman" w:cs="Times New Roman"/>
          <w:noProof/>
          <w:color w:val="000000" w:themeColor="text1"/>
          <w:sz w:val="24"/>
          <w:szCs w:val="24"/>
          <w:vertAlign w:val="superscript"/>
        </w:rPr>
        <w:t>1,3</w:t>
      </w:r>
      <w:r w:rsidRPr="00F30EFE">
        <w:rPr>
          <w:rFonts w:ascii="Times New Roman" w:hAnsi="Times New Roman" w:cs="Times New Roman"/>
          <w:color w:val="000000" w:themeColor="text1"/>
          <w:sz w:val="24"/>
          <w:szCs w:val="24"/>
        </w:rPr>
        <w:fldChar w:fldCharType="end"/>
      </w:r>
      <w:r w:rsidRPr="00F30EFE">
        <w:rPr>
          <w:rFonts w:ascii="Times New Roman" w:hAnsi="Times New Roman" w:cs="Times New Roman"/>
          <w:color w:val="000000" w:themeColor="text1"/>
          <w:sz w:val="24"/>
          <w:szCs w:val="24"/>
        </w:rPr>
        <w:t xml:space="preserve">, yet it would be intriguing to explore more sophisticated and advanced modeling frameworks </w:t>
      </w:r>
      <w:r w:rsidRPr="00F30EFE">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DOI":"10.1029/2022jd037744","ISSN":"2169-897X","author":[{"dropping-particle":"","family":"Gerber","given":"Franziska","non-dropping-particle":"","parse-names":false,"suffix":""},{"dropping-particle":"","family":"Sharma","given":"Varun","non-dropping-particle":"","parse-names":false,"suffix":""},{"dropping-particle":"","family":"Lehning","given":"Michael","non-dropping-particle":"","parse-names":false,"suffix":""}],"container-title":"Journal of Geophysical Research: Atmospheres","id":"ITEM-1","issue":"12","issued":{"date-parts":[["2023"]]},"page":"1-19","title":"CRYOWRF—Model Evaluation and the Effect of Blowing Snow on the Antarctic Surface Mass Balance","type":"article-journal","volume":"128"},"uris":["http://www.mendeley.com/documents/?uuid=8610fbf3-1096-4b3d-a17d-5b9c71e0a20d"]},{"id":"ITEM-2","itemData":{"DOI":"10.5194/gmd-16-719-2023","ISSN":"19919603","abstract":"Accurately simulating snow cover dynamics and the snow-atmosphere coupling is of major importance for topics as wide-ranging as water resources, natural hazards, and climate change impacts with consequences for sea level rise. We present a new modelling framework for atmospheric flow simulations for cryospheric regions called CRYOWRF. CRYOWRF couples the state-of-the-art and widely used atmospheric model WRF (the Weather Research and Forecasting model) with the detailed snow cover model SNOWPACK. CRYOWRF makes it feasible to simulate the dynamics of a large number of snow layers governed by grain-scale prognostic variables with online coupling to the atmosphere for multiscale simulations from the synoptic to the turbulent scales. Additionally, a new blowing snow scheme is introduced in CRYOWRF and is discussed in detail. CRYOWRF's technical design goals and model capabilities are described, and the performance costs are shown to compare favourably with existing land surface schemes. Three case studies showcasing envisaged use cases for CRYOWRF for polar ice sheets and alpine snowpacks are provided to equip potential users with templates for their research. Finally, the future roadmap for CRYOWRF's development and usage is discussed.","author":[{"dropping-particle":"","family":"Sharma","given":"Varun","non-dropping-particle":"","parse-names":false,"suffix":""},{"dropping-particle":"","family":"Gerber","given":"Franziska","non-dropping-particle":"","parse-names":false,"suffix":""},{"dropping-particle":"","family":"Lehning","given":"Michael","non-dropping-particle":"","parse-names":false,"suffix":""}],"container-title":"Geoscientific Model Development","id":"ITEM-2","issue":"2","issued":{"date-parts":[["2023"]]},"page":"719-749","title":"Introducing CRYOWRF v1.0: multiscale atmospheric flow simulations with advanced snow cover modelling","type":"article-journal","volume":"16"},"uris":["http://www.mendeley.com/documents/?uuid=38c95933-d53e-4531-8822-90dc106191c2"]}],"mendeley":{"formattedCitation":"&lt;sup&gt;4,5&lt;/sup&gt;","plainTextFormattedCitation":"4,5","previouslyFormattedCitation":"&lt;sup&gt;4,5&lt;/sup&gt;"},"properties":{"noteIndex":0},"schema":"https://github.com/citation-style-language/schema/raw/master/csl-citation.json"}</w:instrText>
      </w:r>
      <w:r w:rsidRPr="00F30EFE">
        <w:rPr>
          <w:rFonts w:ascii="Times New Roman" w:hAnsi="Times New Roman" w:cs="Times New Roman"/>
          <w:color w:val="000000" w:themeColor="text1"/>
          <w:sz w:val="24"/>
          <w:szCs w:val="24"/>
        </w:rPr>
        <w:fldChar w:fldCharType="separate"/>
      </w:r>
      <w:r w:rsidRPr="008C5C64">
        <w:rPr>
          <w:rFonts w:ascii="Times New Roman" w:hAnsi="Times New Roman" w:cs="Times New Roman"/>
          <w:noProof/>
          <w:color w:val="000000" w:themeColor="text1"/>
          <w:sz w:val="24"/>
          <w:szCs w:val="24"/>
          <w:vertAlign w:val="superscript"/>
        </w:rPr>
        <w:t>4,5</w:t>
      </w:r>
      <w:r w:rsidRPr="00F30EFE">
        <w:rPr>
          <w:rFonts w:ascii="Times New Roman" w:hAnsi="Times New Roman" w:cs="Times New Roman"/>
          <w:color w:val="000000" w:themeColor="text1"/>
          <w:sz w:val="24"/>
          <w:szCs w:val="24"/>
        </w:rPr>
        <w:fldChar w:fldCharType="end"/>
      </w:r>
      <w:r w:rsidRPr="00F30EFE">
        <w:rPr>
          <w:rFonts w:ascii="Times New Roman" w:hAnsi="Times New Roman" w:cs="Times New Roman"/>
          <w:color w:val="000000" w:themeColor="text1"/>
          <w:sz w:val="24"/>
          <w:szCs w:val="24"/>
        </w:rPr>
        <w:t>. To gain a deeper understanding of the microphysical processes involved, the subsequent analysis focuses on the results obtained from the WRF simulations.</w:t>
      </w:r>
    </w:p>
    <w:p w14:paraId="25B599C9" w14:textId="77777777" w:rsidR="00AC1718" w:rsidRPr="00196A9E" w:rsidRDefault="00AC1718" w:rsidP="00F30EFE">
      <w:pPr>
        <w:spacing w:before="120"/>
        <w:jc w:val="both"/>
        <w:rPr>
          <w:rFonts w:ascii="Times New Roman" w:hAnsi="Times New Roman" w:cs="Times New Roman"/>
          <w:sz w:val="24"/>
          <w:szCs w:val="24"/>
        </w:rPr>
      </w:pPr>
    </w:p>
    <w:p w14:paraId="459012BF" w14:textId="64EF3E1C" w:rsidR="000D60BE" w:rsidRPr="00A33B66" w:rsidRDefault="000D60BE" w:rsidP="000D60BE">
      <w:pPr>
        <w:jc w:val="both"/>
        <w:rPr>
          <w:rFonts w:ascii="Times New Roman" w:eastAsia="Times New Roman" w:hAnsi="Times New Roman" w:cs="Times New Roman"/>
          <w:kern w:val="32"/>
          <w:sz w:val="24"/>
          <w:szCs w:val="24"/>
        </w:rPr>
      </w:pPr>
      <w:r w:rsidRPr="005A7449">
        <w:rPr>
          <w:rFonts w:ascii="Times New Roman" w:eastAsia="Times New Roman" w:hAnsi="Times New Roman" w:cs="Times New Roman"/>
          <w:b/>
          <w:bCs/>
          <w:kern w:val="32"/>
          <w:sz w:val="24"/>
          <w:szCs w:val="24"/>
        </w:rPr>
        <w:t xml:space="preserve">Supplementary </w:t>
      </w:r>
      <w:r>
        <w:rPr>
          <w:rFonts w:ascii="Times New Roman" w:eastAsia="Times New Roman" w:hAnsi="Times New Roman" w:cs="Times New Roman"/>
          <w:b/>
          <w:bCs/>
          <w:kern w:val="32"/>
          <w:sz w:val="24"/>
          <w:szCs w:val="24"/>
        </w:rPr>
        <w:t>Text 3</w:t>
      </w:r>
      <w:r w:rsidR="00A33B66">
        <w:rPr>
          <w:rFonts w:ascii="Times New Roman" w:eastAsia="Times New Roman" w:hAnsi="Times New Roman" w:cs="Times New Roman"/>
          <w:b/>
          <w:bCs/>
          <w:kern w:val="32"/>
          <w:sz w:val="24"/>
          <w:szCs w:val="24"/>
        </w:rPr>
        <w:t xml:space="preserve">: </w:t>
      </w:r>
      <w:r w:rsidR="00A33B66">
        <w:rPr>
          <w:rFonts w:ascii="Times New Roman" w:eastAsia="Times New Roman" w:hAnsi="Times New Roman" w:cs="Times New Roman"/>
          <w:kern w:val="32"/>
          <w:sz w:val="24"/>
          <w:szCs w:val="24"/>
        </w:rPr>
        <w:t>Physics options employed in WRF</w:t>
      </w:r>
    </w:p>
    <w:p w14:paraId="432C0819" w14:textId="42970F1D" w:rsidR="000D60BE" w:rsidRDefault="000D60BE" w:rsidP="000D60BE">
      <w:pPr>
        <w:jc w:val="both"/>
        <w:rPr>
          <w:rFonts w:ascii="Times New Roman" w:hAnsi="Times New Roman" w:cs="Times New Roman"/>
          <w:sz w:val="24"/>
          <w:szCs w:val="24"/>
        </w:rPr>
      </w:pPr>
      <w:r w:rsidRPr="008F2D4A">
        <w:rPr>
          <w:rFonts w:ascii="Times New Roman" w:hAnsi="Times New Roman" w:cs="Times New Roman"/>
          <w:sz w:val="24"/>
          <w:szCs w:val="24"/>
        </w:rPr>
        <w:t>WRF is forced with initial and 6-hourly boundary conditions from the fifth generation of the European Centre for Medium-Range Weather Forecasts (ECMWF) atmospheric reanalyses dataset (ERA5)</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8C5C64">
        <w:rPr>
          <w:rFonts w:ascii="Times New Roman" w:hAnsi="Times New Roman" w:cs="Times New Roman"/>
          <w:sz w:val="24"/>
          <w:szCs w:val="24"/>
        </w:rPr>
        <w:instrText>ADDIN CSL_CITATION {"citationItems":[{"id":"ITEM-1","itemData":{"DOI":"10.1002/qj.3803","ISSN":"1477870X","abstract":"Within the Copernicus Climate Change Service (C3S), ECMWF is producing the ERA5 reanalysis which, once completed, will embody a detailed record of the global atmosphere, land surface and ocean waves from 1950 onwards. This new reanalysis replaces the ERA-Interim reanalysis (spanning 1979 onwards) which was started in 2006. ERA5 is based on the Integrated Forecasting System (IFS) Cy41r2 which was operational in 2016. ERA5 thus benefits from a decade of developments in model physics, core dynamics and data assimilation. In addition to a significantly enhanced horizontal resolution of 31 km, compared to 80 km for ERA-Interim, ERA5 has hourly output throughout, and an uncertainty estimate from an ensemble (3-hourly at half the horizontal resolution). This paper describes the general set-up of ERA5, as well as a basic evaluation of characteristics and performance, with a focus on the dataset from 1979 onwards which is currently publicly available. Re-forecasts from ERA5 analyses show a gain of up to one day in skill with respect to ERA-Interim. Comparison with radiosonde and PILOT data prior to assimilation shows an improved fit for temperature, wind and humidity in the troposphere, but not the stratosphere. A comparison with independent buoy data shows a much improved fit for ocean wave height. The uncertainty estimate reflects the evolution of the observing systems used in ERA5. The enhanced temporal and spatial resolution allows for a detailed evolution of weather systems. For precipitation, global-mean correlation with monthly-mean GPCP data is increased from 67% to 77%. In general, low-frequency variability is found to be well represented and from 10 hPa downwards general patterns of anomalies in temperature match those from the ERA-Interim, MERRA-2 and JRA-55 reanalyses.","author":[{"dropping-particle":"","family":"Hersbach","given":"Hans","non-dropping-particle":"","parse-names":false,"suffix":""},{"dropping-particle":"","family":"Bell","given":"Bill","non-dropping-particle":"","parse-names":false,"suffix":""},{"dropping-particle":"","family":"Berrisford","given":"Paul","non-dropping-particle":"","parse-names":false,"suffix":""},{"dropping-particle":"","family":"Hirahara","given":"Shoji","non-dropping-particle":"","parse-names":false,"suffix":""},{"dropping-particle":"","family":"Horányi","given":"András","non-dropping-particle":"","parse-names":false,"suffix":""},{"dropping-particle":"","family":"Muñoz-Sabater","given":"Joaquín","non-dropping-particle":"","parse-names":false,"suffix":""},{"dropping-particle":"","family":"Nicolas","given":"Julien","non-dropping-particle":"","parse-names":false,"suffix":""},{"dropping-particle":"","family":"Peubey","given":"Carole","non-dropping-particle":"","parse-names":false,"suffix":""},{"dropping-particle":"","family":"Radu","given":"Raluca","non-dropping-particle":"","parse-names":false,"suffix":""},{"dropping-particle":"","family":"Schepers","given":"Dinand","non-dropping-particle":"","parse-names":false,"suffix":""},{"dropping-particle":"","family":"Simmons","given":"Adrian","non-dropping-particle":"","parse-names":false,"suffix":""},{"dropping-particle":"","family":"Soci","given":"Cornel","non-dropping-particle":"","parse-names":false,"suffix":""},{"dropping-particle":"","family":"Abdalla","given":"Saleh","non-dropping-particle":"","parse-names":false,"suffix":""},{"dropping-particle":"","family":"Abellan","given":"Xavier","non-dropping-particle":"","parse-names":false,"suffix":""},{"dropping-particle":"","family":"Balsamo","given":"Gianpaolo","non-dropping-particle":"","parse-names":false,"suffix":""},{"dropping-particle":"","family":"Bechtold","given":"Peter","non-dropping-particle":"","parse-names":false,"suffix":""},{"dropping-particle":"","family":"Biavati","given":"Gionata","non-dropping-particle":"","parse-names":false,"suffix":""},{"dropping-particle":"","family":"Bidlot","given":"Jean","non-dropping-particle":"","parse-names":false,"suffix":""},{"dropping-particle":"","family":"Bonavita","given":"Massimo","non-dropping-particle":"","parse-names":false,"suffix":""},{"dropping-particle":"","family":"Chiara","given":"Giovanna","non-dropping-particle":"De","parse-names":false,"suffix":""},{"dropping-particle":"","family":"Dahlgren","given":"Per","non-dropping-particle":"","parse-names":false,"suffix":""},{"dropping-particle":"","family":"Dee","given":"Dick","non-dropping-particle":"","parse-names":false,"suffix":""},{"dropping-particle":"","family":"Diamantakis","given":"Michail","non-dropping-particle":"","parse-names":false,"suffix":""},{"dropping-particle":"","family":"Dragani","given":"Rossana","non-dropping-particle":"","parse-names":false,"suffix":""},{"dropping-particle":"","family":"Flemming","given":"Johannes","non-dropping-particle":"","parse-names":false,"suffix":""},{"dropping-particle":"","family":"Forbes","given":"Richard","non-dropping-particle":"","parse-names":false,"suffix":""},{"dropping-particle":"","family":"Fuentes","given":"Manuel","non-dropping-particle":"","parse-names":false,"suffix":""},{"dropping-particle":"","family":"Geer","given":"Alan","non-dropping-particle":"","parse-names":false,"suffix":""},{"dropping-particle":"","family":"Haimberger","given":"Leo","non-dropping-particle":"","parse-names":false,"suffix":""},{"dropping-particle":"","family":"Healy","given":"Sean","non-dropping-particle":"","parse-names":false,"suffix":""},{"dropping-particle":"","family":"Hogan","given":"Robin J.","non-dropping-particle":"","parse-names":false,"suffix":""},{"dropping-particle":"","family":"Hólm","given":"Elías","non-dropping-particle":"","parse-names":false,"suffix":""},{"dropping-particle":"","family":"Janisková","given":"Marta","non-dropping-particle":"","parse-names":false,"suffix":""},{"dropping-particle":"","family":"Keeley","given":"Sarah","non-dropping-particle":"","parse-names":false,"suffix":""},{"dropping-particle":"","family":"Laloyaux","given":"Patrick","non-dropping-particle":"","parse-names":false,"suffix":""},{"dropping-particle":"","family":"Lopez","given":"Philippe","non-dropping-particle":"","parse-names":false,"suffix":""},{"dropping-particle":"","family":"Lupu","given":"Cristina","non-dropping-particle":"","parse-names":false,"suffix":""},{"dropping-particle":"","family":"Radnoti","given":"Gabor","non-dropping-particle":"","parse-names":false,"suffix":""},{"dropping-particle":"","family":"Rosnay","given":"Patricia","non-dropping-particle":"de","parse-names":false,"suffix":""},{"dropping-particle":"","family":"Rozum","given":"Iryna","non-dropping-particle":"","parse-names":false,"suffix":""},{"dropping-particle":"","family":"Vamborg","given":"Freja","non-dropping-particle":"","parse-names":false,"suffix":""},{"dropping-particle":"","family":"Villaume","given":"Sebastien","non-dropping-particle":"","parse-names":false,"suffix":""},{"dropping-particle":"","family":"Thépaut","given":"Jean Noël","non-dropping-particle":"","parse-names":false,"suffix":""}],"container-title":"Quarterly Journal of the Royal Meteorological Society","id":"ITEM-1","issue":"730","issued":{"date-parts":[["2020"]]},"page":"1999-2049","title":"The ERA5 global reanalysis","type":"article-journal","volume":"146"},"uris":["http://www.mendeley.com/documents/?uuid=0b56fb56-a5df-49af-bc5d-3801a2b4a6d5"]}],"mendeley":{"formattedCitation":"&lt;sup&gt;7&lt;/sup&gt;","plainTextFormattedCitation":"7","previouslyFormattedCitation":"&lt;sup&gt;7&lt;/sup&gt;"},"properties":{"noteIndex":0},"schema":"https://github.com/citation-style-language/schema/raw/master/csl-citation.json"}</w:instrText>
      </w:r>
      <w:r>
        <w:rPr>
          <w:rFonts w:ascii="Times New Roman" w:hAnsi="Times New Roman" w:cs="Times New Roman"/>
          <w:sz w:val="24"/>
          <w:szCs w:val="24"/>
        </w:rPr>
        <w:fldChar w:fldCharType="separate"/>
      </w:r>
      <w:r w:rsidR="008C5C64" w:rsidRPr="008C5C64">
        <w:rPr>
          <w:rFonts w:ascii="Times New Roman" w:hAnsi="Times New Roman" w:cs="Times New Roman"/>
          <w:noProof/>
          <w:sz w:val="24"/>
          <w:szCs w:val="24"/>
          <w:vertAlign w:val="superscript"/>
        </w:rPr>
        <w:t>7</w:t>
      </w:r>
      <w:r>
        <w:rPr>
          <w:rFonts w:ascii="Times New Roman" w:hAnsi="Times New Roman" w:cs="Times New Roman"/>
          <w:sz w:val="24"/>
          <w:szCs w:val="24"/>
        </w:rPr>
        <w:fldChar w:fldCharType="end"/>
      </w:r>
      <w:r w:rsidRPr="008F2D4A">
        <w:rPr>
          <w:rFonts w:ascii="Times New Roman" w:hAnsi="Times New Roman" w:cs="Times New Roman"/>
          <w:sz w:val="24"/>
          <w:szCs w:val="24"/>
        </w:rPr>
        <w:t>. The use of high-resolution ERA5 data (0.36°) for initializing WRF has been found to outperform the near real-time Global Forecasting System (GFS) data from the National Centers for Environmental Protection (NCEP), which has a spatial resolution of 1° (not shown). The static fields at each model grid point, including topography and land use fields, were sourced from default WRF pre-processing system datasets with a resolution of 30’’. The land use categories were based on the Moderate Resolution Imaging Spectroradiometer (MODIS) land cover classification. In terms of physics options, we employed the Rapid Radiative Transfer Model for General Circulation Models (RRTMG) radiation scheme to parameterize both shortwave and long-wave radiative transfer. The planetary boundary layer (PBL) physics were represented using the non-local, first-order closure YSU (Yonsei University) scheme</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8C5C64">
        <w:rPr>
          <w:rFonts w:ascii="Times New Roman" w:hAnsi="Times New Roman" w:cs="Times New Roman"/>
          <w:sz w:val="24"/>
          <w:szCs w:val="24"/>
        </w:rPr>
        <w:instrText>ADDIN CSL_CITATION {"citationItems":[{"id":"ITEM-1","itemData":{"DOI":"10.1175/MWR3199.1","ISSN":"00270644","abstract":"This paper proposes a revised vertical diffusion package with a nonlocal turbulent mixing coefficient in the planetary boundary layer (PBL). Based on the study of Noh et al. and accumulated results of the behavior of the Hong and Pan algorithm, a revised vertical diffusion algorithm that is suitable for weather forecasting and climate prediction models is developed. The major ingredient of the revision is the inclusion of an explicit treatment of entrainment processes at the top of the PBL. The new diffusion package is called the Yonsei University PBL (YSU PBL). In a one-dimensional offline test framework, the revised scheme is found to improve several features compared with the Hong and Pan implementation. The YSU PBL increases boundary layer mixing in the thermally induced free convection regime and decreases it in the mechanically induced forced convection regime, which alleviates the well-known problems in the Medium-Range Forecast (MRF) PBL. Excessive mixing in the mixed layer in the presence of strong winds is resolved. Overly rapid growth of the PBL in the case of the Hong and Pan is also rectified. The scheme has been successfully implemented in the Weather Research and Forecast model producing a more realistic structure of the PBL and its development. In a case study of a frontal tornado outbreak, it is found that some systematic biases of the large-scale features such as an afternoon cold bias at 850 hPa in the MRF PBL are resolved. Consequently, the new scheme does a better job in reproducing the convective inhibition. Because the convective inhibition is accurately predicted, widespread light precipitation ahead of a front, in the case of the MRF PBL, is reduced. In the frontal region, the YSU PBL scheme improves some characteristics, such as a double line of intense convection. This is because the boundary layer from the YSU PBL scheme remains less diluted by entrainment leaving more fuel for severe convection when the front triggers it. © 2006 American Meteorological Society.","author":[{"dropping-particle":"","family":"Hong","given":"Song You","non-dropping-particle":"","parse-names":false,"suffix":""},{"dropping-particle":"","family":"Noh","given":"Yign","non-dropping-particle":"","parse-names":false,"suffix":""},{"dropping-particle":"","family":"Dudhia","given":"Jimy","non-dropping-particle":"","parse-names":false,"suffix":""}],"container-title":"Monthly Weather Review","id":"ITEM-1","issue":"9","issued":{"date-parts":[["2006"]]},"page":"2318-2341","title":"A new vertical diffusion package with an explicit treatment of entrainment processes","type":"article-journal","volume":"134"},"uris":["http://www.mendeley.com/documents/?uuid=0dfe1197-65d2-420c-a89f-32c8729c8453"]}],"mendeley":{"formattedCitation":"&lt;sup&gt;8&lt;/sup&gt;","plainTextFormattedCitation":"8","previouslyFormattedCitation":"&lt;sup&gt;8&lt;/sup&gt;"},"properties":{"noteIndex":0},"schema":"https://github.com/citation-style-language/schema/raw/master/csl-citation.json"}</w:instrText>
      </w:r>
      <w:r>
        <w:rPr>
          <w:rFonts w:ascii="Times New Roman" w:hAnsi="Times New Roman" w:cs="Times New Roman"/>
          <w:sz w:val="24"/>
          <w:szCs w:val="24"/>
        </w:rPr>
        <w:fldChar w:fldCharType="separate"/>
      </w:r>
      <w:r w:rsidR="008C5C64" w:rsidRPr="008C5C64">
        <w:rPr>
          <w:rFonts w:ascii="Times New Roman" w:hAnsi="Times New Roman" w:cs="Times New Roman"/>
          <w:noProof/>
          <w:sz w:val="24"/>
          <w:szCs w:val="24"/>
          <w:vertAlign w:val="superscript"/>
        </w:rPr>
        <w:t>8</w:t>
      </w:r>
      <w:r>
        <w:rPr>
          <w:rFonts w:ascii="Times New Roman" w:hAnsi="Times New Roman" w:cs="Times New Roman"/>
          <w:sz w:val="24"/>
          <w:szCs w:val="24"/>
        </w:rPr>
        <w:fldChar w:fldCharType="end"/>
      </w:r>
      <w:r w:rsidRPr="008F2D4A">
        <w:rPr>
          <w:rFonts w:ascii="Times New Roman" w:hAnsi="Times New Roman" w:cs="Times New Roman"/>
          <w:sz w:val="24"/>
          <w:szCs w:val="24"/>
        </w:rPr>
        <w:t>, coupled with its associated surface layer scheme. A sensitivity simulation revealed that YSU outperformed the local Mellor-Yamada-Janjić (MYJ</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8C5C64">
        <w:rPr>
          <w:rFonts w:ascii="Times New Roman" w:hAnsi="Times New Roman" w:cs="Times New Roman"/>
          <w:sz w:val="24"/>
          <w:szCs w:val="24"/>
        </w:rPr>
        <w:instrText>ADDIN CSL_CITATION {"citationItems":[{"id":"ITEM-1","itemData":{"author":[{"dropping-particle":"","family":"Janjić","given":"Zaviša I.","non-dropping-particle":"","parse-names":false,"suffix":""}],"container-title":"NOAA/NWS/NCEP office note 437","id":"ITEM-1","issued":{"date-parts":[["2002"]]},"page":"61 pp","title":"Nonsingular Implementation of the Mellor-Yamada Level 2.5 Scheme in the NCEP Meso model","type":"article-journal"},"uris":["http://www.mendeley.com/documents/?uuid=ef8f904a-e948-4589-ae3e-0cde813999e0"]}],"mendeley":{"formattedCitation":"&lt;sup&gt;9&lt;/sup&gt;","plainTextFormattedCitation":"9","previouslyFormattedCitation":"&lt;sup&gt;9&lt;/sup&gt;"},"properties":{"noteIndex":0},"schema":"https://github.com/citation-style-language/schema/raw/master/csl-citation.json"}</w:instrText>
      </w:r>
      <w:r>
        <w:rPr>
          <w:rFonts w:ascii="Times New Roman" w:hAnsi="Times New Roman" w:cs="Times New Roman"/>
          <w:sz w:val="24"/>
          <w:szCs w:val="24"/>
        </w:rPr>
        <w:fldChar w:fldCharType="separate"/>
      </w:r>
      <w:r w:rsidR="008C5C64" w:rsidRPr="008C5C64">
        <w:rPr>
          <w:rFonts w:ascii="Times New Roman" w:hAnsi="Times New Roman" w:cs="Times New Roman"/>
          <w:noProof/>
          <w:sz w:val="24"/>
          <w:szCs w:val="24"/>
          <w:vertAlign w:val="superscript"/>
        </w:rPr>
        <w:t>9</w:t>
      </w:r>
      <w:r>
        <w:rPr>
          <w:rFonts w:ascii="Times New Roman" w:hAnsi="Times New Roman" w:cs="Times New Roman"/>
          <w:sz w:val="24"/>
          <w:szCs w:val="24"/>
        </w:rPr>
        <w:fldChar w:fldCharType="end"/>
      </w:r>
      <w:r w:rsidRPr="008F2D4A">
        <w:rPr>
          <w:rFonts w:ascii="Times New Roman" w:hAnsi="Times New Roman" w:cs="Times New Roman"/>
          <w:sz w:val="24"/>
          <w:szCs w:val="24"/>
        </w:rPr>
        <w:t xml:space="preserve"> 1.5 order scheme (not shown) in terms of meteorological observations. Surface processes were modeled using the Noah land surface model (Noah LSM</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8C5C64">
        <w:rPr>
          <w:rFonts w:ascii="Times New Roman" w:hAnsi="Times New Roman" w:cs="Times New Roman"/>
          <w:sz w:val="24"/>
          <w:szCs w:val="24"/>
        </w:rPr>
        <w:instrText>ADDIN CSL_CITATION {"citationItems":[{"id":"ITEM-1","itemData":{"DOI":"10.1175/1520-0493(2001)129&lt;0569:CAALSH&gt;2.0.CO;2","ISSN":"00270644","abstract":"This paper addresses and documents a number of issues related to the implementation of an advanced land surface-hydrology model in the Penn State-NCAR fifth-generation Mesoscale Model (MM5). The concept adopted here is that the land surface model should be able to provide not only reasonable diurnal variations of surface heat fluxes as surface boundary conditions for coupled models, but also correct seasonal evolutions of soil moisture in the context of a long-term data assimilation system. In a similar way to that in which the modified Oregon State University land surface model (LSM) has been used in the NCEP global and regional forecast models, it is implemented in MM5 to facilitate the initialization of soil moisture. Also, 1-km resolution vegetation and soil texture maps are introduced in the coupled MM5-LSM system to help identify vegetation/water/soil characteristics at fine scales and capture the feedback of these land surface forcings. A monthly varying climatological 0.15° X 0.15° green vegetation fraction is utilized to represent the annual control of vegetation on the surface evaporation. Specification of various vegetation and soil parameters is discussed, and the available water capacity in the LSM is extended to account for subgrid-scale heterogeneity. The coupling of the LSM to MM5 is also sensitive to the treatment of the surface layer, especially the calculation of the roughness length for heat/moisture. Including the effect of the molecular sublayer can improve the simulation of surface heat flux. It is shown that the soil thermal and hydraulic conductivities and the surface energy balance are very sensitive to soil moisture changes. Hence, it is necessary to establish an appropriate soil moisture data assimilation system to improve the soil moisture initialization at fine scales.","author":[{"dropping-particle":"","family":"Chen","given":"F.","non-dropping-particle":"","parse-names":false,"suffix":""},{"dropping-particle":"","family":"Dudhia","given":"J.","non-dropping-particle":"","parse-names":false,"suffix":""}],"container-title":"Monthly Weather Review","id":"ITEM-1","issue":"4","issued":{"date-parts":[["2001"]]},"page":"569-585","title":"Coupling and advanced land surface-hydrology model with the Penn State-NCAR MM5 modeling system. Part I: Model implementation and sensitivity","type":"article-journal","volume":"129"},"uris":["http://www.mendeley.com/documents/?uuid=3e96678b-e9f0-42bc-97aa-ce5f30431876"]}],"mendeley":{"formattedCitation":"&lt;sup&gt;10&lt;/sup&gt;","plainTextFormattedCitation":"10","previouslyFormattedCitation":"&lt;sup&gt;10&lt;/sup&gt;"},"properties":{"noteIndex":0},"schema":"https://github.com/citation-style-language/schema/raw/master/csl-citation.json"}</w:instrText>
      </w:r>
      <w:r>
        <w:rPr>
          <w:rFonts w:ascii="Times New Roman" w:hAnsi="Times New Roman" w:cs="Times New Roman"/>
          <w:sz w:val="24"/>
          <w:szCs w:val="24"/>
        </w:rPr>
        <w:fldChar w:fldCharType="separate"/>
      </w:r>
      <w:r w:rsidR="008C5C64" w:rsidRPr="008C5C64">
        <w:rPr>
          <w:rFonts w:ascii="Times New Roman" w:hAnsi="Times New Roman" w:cs="Times New Roman"/>
          <w:noProof/>
          <w:sz w:val="24"/>
          <w:szCs w:val="24"/>
          <w:vertAlign w:val="superscript"/>
        </w:rPr>
        <w:t>10</w:t>
      </w:r>
      <w:r>
        <w:rPr>
          <w:rFonts w:ascii="Times New Roman" w:hAnsi="Times New Roman" w:cs="Times New Roman"/>
          <w:sz w:val="24"/>
          <w:szCs w:val="24"/>
        </w:rPr>
        <w:fldChar w:fldCharType="end"/>
      </w:r>
      <w:r w:rsidRPr="008F2D4A">
        <w:rPr>
          <w:rFonts w:ascii="Times New Roman" w:hAnsi="Times New Roman" w:cs="Times New Roman"/>
          <w:sz w:val="24"/>
          <w:szCs w:val="24"/>
        </w:rPr>
        <w:t>. The Kain-Fritsch cumulus parameterization was only activated in the 12-km resolution domain, as the resolution of the two nested domains was deemed sufficient to reasonably resolve cumulus cloud processes at the grid scale.</w:t>
      </w:r>
    </w:p>
    <w:p w14:paraId="5FC873F3" w14:textId="77777777" w:rsidR="00196A9E" w:rsidRDefault="00196A9E" w:rsidP="000D60BE">
      <w:pPr>
        <w:jc w:val="both"/>
        <w:rPr>
          <w:rFonts w:ascii="Times New Roman" w:hAnsi="Times New Roman" w:cs="Times New Roman"/>
          <w:sz w:val="24"/>
          <w:szCs w:val="24"/>
        </w:rPr>
      </w:pPr>
    </w:p>
    <w:p w14:paraId="751F15A9" w14:textId="57E26B1A" w:rsidR="001B083C" w:rsidRDefault="001B083C" w:rsidP="001B083C">
      <w:pPr>
        <w:jc w:val="both"/>
        <w:rPr>
          <w:rFonts w:ascii="Times New Roman" w:eastAsia="Times New Roman" w:hAnsi="Times New Roman" w:cs="Times New Roman"/>
          <w:b/>
          <w:bCs/>
          <w:kern w:val="32"/>
          <w:sz w:val="24"/>
          <w:szCs w:val="24"/>
        </w:rPr>
      </w:pPr>
      <w:r w:rsidRPr="005A7449">
        <w:rPr>
          <w:rFonts w:ascii="Times New Roman" w:eastAsia="Times New Roman" w:hAnsi="Times New Roman" w:cs="Times New Roman"/>
          <w:b/>
          <w:bCs/>
          <w:kern w:val="32"/>
          <w:sz w:val="24"/>
          <w:szCs w:val="24"/>
        </w:rPr>
        <w:t xml:space="preserve">Supplementary </w:t>
      </w:r>
      <w:r>
        <w:rPr>
          <w:rFonts w:ascii="Times New Roman" w:eastAsia="Times New Roman" w:hAnsi="Times New Roman" w:cs="Times New Roman"/>
          <w:b/>
          <w:bCs/>
          <w:kern w:val="32"/>
          <w:sz w:val="24"/>
          <w:szCs w:val="24"/>
        </w:rPr>
        <w:t>Text 4</w:t>
      </w:r>
      <w:r w:rsidR="00A33B66">
        <w:rPr>
          <w:rFonts w:ascii="Times New Roman" w:eastAsia="Times New Roman" w:hAnsi="Times New Roman" w:cs="Times New Roman"/>
          <w:b/>
          <w:bCs/>
          <w:kern w:val="32"/>
          <w:sz w:val="24"/>
          <w:szCs w:val="24"/>
        </w:rPr>
        <w:t xml:space="preserve">: </w:t>
      </w:r>
      <w:r w:rsidR="00A33B66" w:rsidRPr="00A33B66">
        <w:rPr>
          <w:rFonts w:ascii="Times New Roman" w:eastAsia="Times New Roman" w:hAnsi="Times New Roman" w:cs="Times New Roman"/>
          <w:kern w:val="32"/>
          <w:sz w:val="24"/>
          <w:szCs w:val="24"/>
        </w:rPr>
        <w:t>INP measurements at (HAC)</w:t>
      </w:r>
      <w:r w:rsidR="00A33B66" w:rsidRPr="00A33B66">
        <w:rPr>
          <w:rFonts w:ascii="Times New Roman" w:eastAsia="Times New Roman" w:hAnsi="Times New Roman" w:cs="Times New Roman"/>
          <w:kern w:val="32"/>
          <w:sz w:val="24"/>
          <w:szCs w:val="24"/>
          <w:vertAlign w:val="superscript"/>
        </w:rPr>
        <w:t>2</w:t>
      </w:r>
    </w:p>
    <w:p w14:paraId="62F9BEE6" w14:textId="1A3996CD" w:rsidR="00544342" w:rsidRDefault="001B083C" w:rsidP="00544342">
      <w:pPr>
        <w:jc w:val="both"/>
        <w:rPr>
          <w:rFonts w:ascii="Times New Roman" w:hAnsi="Times New Roman" w:cs="Times New Roman"/>
          <w:sz w:val="24"/>
          <w:szCs w:val="24"/>
        </w:rPr>
      </w:pPr>
      <w:r w:rsidRPr="00991121">
        <w:rPr>
          <w:rFonts w:ascii="Times New Roman" w:hAnsi="Times New Roman" w:cs="Times New Roman"/>
          <w:sz w:val="24"/>
          <w:szCs w:val="24"/>
        </w:rPr>
        <w:t>The Portable Ice Nucleation Experiment (PINE) is an innovative instrument designed for ice nucleation studies and long-term field observations of ice nucleating particles (INPs) across a wide temperature range. During the Cloud-AerosoL InteractionS in the Helmos background TropOsphere (CALISHTO) campaign, PINE was operated at the mountain-top site of (HAC)</w:t>
      </w:r>
      <w:r w:rsidRPr="00FC0D31">
        <w:rPr>
          <w:rFonts w:ascii="Times New Roman" w:hAnsi="Times New Roman" w:cs="Times New Roman"/>
          <w:sz w:val="24"/>
          <w:szCs w:val="24"/>
          <w:vertAlign w:val="superscript"/>
        </w:rPr>
        <w:t>2</w:t>
      </w:r>
      <w:r w:rsidRPr="00991121">
        <w:rPr>
          <w:rFonts w:ascii="Times New Roman" w:hAnsi="Times New Roman" w:cs="Times New Roman"/>
          <w:sz w:val="24"/>
          <w:szCs w:val="24"/>
        </w:rPr>
        <w:t xml:space="preserve">. PINE employs a pumped expansion principle to generate ice and water supersaturated conditions for testing the ice nucleation ability of aerosol particles. The instrument operates in repetitive cycles, involving the sampling of aerosol into a pre-cooled cloud chamber, activation of aerosol particles as supercooled droplets and ice crystals through the expansion of air inside the chamber, and subsequent refilling of the cloud chamber with fresh aerosol for the next cycle. A more detailed description of the </w:t>
      </w:r>
      <w:r w:rsidRPr="00991121">
        <w:rPr>
          <w:rFonts w:ascii="Times New Roman" w:hAnsi="Times New Roman" w:cs="Times New Roman"/>
          <w:sz w:val="24"/>
          <w:szCs w:val="24"/>
        </w:rPr>
        <w:lastRenderedPageBreak/>
        <w:t>PINE instrument can be found in</w:t>
      </w:r>
      <w:r w:rsidR="00DA3EFE">
        <w:rPr>
          <w:rFonts w:ascii="Times New Roman" w:hAnsi="Times New Roman" w:cs="Times New Roman"/>
          <w:sz w:val="24"/>
          <w:szCs w:val="24"/>
        </w:rPr>
        <w:t xml:space="preserve"> </w:t>
      </w:r>
      <w:r w:rsidR="008414A6">
        <w:rPr>
          <w:rFonts w:ascii="Times New Roman" w:hAnsi="Times New Roman" w:cs="Times New Roman"/>
          <w:sz w:val="24"/>
          <w:szCs w:val="24"/>
        </w:rPr>
        <w:fldChar w:fldCharType="begin" w:fldLock="1"/>
      </w:r>
      <w:r w:rsidR="00D26D22">
        <w:rPr>
          <w:rFonts w:ascii="Times New Roman" w:hAnsi="Times New Roman" w:cs="Times New Roman"/>
          <w:sz w:val="24"/>
          <w:szCs w:val="24"/>
        </w:rPr>
        <w:instrText>ADDIN CSL_CITATION {"citationItems":[{"id":"ITEM-1","itemData":{"DOI":"10.5194/amt-14-1143-2021","ISSN":"18678548","abstract":"Atmospheric ice-nucleating particles (INPs) play an important role in determining the phase of clouds, which affects their albedo and lifetime. A lack of data on the spatial and temporal variation of INPs around the globe limits our predictive capacity and understanding of clouds containing ice. Automated instrumentation that can robustly measure INP concentrations across the full range of tropospheric temperatures is needed in order to address this knowledge gap. In this study, we demonstrate the functionality and capacity of the new Portable Ice Nucleation Experiment (PINE) to study ice nucleation processes and to measure INP concentrations under conditions pertinent for mixed-phase clouds, with temperatures from about -10 to about -40 °C. PINE is a cloud expansion chamber which avoids frost formation on the cold walls and thereby omits frost fragmentation and related background ice signals during the operation. The development, working principle and treatment of data for the PINE instrument is discussed in detail. We present laboratory-based tests where PINE measurements were compared with those from the established AIDA (Aerosol Interaction and Dynamics in the Atmosphere) cloud chamber. Within experimental uncertainties, PINE agreed with AIDA for homogeneous freezing of pure water droplets and the immersion freezing activity of mineral aerosols. Results from a first field campaign conducted at the Atmospheric Radiation Measurement (ARM) Southern Great Plains (SGP) observatory in Oklahoma, USA, from 1 October to 14 November 2019 with the latest PINE design (a commercially available PINE chamber) are also shown, demonstrating PINE's ability to make automated field measurements of INP concentrations at a time resolution of about 8 min with continuous temperature scans for INP measurements between -10 and -30 °C. During this field campaign, PINE was continuously operated for 45 d in a fully automated and semi-autonomous way, demonstrating the capability of this new instrument to also be used for longer-term field measurements and INP monitoring activities in observatories.","author":[{"dropping-particle":"","family":"Möhler","given":"Ottmar","non-dropping-particle":"","parse-names":false,"suffix":""},{"dropping-particle":"","family":"Adams","given":"Michael","non-dropping-particle":"","parse-names":false,"suffix":""},{"dropping-particle":"","family":"Lacher","given":"Larissa","non-dropping-particle":"","parse-names":false,"suffix":""},{"dropping-particle":"","family":"Vogel","given":"Franziska","non-dropping-particle":"","parse-names":false,"suffix":""},{"dropping-particle":"","family":"Nadolny","given":"Jens","non-dropping-particle":"","parse-names":false,"suffix":""},{"dropping-particle":"","family":"Ullrich","given":"Romy","non-dropping-particle":"","parse-names":false,"suffix":""},{"dropping-particle":"","family":"Boffo","given":"Cristian","non-dropping-particle":"","parse-names":false,"suffix":""},{"dropping-particle":"","family":"Pfeuffer","given":"Tatjana","non-dropping-particle":"","parse-names":false,"suffix":""},{"dropping-particle":"","family":"Hobl","given":"Achim","non-dropping-particle":"","parse-names":false,"suffix":""},{"dropping-particle":"","family":"Weiß","given":"Maximilian","non-dropping-particle":"","parse-names":false,"suffix":""},{"dropping-particle":"","family":"Vepuri","given":"Hemanth S.K.","non-dropping-particle":"","parse-names":false,"suffix":""},{"dropping-particle":"","family":"Hiranuma","given":"Naruki","non-dropping-particle":"","parse-names":false,"suffix":""},{"dropping-particle":"","family":"Murray","given":"Benjamin J.","non-dropping-particle":"","parse-names":false,"suffix":""}],"container-title":"Atmospheric Measurement Techniques","id":"ITEM-1","issue":"2","issued":{"date-parts":[["2021"]]},"page":"1143-1166","title":"The Portable Ice Nucleation Experiment (PINE): A new online instrument for laboratory studies and automated long-term field observations of ice-nucleating particles","type":"article-journal","volume":"14"},"uris":["http://www.mendeley.com/documents/?uuid=fe13e916-1824-4e1d-8b8f-29145c443a51"]}],"mendeley":{"formattedCitation":"&lt;sup&gt;11&lt;/sup&gt;","plainTextFormattedCitation":"11","previouslyFormattedCitation":"&lt;sup&gt;11&lt;/sup&gt;"},"properties":{"noteIndex":0},"schema":"https://github.com/citation-style-language/schema/raw/master/csl-citation.json"}</w:instrText>
      </w:r>
      <w:r w:rsidR="008414A6">
        <w:rPr>
          <w:rFonts w:ascii="Times New Roman" w:hAnsi="Times New Roman" w:cs="Times New Roman"/>
          <w:sz w:val="24"/>
          <w:szCs w:val="24"/>
        </w:rPr>
        <w:fldChar w:fldCharType="separate"/>
      </w:r>
      <w:r w:rsidR="008414A6" w:rsidRPr="008414A6">
        <w:rPr>
          <w:rFonts w:ascii="Times New Roman" w:hAnsi="Times New Roman" w:cs="Times New Roman"/>
          <w:noProof/>
          <w:sz w:val="24"/>
          <w:szCs w:val="24"/>
          <w:vertAlign w:val="superscript"/>
        </w:rPr>
        <w:t>11</w:t>
      </w:r>
      <w:r w:rsidR="008414A6">
        <w:rPr>
          <w:rFonts w:ascii="Times New Roman" w:hAnsi="Times New Roman" w:cs="Times New Roman"/>
          <w:sz w:val="24"/>
          <w:szCs w:val="24"/>
        </w:rPr>
        <w:fldChar w:fldCharType="end"/>
      </w:r>
      <w:r w:rsidRPr="00991121">
        <w:rPr>
          <w:rFonts w:ascii="Times New Roman" w:hAnsi="Times New Roman" w:cs="Times New Roman"/>
          <w:sz w:val="24"/>
          <w:szCs w:val="24"/>
        </w:rPr>
        <w:t>. The INP measurements presented i</w:t>
      </w:r>
      <w:r w:rsidR="00D1288E">
        <w:rPr>
          <w:rFonts w:ascii="Times New Roman" w:hAnsi="Times New Roman" w:cs="Times New Roman"/>
          <w:sz w:val="24"/>
          <w:szCs w:val="24"/>
        </w:rPr>
        <w:t>n Complementary Fig.</w:t>
      </w:r>
      <w:r w:rsidRPr="00991121">
        <w:rPr>
          <w:rFonts w:ascii="Times New Roman" w:hAnsi="Times New Roman" w:cs="Times New Roman"/>
          <w:sz w:val="24"/>
          <w:szCs w:val="24"/>
        </w:rPr>
        <w:t xml:space="preserve"> </w:t>
      </w:r>
      <w:r w:rsidR="00D1288E">
        <w:rPr>
          <w:rFonts w:ascii="Times New Roman" w:hAnsi="Times New Roman" w:cs="Times New Roman"/>
          <w:sz w:val="24"/>
          <w:szCs w:val="24"/>
        </w:rPr>
        <w:t>10a</w:t>
      </w:r>
      <w:r w:rsidRPr="00991121">
        <w:rPr>
          <w:rFonts w:ascii="Times New Roman" w:hAnsi="Times New Roman" w:cs="Times New Roman"/>
          <w:sz w:val="24"/>
          <w:szCs w:val="24"/>
        </w:rPr>
        <w:t xml:space="preserve"> correspond to the period spanning one month, from the end of October to the end of November 2021.</w:t>
      </w:r>
      <w:r w:rsidR="00544342">
        <w:rPr>
          <w:rFonts w:ascii="Times New Roman" w:hAnsi="Times New Roman" w:cs="Times New Roman"/>
          <w:sz w:val="24"/>
          <w:szCs w:val="24"/>
        </w:rPr>
        <w:br w:type="page"/>
      </w:r>
    </w:p>
    <w:p w14:paraId="548C88BC" w14:textId="4EBC239C" w:rsidR="00196A9E" w:rsidRPr="00544342" w:rsidRDefault="001B083C" w:rsidP="00544342">
      <w:pPr>
        <w:rPr>
          <w:rFonts w:ascii="Times New Roman" w:hAnsi="Times New Roman" w:cs="Times New Roman"/>
          <w:sz w:val="24"/>
          <w:szCs w:val="24"/>
        </w:rPr>
      </w:pPr>
      <w:r w:rsidRPr="000D60BE">
        <w:rPr>
          <w:rFonts w:ascii="Times New Roman" w:hAnsi="Times New Roman" w:cs="Times New Roman"/>
          <w:b/>
          <w:bCs/>
          <w:sz w:val="28"/>
          <w:szCs w:val="28"/>
        </w:rPr>
        <w:lastRenderedPageBreak/>
        <w:t xml:space="preserve">Supplementary </w:t>
      </w:r>
      <w:r>
        <w:rPr>
          <w:rFonts w:ascii="Times New Roman" w:hAnsi="Times New Roman" w:cs="Times New Roman"/>
          <w:b/>
          <w:bCs/>
          <w:sz w:val="28"/>
          <w:szCs w:val="28"/>
        </w:rPr>
        <w:t>Figures</w:t>
      </w:r>
    </w:p>
    <w:p w14:paraId="4080CDEA" w14:textId="77777777" w:rsidR="006A44D3" w:rsidRPr="00991121" w:rsidRDefault="006A44D3" w:rsidP="006A44D3">
      <w:pPr>
        <w:keepNext/>
        <w:jc w:val="center"/>
        <w:rPr>
          <w:rFonts w:ascii="Times New Roman" w:hAnsi="Times New Roman" w:cs="Times New Roman"/>
          <w:sz w:val="24"/>
          <w:szCs w:val="24"/>
        </w:rPr>
      </w:pPr>
      <w:r w:rsidRPr="00991121">
        <w:rPr>
          <w:rFonts w:ascii="Times New Roman" w:hAnsi="Times New Roman" w:cs="Times New Roman"/>
          <w:noProof/>
          <w:sz w:val="24"/>
          <w:szCs w:val="24"/>
        </w:rPr>
        <w:drawing>
          <wp:inline distT="0" distB="0" distL="0" distR="0" wp14:anchorId="44DFEF21" wp14:editId="5DE59BAE">
            <wp:extent cx="5490210" cy="2568575"/>
            <wp:effectExtent l="0" t="0" r="0" b="0"/>
            <wp:docPr id="1598552682" name="Picture 1" descr="A graph with blue and green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552682" name="Picture 1" descr="A graph with blue and green lines&#10;&#10;Description automatically generated"/>
                    <pic:cNvPicPr/>
                  </pic:nvPicPr>
                  <pic:blipFill>
                    <a:blip r:embed="rId9">
                      <a:extLst>
                        <a:ext uri="{28A0092B-C50C-407E-A947-70E740481C1C}">
                          <a14:useLocalDpi xmlns:a14="http://schemas.microsoft.com/office/drawing/2010/main"/>
                        </a:ext>
                      </a:extLst>
                    </a:blip>
                    <a:stretch>
                      <a:fillRect/>
                    </a:stretch>
                  </pic:blipFill>
                  <pic:spPr>
                    <a:xfrm>
                      <a:off x="0" y="0"/>
                      <a:ext cx="5490210" cy="2568575"/>
                    </a:xfrm>
                    <a:prstGeom prst="rect">
                      <a:avLst/>
                    </a:prstGeom>
                  </pic:spPr>
                </pic:pic>
              </a:graphicData>
            </a:graphic>
          </wp:inline>
        </w:drawing>
      </w:r>
    </w:p>
    <w:p w14:paraId="61A2E039" w14:textId="3F6563B6" w:rsidR="006A44D3" w:rsidRDefault="006A44D3" w:rsidP="00991121">
      <w:pPr>
        <w:spacing w:before="100" w:beforeAutospacing="1" w:after="100" w:afterAutospacing="1"/>
        <w:jc w:val="both"/>
        <w:rPr>
          <w:rFonts w:ascii="Times New Roman" w:hAnsi="Times New Roman" w:cs="Times New Roman"/>
          <w:sz w:val="24"/>
          <w:szCs w:val="24"/>
        </w:rPr>
      </w:pPr>
      <w:r w:rsidRPr="00E01F67">
        <w:rPr>
          <w:rFonts w:ascii="Times New Roman" w:hAnsi="Times New Roman" w:cs="Times New Roman"/>
          <w:b/>
          <w:bCs/>
          <w:sz w:val="24"/>
          <w:szCs w:val="24"/>
        </w:rPr>
        <w:t xml:space="preserve">Supplementary Figure </w:t>
      </w:r>
      <w:r>
        <w:rPr>
          <w:rFonts w:ascii="Times New Roman" w:hAnsi="Times New Roman" w:cs="Times New Roman"/>
          <w:b/>
          <w:bCs/>
          <w:sz w:val="24"/>
          <w:szCs w:val="24"/>
        </w:rPr>
        <w:t>1</w:t>
      </w:r>
      <w:r w:rsidRPr="00E01F67">
        <w:rPr>
          <w:rFonts w:ascii="Times New Roman" w:hAnsi="Times New Roman" w:cs="Times New Roman"/>
          <w:sz w:val="24"/>
          <w:szCs w:val="24"/>
        </w:rPr>
        <w:t xml:space="preserve"> Median timeseries of the radar equivalent reflectivity factor (</w:t>
      </w:r>
      <w:r w:rsidRPr="00E01F67">
        <w:rPr>
          <w:rFonts w:ascii="Times New Roman" w:hAnsi="Times New Roman" w:cs="Times New Roman"/>
          <w:i/>
          <w:iCs/>
          <w:sz w:val="24"/>
          <w:szCs w:val="24"/>
        </w:rPr>
        <w:t>Ze</w:t>
      </w:r>
      <w:r w:rsidRPr="00E01F67">
        <w:rPr>
          <w:rFonts w:ascii="Times New Roman" w:hAnsi="Times New Roman" w:cs="Times New Roman"/>
          <w:sz w:val="24"/>
          <w:szCs w:val="24"/>
          <w:vertAlign w:val="subscript"/>
        </w:rPr>
        <w:t>w</w:t>
      </w:r>
      <w:r w:rsidRPr="00E01F67">
        <w:rPr>
          <w:rFonts w:ascii="Times New Roman" w:hAnsi="Times New Roman" w:cs="Times New Roman"/>
          <w:sz w:val="24"/>
          <w:szCs w:val="24"/>
        </w:rPr>
        <w:t xml:space="preserve">) calculated at an altitude ranging from 1.8 to </w:t>
      </w:r>
      <w:r w:rsidRPr="00E01F67">
        <w:rPr>
          <w:rFonts w:ascii="Cambria Math" w:hAnsi="Cambria Math" w:cs="Cambria Math"/>
          <w:sz w:val="24"/>
          <w:szCs w:val="24"/>
        </w:rPr>
        <w:t>∼</w:t>
      </w:r>
      <w:r w:rsidRPr="00E01F67">
        <w:rPr>
          <w:rFonts w:ascii="Times New Roman" w:hAnsi="Times New Roman" w:cs="Times New Roman"/>
          <w:sz w:val="24"/>
          <w:szCs w:val="24"/>
        </w:rPr>
        <w:t xml:space="preserve">2 km in the atmosphere. </w:t>
      </w:r>
      <w:r w:rsidRPr="00E01F67">
        <w:rPr>
          <w:rFonts w:ascii="Times New Roman" w:hAnsi="Times New Roman" w:cs="Times New Roman"/>
          <w:i/>
          <w:iCs/>
          <w:sz w:val="24"/>
          <w:szCs w:val="24"/>
        </w:rPr>
        <w:t>Ze</w:t>
      </w:r>
      <w:r w:rsidRPr="00E01F67">
        <w:rPr>
          <w:rFonts w:ascii="Times New Roman" w:hAnsi="Times New Roman" w:cs="Times New Roman"/>
          <w:sz w:val="24"/>
          <w:szCs w:val="24"/>
          <w:vertAlign w:val="subscript"/>
        </w:rPr>
        <w:t>w</w:t>
      </w:r>
      <w:r w:rsidRPr="00E01F67">
        <w:rPr>
          <w:rFonts w:ascii="Times New Roman" w:hAnsi="Times New Roman" w:cs="Times New Roman"/>
          <w:sz w:val="24"/>
          <w:szCs w:val="24"/>
        </w:rPr>
        <w:t xml:space="preserve"> is derived either from the WProf radar measurements (depicted by the grey line) collected at the "Vathia Lakka" (VL) station, or from simulations conducted by the CONTROL (black line), DEMOTT (cyan line), and ALLSIP (blue line) sensitivity simulations of WRF, coupled with the CR-SIM radar simulator. In both the measured and simulated data, the presence of </w:t>
      </w:r>
      <w:r w:rsidRPr="006A44D3">
        <w:rPr>
          <w:rFonts w:ascii="Times New Roman" w:hAnsi="Times New Roman" w:cs="Times New Roman"/>
          <w:sz w:val="24"/>
          <w:szCs w:val="24"/>
        </w:rPr>
        <w:t>high reflectivity values (&gt;-20 dBz)</w:t>
      </w:r>
      <w:r>
        <w:rPr>
          <w:rFonts w:ascii="Times New Roman" w:hAnsi="Times New Roman" w:cs="Times New Roman"/>
          <w:sz w:val="24"/>
          <w:szCs w:val="24"/>
        </w:rPr>
        <w:t xml:space="preserve"> </w:t>
      </w:r>
      <w:r w:rsidRPr="00E01F67">
        <w:rPr>
          <w:rFonts w:ascii="Times New Roman" w:hAnsi="Times New Roman" w:cs="Times New Roman"/>
          <w:sz w:val="24"/>
          <w:szCs w:val="24"/>
        </w:rPr>
        <w:t>within this altitude range was used as a criterion for identifying each distinct cloud periods. This is because the first two cloud systems were associated with ice particles falling either from higher levels within the same cloud (internal seeding) or from an overlying cloud (external seeder-feeder), while the third one is a low-level orographic cloud.</w:t>
      </w:r>
    </w:p>
    <w:p w14:paraId="66B35748" w14:textId="77777777" w:rsidR="00F3405A" w:rsidRPr="00991121" w:rsidRDefault="00F3405A" w:rsidP="00F3405A">
      <w:pPr>
        <w:keepNext/>
        <w:jc w:val="center"/>
        <w:rPr>
          <w:rFonts w:ascii="Times New Roman" w:hAnsi="Times New Roman" w:cs="Times New Roman"/>
          <w:sz w:val="24"/>
          <w:szCs w:val="24"/>
        </w:rPr>
      </w:pPr>
      <w:r w:rsidRPr="00991121">
        <w:rPr>
          <w:rFonts w:ascii="Times New Roman" w:hAnsi="Times New Roman" w:cs="Times New Roman"/>
          <w:noProof/>
          <w:sz w:val="24"/>
          <w:szCs w:val="24"/>
        </w:rPr>
        <w:lastRenderedPageBreak/>
        <w:drawing>
          <wp:inline distT="0" distB="0" distL="0" distR="0" wp14:anchorId="6C9779AC" wp14:editId="0A239F98">
            <wp:extent cx="5719568" cy="2858461"/>
            <wp:effectExtent l="0" t="0" r="0" b="0"/>
            <wp:docPr id="1380321138" name="Picture 1" descr="A picture containing text, sketch,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321138" name="Picture 1" descr="A picture containing text, sketch, diagram&#10;&#10;Description automatically generated"/>
                    <pic:cNvPicPr/>
                  </pic:nvPicPr>
                  <pic:blipFill>
                    <a:blip r:embed="rId10">
                      <a:extLst>
                        <a:ext uri="{28A0092B-C50C-407E-A947-70E740481C1C}">
                          <a14:useLocalDpi xmlns:a14="http://schemas.microsoft.com/office/drawing/2010/main"/>
                        </a:ext>
                      </a:extLst>
                    </a:blip>
                    <a:stretch>
                      <a:fillRect/>
                    </a:stretch>
                  </pic:blipFill>
                  <pic:spPr>
                    <a:xfrm>
                      <a:off x="0" y="0"/>
                      <a:ext cx="5725495" cy="2861423"/>
                    </a:xfrm>
                    <a:prstGeom prst="rect">
                      <a:avLst/>
                    </a:prstGeom>
                  </pic:spPr>
                </pic:pic>
              </a:graphicData>
            </a:graphic>
          </wp:inline>
        </w:drawing>
      </w:r>
    </w:p>
    <w:p w14:paraId="09285D7F" w14:textId="2262F338" w:rsidR="00F3405A" w:rsidRPr="00832D2E" w:rsidRDefault="00F3405A" w:rsidP="00832D2E">
      <w:pPr>
        <w:jc w:val="both"/>
        <w:rPr>
          <w:rFonts w:ascii="Times New Roman" w:hAnsi="Times New Roman" w:cs="Times New Roman"/>
          <w:b/>
          <w:bCs/>
          <w:i/>
          <w:iCs/>
          <w:color w:val="000000" w:themeColor="text1"/>
          <w:sz w:val="24"/>
          <w:szCs w:val="24"/>
        </w:rPr>
      </w:pPr>
      <w:r w:rsidRPr="00832D2E">
        <w:rPr>
          <w:rFonts w:ascii="Times New Roman" w:hAnsi="Times New Roman" w:cs="Times New Roman"/>
          <w:b/>
          <w:bCs/>
          <w:sz w:val="24"/>
          <w:szCs w:val="24"/>
        </w:rPr>
        <w:t xml:space="preserve">Supplementary Figure </w:t>
      </w:r>
      <w:r w:rsidR="006A44D3" w:rsidRPr="00832D2E">
        <w:rPr>
          <w:rFonts w:ascii="Times New Roman" w:hAnsi="Times New Roman" w:cs="Times New Roman"/>
          <w:b/>
          <w:bCs/>
          <w:sz w:val="24"/>
          <w:szCs w:val="24"/>
        </w:rPr>
        <w:t>2</w:t>
      </w:r>
      <w:r w:rsidRPr="00832D2E">
        <w:rPr>
          <w:rFonts w:ascii="Times New Roman" w:hAnsi="Times New Roman" w:cs="Times New Roman"/>
          <w:sz w:val="24"/>
          <w:szCs w:val="24"/>
        </w:rPr>
        <w:t xml:space="preserve"> Time series of (a) temperature and (b) relative humidity with respect to liquid phase at 2 m height, (c) wind speed and (d) wind direction at 10 m height. Gray circles indicate measurements collected between 17 and 19 December 2021 at the (HAC)</w:t>
      </w:r>
      <w:r w:rsidRPr="00832D2E">
        <w:rPr>
          <w:rFonts w:ascii="Times New Roman" w:hAnsi="Times New Roman" w:cs="Times New Roman"/>
          <w:sz w:val="24"/>
          <w:szCs w:val="24"/>
          <w:vertAlign w:val="superscript"/>
        </w:rPr>
        <w:t>2</w:t>
      </w:r>
      <w:r w:rsidRPr="00832D2E">
        <w:rPr>
          <w:rFonts w:ascii="Times New Roman" w:hAnsi="Times New Roman" w:cs="Times New Roman"/>
          <w:sz w:val="24"/>
          <w:szCs w:val="24"/>
        </w:rPr>
        <w:t xml:space="preserve"> station, while modeled values from the CONTROL simulation of WRF are shown with a black line. The semi-transparent contour plot represents the vertical velocity (w) profile predicted by CONTROL.</w:t>
      </w:r>
    </w:p>
    <w:p w14:paraId="693DD530" w14:textId="77777777" w:rsidR="009069ED" w:rsidRDefault="009069ED" w:rsidP="00991121">
      <w:pPr>
        <w:spacing w:before="100" w:beforeAutospacing="1" w:after="100" w:afterAutospacing="1"/>
        <w:jc w:val="both"/>
        <w:rPr>
          <w:rFonts w:ascii="Times New Roman" w:hAnsi="Times New Roman" w:cs="Times New Roman"/>
          <w:sz w:val="24"/>
          <w:szCs w:val="24"/>
        </w:rPr>
      </w:pPr>
    </w:p>
    <w:p w14:paraId="69A0973A" w14:textId="77777777" w:rsidR="00704899" w:rsidRDefault="00704899" w:rsidP="00991121">
      <w:pPr>
        <w:spacing w:before="100" w:beforeAutospacing="1" w:after="100" w:afterAutospacing="1"/>
        <w:jc w:val="both"/>
        <w:rPr>
          <w:rFonts w:ascii="Times New Roman" w:hAnsi="Times New Roman" w:cs="Times New Roman"/>
          <w:sz w:val="24"/>
          <w:szCs w:val="24"/>
        </w:rPr>
      </w:pPr>
    </w:p>
    <w:p w14:paraId="6191950C" w14:textId="77777777" w:rsidR="00E01F67" w:rsidRPr="00991121" w:rsidRDefault="00E01F67" w:rsidP="00E01F67">
      <w:pPr>
        <w:jc w:val="both"/>
        <w:rPr>
          <w:rFonts w:ascii="Times New Roman" w:hAnsi="Times New Roman" w:cs="Times New Roman"/>
          <w:sz w:val="24"/>
          <w:szCs w:val="24"/>
        </w:rPr>
      </w:pPr>
    </w:p>
    <w:p w14:paraId="64A04123" w14:textId="77777777" w:rsidR="004C3A38" w:rsidRPr="00991121" w:rsidRDefault="004C3A38" w:rsidP="00991121">
      <w:pPr>
        <w:jc w:val="both"/>
        <w:rPr>
          <w:rFonts w:ascii="Times New Roman" w:hAnsi="Times New Roman" w:cs="Times New Roman"/>
          <w:sz w:val="24"/>
          <w:szCs w:val="24"/>
        </w:rPr>
      </w:pPr>
    </w:p>
    <w:p w14:paraId="59C7039C" w14:textId="77777777" w:rsidR="006708EA" w:rsidRPr="00991121" w:rsidRDefault="006708EA" w:rsidP="004B5588">
      <w:pPr>
        <w:keepNext/>
        <w:spacing w:before="120"/>
        <w:jc w:val="center"/>
        <w:rPr>
          <w:rFonts w:ascii="Times New Roman" w:hAnsi="Times New Roman" w:cs="Times New Roman"/>
          <w:sz w:val="24"/>
          <w:szCs w:val="24"/>
        </w:rPr>
      </w:pPr>
      <w:r w:rsidRPr="00991121">
        <w:rPr>
          <w:rFonts w:ascii="Times New Roman" w:hAnsi="Times New Roman" w:cs="Times New Roman"/>
          <w:noProof/>
          <w:sz w:val="24"/>
          <w:szCs w:val="24"/>
        </w:rPr>
        <w:lastRenderedPageBreak/>
        <w:drawing>
          <wp:inline distT="0" distB="0" distL="0" distR="0" wp14:anchorId="7E584C07" wp14:editId="1C699FAE">
            <wp:extent cx="5940592" cy="2292824"/>
            <wp:effectExtent l="0" t="0" r="3175" b="0"/>
            <wp:docPr id="512024418" name="Picture 3" descr="A comparison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024418" name="Picture 3" descr="A comparison of a map&#10;&#10;Description automatically generated"/>
                    <pic:cNvPicPr/>
                  </pic:nvPicPr>
                  <pic:blipFill>
                    <a:blip r:embed="rId11">
                      <a:extLst>
                        <a:ext uri="{28A0092B-C50C-407E-A947-70E740481C1C}">
                          <a14:useLocalDpi xmlns:a14="http://schemas.microsoft.com/office/drawing/2010/main"/>
                        </a:ext>
                      </a:extLst>
                    </a:blip>
                    <a:stretch>
                      <a:fillRect/>
                    </a:stretch>
                  </pic:blipFill>
                  <pic:spPr>
                    <a:xfrm>
                      <a:off x="0" y="0"/>
                      <a:ext cx="5948615" cy="2295921"/>
                    </a:xfrm>
                    <a:prstGeom prst="rect">
                      <a:avLst/>
                    </a:prstGeom>
                  </pic:spPr>
                </pic:pic>
              </a:graphicData>
            </a:graphic>
          </wp:inline>
        </w:drawing>
      </w:r>
    </w:p>
    <w:p w14:paraId="4C50FB57" w14:textId="3F50FEF1" w:rsidR="006708EA" w:rsidRPr="00991121" w:rsidRDefault="005A7449" w:rsidP="00991121">
      <w:pPr>
        <w:pStyle w:val="Caption"/>
        <w:spacing w:before="120"/>
        <w:jc w:val="both"/>
        <w:rPr>
          <w:rFonts w:ascii="Times New Roman" w:hAnsi="Times New Roman" w:cs="Times New Roman"/>
          <w:i w:val="0"/>
          <w:iCs w:val="0"/>
          <w:color w:val="auto"/>
          <w:sz w:val="24"/>
          <w:szCs w:val="24"/>
        </w:rPr>
      </w:pPr>
      <w:r w:rsidRPr="005A7449">
        <w:rPr>
          <w:rFonts w:ascii="Times New Roman" w:hAnsi="Times New Roman" w:cs="Times New Roman"/>
          <w:b/>
          <w:bCs/>
          <w:i w:val="0"/>
          <w:iCs w:val="0"/>
          <w:color w:val="auto"/>
          <w:sz w:val="24"/>
          <w:szCs w:val="24"/>
        </w:rPr>
        <w:t xml:space="preserve">Supplementary Figure </w:t>
      </w:r>
      <w:r w:rsidR="004B3378">
        <w:rPr>
          <w:rFonts w:ascii="Times New Roman" w:hAnsi="Times New Roman" w:cs="Times New Roman"/>
          <w:b/>
          <w:bCs/>
          <w:i w:val="0"/>
          <w:iCs w:val="0"/>
          <w:color w:val="auto"/>
          <w:sz w:val="24"/>
          <w:szCs w:val="24"/>
        </w:rPr>
        <w:t>3</w:t>
      </w:r>
      <w:r>
        <w:rPr>
          <w:rFonts w:ascii="Times New Roman" w:hAnsi="Times New Roman" w:cs="Times New Roman"/>
          <w:b/>
          <w:bCs/>
          <w:i w:val="0"/>
          <w:iCs w:val="0"/>
          <w:color w:val="auto"/>
          <w:sz w:val="24"/>
          <w:szCs w:val="24"/>
        </w:rPr>
        <w:t xml:space="preserve"> </w:t>
      </w:r>
      <w:r w:rsidR="006708EA" w:rsidRPr="00991121">
        <w:rPr>
          <w:rFonts w:ascii="Times New Roman" w:hAnsi="Times New Roman" w:cs="Times New Roman"/>
          <w:i w:val="0"/>
          <w:iCs w:val="0"/>
          <w:color w:val="auto"/>
          <w:sz w:val="24"/>
          <w:szCs w:val="24"/>
        </w:rPr>
        <w:t>(a) Vertically integrated water content obtained from the 12-km resolution domain of the CONTROL simulation of WRF on December 17 (22:00 UTC), 2021. The purple contours represent the 500 hPa geopotential height in meters. The black dashed lines outline the boundaries of the two nested domains of WRF. (b) Model orography from the 1-km resolution domain.</w:t>
      </w:r>
      <w:r w:rsidR="006708EA" w:rsidRPr="00991121">
        <w:rPr>
          <w:rFonts w:ascii="Times New Roman" w:hAnsi="Times New Roman" w:cs="Times New Roman"/>
          <w:sz w:val="24"/>
          <w:szCs w:val="24"/>
        </w:rPr>
        <w:t xml:space="preserve"> </w:t>
      </w:r>
      <w:r w:rsidR="006708EA" w:rsidRPr="00991121">
        <w:rPr>
          <w:rFonts w:ascii="Times New Roman" w:hAnsi="Times New Roman" w:cs="Times New Roman"/>
          <w:i w:val="0"/>
          <w:iCs w:val="0"/>
          <w:color w:val="auto"/>
          <w:sz w:val="24"/>
          <w:szCs w:val="24"/>
        </w:rPr>
        <w:t>The black dot in both panels marks the location of the (HAC)</w:t>
      </w:r>
      <w:r w:rsidR="006708EA" w:rsidRPr="00991121">
        <w:rPr>
          <w:rFonts w:ascii="Times New Roman" w:hAnsi="Times New Roman" w:cs="Times New Roman"/>
          <w:i w:val="0"/>
          <w:iCs w:val="0"/>
          <w:color w:val="auto"/>
          <w:sz w:val="24"/>
          <w:szCs w:val="24"/>
          <w:vertAlign w:val="superscript"/>
        </w:rPr>
        <w:t>2</w:t>
      </w:r>
      <w:r w:rsidR="006708EA" w:rsidRPr="00991121">
        <w:rPr>
          <w:rFonts w:ascii="Times New Roman" w:hAnsi="Times New Roman" w:cs="Times New Roman"/>
          <w:i w:val="0"/>
          <w:iCs w:val="0"/>
          <w:color w:val="auto"/>
          <w:sz w:val="24"/>
          <w:szCs w:val="24"/>
        </w:rPr>
        <w:t xml:space="preserve"> station.</w:t>
      </w:r>
    </w:p>
    <w:p w14:paraId="155D2B97" w14:textId="77777777" w:rsidR="006708EA" w:rsidRPr="00991121" w:rsidRDefault="006708EA" w:rsidP="00991121">
      <w:pPr>
        <w:jc w:val="both"/>
        <w:rPr>
          <w:rFonts w:ascii="Times New Roman" w:hAnsi="Times New Roman" w:cs="Times New Roman"/>
          <w:sz w:val="24"/>
          <w:szCs w:val="24"/>
        </w:rPr>
      </w:pPr>
    </w:p>
    <w:p w14:paraId="6B7039FA" w14:textId="77777777" w:rsidR="00B25BD8" w:rsidRPr="00991121" w:rsidRDefault="00B25BD8" w:rsidP="00991121">
      <w:pPr>
        <w:jc w:val="both"/>
        <w:rPr>
          <w:rFonts w:ascii="Times New Roman" w:hAnsi="Times New Roman" w:cs="Times New Roman"/>
          <w:sz w:val="24"/>
          <w:szCs w:val="24"/>
        </w:rPr>
      </w:pPr>
    </w:p>
    <w:p w14:paraId="63E85BFD" w14:textId="77777777" w:rsidR="00E739EA" w:rsidRPr="00991121" w:rsidRDefault="00E739EA" w:rsidP="00991121">
      <w:pPr>
        <w:jc w:val="both"/>
        <w:rPr>
          <w:rFonts w:ascii="Times New Roman" w:hAnsi="Times New Roman" w:cs="Times New Roman"/>
          <w:sz w:val="24"/>
          <w:szCs w:val="24"/>
        </w:rPr>
      </w:pPr>
    </w:p>
    <w:p w14:paraId="69896622" w14:textId="77777777" w:rsidR="00E739EA" w:rsidRPr="00991121" w:rsidRDefault="00E739EA" w:rsidP="00991121">
      <w:pPr>
        <w:jc w:val="both"/>
        <w:rPr>
          <w:rFonts w:ascii="Times New Roman" w:hAnsi="Times New Roman" w:cs="Times New Roman"/>
          <w:sz w:val="24"/>
          <w:szCs w:val="24"/>
        </w:rPr>
      </w:pPr>
    </w:p>
    <w:p w14:paraId="03FC952A" w14:textId="77777777" w:rsidR="00E762E8" w:rsidRPr="00991121" w:rsidRDefault="00E762E8" w:rsidP="00991121">
      <w:pPr>
        <w:jc w:val="both"/>
        <w:rPr>
          <w:rFonts w:ascii="Times New Roman" w:hAnsi="Times New Roman" w:cs="Times New Roman"/>
          <w:sz w:val="24"/>
          <w:szCs w:val="24"/>
        </w:rPr>
      </w:pPr>
    </w:p>
    <w:p w14:paraId="0A6871B6" w14:textId="77777777" w:rsidR="00E762E8" w:rsidRPr="00991121" w:rsidRDefault="00E762E8" w:rsidP="00991121">
      <w:pPr>
        <w:jc w:val="both"/>
        <w:rPr>
          <w:rFonts w:ascii="Times New Roman" w:hAnsi="Times New Roman" w:cs="Times New Roman"/>
          <w:sz w:val="24"/>
          <w:szCs w:val="24"/>
        </w:rPr>
      </w:pPr>
    </w:p>
    <w:p w14:paraId="7FD8B232" w14:textId="06B16C94" w:rsidR="00E762E8" w:rsidRPr="00991121" w:rsidRDefault="005B7975" w:rsidP="005B7975">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F9F2EC6" wp14:editId="1F96A285">
            <wp:extent cx="2923505" cy="3729954"/>
            <wp:effectExtent l="0" t="0" r="0" b="0"/>
            <wp:docPr id="1536623106" name="Picture 5" descr="A map of a person with a map of the same dire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623106" name="Picture 5" descr="A map of a person with a map of the same direction&#10;&#10;Description automatically generated with medium confidence"/>
                    <pic:cNvPicPr/>
                  </pic:nvPicPr>
                  <pic:blipFill>
                    <a:blip r:embed="rId12" cstate="hqprint">
                      <a:extLst>
                        <a:ext uri="{28A0092B-C50C-407E-A947-70E740481C1C}">
                          <a14:useLocalDpi xmlns:a14="http://schemas.microsoft.com/office/drawing/2010/main"/>
                        </a:ext>
                      </a:extLst>
                    </a:blip>
                    <a:stretch>
                      <a:fillRect/>
                    </a:stretch>
                  </pic:blipFill>
                  <pic:spPr>
                    <a:xfrm>
                      <a:off x="0" y="0"/>
                      <a:ext cx="2934808" cy="3744375"/>
                    </a:xfrm>
                    <a:prstGeom prst="rect">
                      <a:avLst/>
                    </a:prstGeom>
                  </pic:spPr>
                </pic:pic>
              </a:graphicData>
            </a:graphic>
          </wp:inline>
        </w:drawing>
      </w:r>
    </w:p>
    <w:p w14:paraId="25A93D17" w14:textId="6B77CCA7" w:rsidR="00E762E8" w:rsidRPr="00991121" w:rsidRDefault="005B7975" w:rsidP="00991121">
      <w:pPr>
        <w:jc w:val="both"/>
        <w:rPr>
          <w:rFonts w:ascii="Times New Roman" w:hAnsi="Times New Roman" w:cs="Times New Roman"/>
          <w:sz w:val="24"/>
          <w:szCs w:val="24"/>
        </w:rPr>
      </w:pPr>
      <w:r w:rsidRPr="00832D2E">
        <w:rPr>
          <w:rFonts w:ascii="Times New Roman" w:hAnsi="Times New Roman" w:cs="Times New Roman"/>
          <w:b/>
          <w:bCs/>
          <w:sz w:val="24"/>
          <w:szCs w:val="24"/>
        </w:rPr>
        <w:t>Supplementary Figure 4</w:t>
      </w:r>
      <w:r w:rsidRPr="00832D2E">
        <w:rPr>
          <w:rFonts w:ascii="Times New Roman" w:hAnsi="Times New Roman" w:cs="Times New Roman"/>
          <w:sz w:val="24"/>
          <w:szCs w:val="24"/>
        </w:rPr>
        <w:t xml:space="preserve"> </w:t>
      </w:r>
      <w:r w:rsidRPr="005B7975">
        <w:rPr>
          <w:rFonts w:ascii="Times New Roman" w:hAnsi="Times New Roman" w:cs="Times New Roman"/>
          <w:sz w:val="24"/>
          <w:szCs w:val="24"/>
        </w:rPr>
        <w:t xml:space="preserve">Median time-height vertical profiles of observed and simulated radar reflectivity extracted during the </w:t>
      </w:r>
      <w:r>
        <w:rPr>
          <w:rFonts w:ascii="Times New Roman" w:hAnsi="Times New Roman" w:cs="Times New Roman"/>
          <w:sz w:val="24"/>
          <w:szCs w:val="24"/>
        </w:rPr>
        <w:t xml:space="preserve">low-level </w:t>
      </w:r>
      <w:r w:rsidRPr="005B7975">
        <w:rPr>
          <w:rFonts w:ascii="Times New Roman" w:hAnsi="Times New Roman" w:cs="Times New Roman"/>
          <w:sz w:val="24"/>
          <w:szCs w:val="24"/>
        </w:rPr>
        <w:t>orographic cloud period. The grey line represents the median WProf observations, with the shaded region indicating the IQR. The black, cyan, and blue lines denote the results from the CONTROL, DEMOTT, and ALLSIP simulations, respectively. Temperature contours superimposed in these panels are from the ALLSIP simulation.</w:t>
      </w:r>
    </w:p>
    <w:p w14:paraId="5D2CEAA5" w14:textId="77777777" w:rsidR="00E762E8" w:rsidRPr="00991121" w:rsidRDefault="00E762E8" w:rsidP="00991121">
      <w:pPr>
        <w:jc w:val="both"/>
        <w:rPr>
          <w:rFonts w:ascii="Times New Roman" w:hAnsi="Times New Roman" w:cs="Times New Roman"/>
          <w:sz w:val="24"/>
          <w:szCs w:val="24"/>
        </w:rPr>
      </w:pPr>
    </w:p>
    <w:p w14:paraId="038E7423" w14:textId="77777777" w:rsidR="00E739EA" w:rsidRDefault="00E739EA" w:rsidP="00991121">
      <w:pPr>
        <w:jc w:val="both"/>
        <w:rPr>
          <w:rFonts w:ascii="Times New Roman" w:hAnsi="Times New Roman" w:cs="Times New Roman"/>
          <w:sz w:val="24"/>
          <w:szCs w:val="24"/>
        </w:rPr>
      </w:pPr>
    </w:p>
    <w:p w14:paraId="7E6399D4" w14:textId="77777777" w:rsidR="00F21BB5" w:rsidRDefault="00F21BB5" w:rsidP="00991121">
      <w:pPr>
        <w:jc w:val="both"/>
        <w:rPr>
          <w:rFonts w:ascii="Times New Roman" w:hAnsi="Times New Roman" w:cs="Times New Roman"/>
          <w:sz w:val="24"/>
          <w:szCs w:val="24"/>
        </w:rPr>
      </w:pPr>
    </w:p>
    <w:p w14:paraId="0BF27A55" w14:textId="77777777" w:rsidR="00F21BB5" w:rsidRDefault="00F21BB5" w:rsidP="00991121">
      <w:pPr>
        <w:jc w:val="both"/>
        <w:rPr>
          <w:rFonts w:ascii="Times New Roman" w:hAnsi="Times New Roman" w:cs="Times New Roman"/>
          <w:sz w:val="24"/>
          <w:szCs w:val="24"/>
        </w:rPr>
      </w:pPr>
    </w:p>
    <w:p w14:paraId="249A182C" w14:textId="77777777" w:rsidR="00F21BB5" w:rsidRDefault="00F21BB5" w:rsidP="00991121">
      <w:pPr>
        <w:jc w:val="both"/>
        <w:rPr>
          <w:rFonts w:ascii="Times New Roman" w:hAnsi="Times New Roman" w:cs="Times New Roman"/>
          <w:sz w:val="24"/>
          <w:szCs w:val="24"/>
        </w:rPr>
      </w:pPr>
    </w:p>
    <w:p w14:paraId="3BC02072" w14:textId="77777777" w:rsidR="00F21BB5" w:rsidRDefault="00F21BB5" w:rsidP="00991121">
      <w:pPr>
        <w:jc w:val="both"/>
        <w:rPr>
          <w:rFonts w:ascii="Times New Roman" w:hAnsi="Times New Roman" w:cs="Times New Roman"/>
          <w:sz w:val="24"/>
          <w:szCs w:val="24"/>
        </w:rPr>
      </w:pPr>
    </w:p>
    <w:p w14:paraId="67282092" w14:textId="3E34B1AC" w:rsidR="00696DA2" w:rsidRPr="00991121" w:rsidRDefault="00696DA2" w:rsidP="00991121">
      <w:pPr>
        <w:pStyle w:val="SMHeading"/>
        <w:jc w:val="both"/>
        <w:rPr>
          <w:b w:val="0"/>
        </w:rPr>
      </w:pPr>
    </w:p>
    <w:p w14:paraId="2139FCD6" w14:textId="77777777" w:rsidR="002179FE" w:rsidRPr="00991121" w:rsidRDefault="002179FE" w:rsidP="00991121">
      <w:pPr>
        <w:jc w:val="both"/>
        <w:rPr>
          <w:rFonts w:ascii="Times New Roman" w:hAnsi="Times New Roman" w:cs="Times New Roman"/>
          <w:sz w:val="24"/>
          <w:szCs w:val="24"/>
        </w:rPr>
      </w:pPr>
    </w:p>
    <w:p w14:paraId="0EA1FC3F" w14:textId="6F2053A4" w:rsidR="00CB6043" w:rsidRPr="00991121" w:rsidRDefault="009A5821" w:rsidP="004B5588">
      <w:pPr>
        <w:keepNext/>
        <w:jc w:val="center"/>
        <w:rPr>
          <w:rFonts w:ascii="Times New Roman" w:hAnsi="Times New Roman" w:cs="Times New Roman"/>
          <w:sz w:val="24"/>
          <w:szCs w:val="24"/>
        </w:rPr>
      </w:pPr>
      <w:r w:rsidRPr="00991121">
        <w:rPr>
          <w:rFonts w:ascii="Times New Roman" w:hAnsi="Times New Roman" w:cs="Times New Roman"/>
          <w:noProof/>
          <w:sz w:val="24"/>
          <w:szCs w:val="24"/>
        </w:rPr>
        <w:lastRenderedPageBreak/>
        <w:drawing>
          <wp:inline distT="0" distB="0" distL="0" distR="0" wp14:anchorId="4635BDA1" wp14:editId="0C848C35">
            <wp:extent cx="5490210" cy="3619500"/>
            <wp:effectExtent l="0" t="0" r="0" b="0"/>
            <wp:docPr id="485713518" name="Picture 1" descr="A group of graphs showing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713518" name="Picture 1" descr="A group of graphs showing different colors&#10;&#10;Description automatically generated"/>
                    <pic:cNvPicPr/>
                  </pic:nvPicPr>
                  <pic:blipFill>
                    <a:blip r:embed="rId13">
                      <a:extLst>
                        <a:ext uri="{28A0092B-C50C-407E-A947-70E740481C1C}">
                          <a14:useLocalDpi xmlns:a14="http://schemas.microsoft.com/office/drawing/2010/main"/>
                        </a:ext>
                      </a:extLst>
                    </a:blip>
                    <a:stretch>
                      <a:fillRect/>
                    </a:stretch>
                  </pic:blipFill>
                  <pic:spPr>
                    <a:xfrm>
                      <a:off x="0" y="0"/>
                      <a:ext cx="5490210" cy="3619500"/>
                    </a:xfrm>
                    <a:prstGeom prst="rect">
                      <a:avLst/>
                    </a:prstGeom>
                  </pic:spPr>
                </pic:pic>
              </a:graphicData>
            </a:graphic>
          </wp:inline>
        </w:drawing>
      </w:r>
    </w:p>
    <w:p w14:paraId="0CD6EB16" w14:textId="6958C41C" w:rsidR="00696DA2" w:rsidRPr="00832D2E" w:rsidRDefault="005A7449" w:rsidP="00832D2E">
      <w:pPr>
        <w:jc w:val="both"/>
        <w:rPr>
          <w:rFonts w:ascii="Times New Roman" w:hAnsi="Times New Roman" w:cs="Times New Roman"/>
          <w:sz w:val="24"/>
          <w:szCs w:val="24"/>
        </w:rPr>
      </w:pPr>
      <w:r w:rsidRPr="00832D2E">
        <w:rPr>
          <w:rFonts w:ascii="Times New Roman" w:hAnsi="Times New Roman" w:cs="Times New Roman"/>
          <w:b/>
          <w:bCs/>
          <w:sz w:val="24"/>
          <w:szCs w:val="24"/>
        </w:rPr>
        <w:t xml:space="preserve">Supplementary Figure </w:t>
      </w:r>
      <w:r w:rsidR="0083255C">
        <w:rPr>
          <w:rFonts w:ascii="Times New Roman" w:hAnsi="Times New Roman" w:cs="Times New Roman"/>
          <w:b/>
          <w:bCs/>
          <w:sz w:val="24"/>
          <w:szCs w:val="24"/>
        </w:rPr>
        <w:t>5</w:t>
      </w:r>
      <w:r w:rsidRPr="00832D2E">
        <w:rPr>
          <w:rFonts w:ascii="Times New Roman" w:hAnsi="Times New Roman" w:cs="Times New Roman"/>
          <w:sz w:val="24"/>
          <w:szCs w:val="24"/>
        </w:rPr>
        <w:t xml:space="preserve"> </w:t>
      </w:r>
      <w:r w:rsidR="00696DA2" w:rsidRPr="00832D2E">
        <w:rPr>
          <w:rFonts w:ascii="Times New Roman" w:hAnsi="Times New Roman" w:cs="Times New Roman"/>
          <w:sz w:val="24"/>
          <w:szCs w:val="24"/>
        </w:rPr>
        <w:t>Timeseries of characteristic sizes (in μm) inferred by reversing the slope parameter (lambda) that describes the exponential size distributions of (a) snow (1/lambdas), (b) raindrops (1/lambdar), (c) cloud ice (1/lambdai), and (d) graupel (1/lambdag) in the Morrison</w:t>
      </w:r>
      <w:r w:rsidR="005963A3">
        <w:rPr>
          <w:rFonts w:ascii="Times New Roman" w:hAnsi="Times New Roman" w:cs="Times New Roman"/>
          <w:sz w:val="24"/>
          <w:szCs w:val="24"/>
        </w:rPr>
        <w:t xml:space="preserve"> </w:t>
      </w:r>
      <w:r w:rsidR="005963A3">
        <w:rPr>
          <w:rFonts w:ascii="Times New Roman" w:hAnsi="Times New Roman" w:cs="Times New Roman"/>
          <w:sz w:val="24"/>
          <w:szCs w:val="24"/>
        </w:rPr>
        <w:fldChar w:fldCharType="begin" w:fldLock="1"/>
      </w:r>
      <w:r w:rsidR="005963A3">
        <w:rPr>
          <w:rFonts w:ascii="Times New Roman" w:hAnsi="Times New Roman" w:cs="Times New Roman"/>
          <w:sz w:val="24"/>
          <w:szCs w:val="24"/>
        </w:rPr>
        <w:instrText>ADDIN CSL_CITATION {"citationItems":[{"id":"ITEM-1","itemData":{"author":[{"dropping-particle":"","family":"Morrison","given":"H.","non-dropping-particle":"","parse-names":false,"suffix":""},{"dropping-particle":"","family":"Curry","given":"J. A.","non-dropping-particle":"","parse-names":false,"suffix":""},{"dropping-particle":"","family":"Shupe","given":"M. D.","non-dropping-particle":"","parse-names":false,"suffix":""},{"dropping-particle":"","family":"Zuidema","given":"P.","non-dropping-particle":"","parse-names":false,"suffix":""}],"container-title":"Journal of the Atmospheric Sciences","id":"ITEM-1","issued":{"date-parts":[["2005"]]},"page":"1678-1693","title":"A new double-moment microphysics scheme for application in cloud and climate models. Part II: Single-column modeling of Arctic clouds","type":"article-journal","volume":"62"},"uris":["http://www.mendeley.com/documents/?uuid=7a43dad2-683f-4b6b-b2ad-deba9ab58de4"]}],"mendeley":{"formattedCitation":"&lt;sup&gt;12&lt;/sup&gt;","plainTextFormattedCitation":"12"},"properties":{"noteIndex":0},"schema":"https://github.com/citation-style-language/schema/raw/master/csl-citation.json"}</w:instrText>
      </w:r>
      <w:r w:rsidR="005963A3">
        <w:rPr>
          <w:rFonts w:ascii="Times New Roman" w:hAnsi="Times New Roman" w:cs="Times New Roman"/>
          <w:sz w:val="24"/>
          <w:szCs w:val="24"/>
        </w:rPr>
        <w:fldChar w:fldCharType="separate"/>
      </w:r>
      <w:r w:rsidR="005963A3" w:rsidRPr="005963A3">
        <w:rPr>
          <w:rFonts w:ascii="Times New Roman" w:hAnsi="Times New Roman" w:cs="Times New Roman"/>
          <w:noProof/>
          <w:sz w:val="24"/>
          <w:szCs w:val="24"/>
          <w:vertAlign w:val="superscript"/>
        </w:rPr>
        <w:t>12</w:t>
      </w:r>
      <w:r w:rsidR="005963A3">
        <w:rPr>
          <w:rFonts w:ascii="Times New Roman" w:hAnsi="Times New Roman" w:cs="Times New Roman"/>
          <w:sz w:val="24"/>
          <w:szCs w:val="24"/>
        </w:rPr>
        <w:fldChar w:fldCharType="end"/>
      </w:r>
      <w:r w:rsidR="00696DA2" w:rsidRPr="00832D2E">
        <w:rPr>
          <w:rFonts w:ascii="Times New Roman" w:hAnsi="Times New Roman" w:cs="Times New Roman"/>
          <w:sz w:val="24"/>
          <w:szCs w:val="24"/>
        </w:rPr>
        <w:t xml:space="preserve"> microphysics scheme of WRF. These characteristic sizes are extracted from the ALLSIP sensitivity simulation of WRF, which demonstrates better agreement with radar observations.</w:t>
      </w:r>
    </w:p>
    <w:p w14:paraId="7E3362FB" w14:textId="77777777" w:rsidR="002179FE" w:rsidRPr="00991121" w:rsidRDefault="002179FE" w:rsidP="00991121">
      <w:pPr>
        <w:jc w:val="both"/>
        <w:rPr>
          <w:rFonts w:ascii="Times New Roman" w:hAnsi="Times New Roman" w:cs="Times New Roman"/>
          <w:sz w:val="24"/>
          <w:szCs w:val="24"/>
        </w:rPr>
      </w:pPr>
    </w:p>
    <w:p w14:paraId="24CB473E" w14:textId="1A3B6BD5" w:rsidR="00304B45" w:rsidRPr="00991121" w:rsidRDefault="002E5881" w:rsidP="004B5588">
      <w:pPr>
        <w:keepNext/>
        <w:jc w:val="center"/>
        <w:rPr>
          <w:rFonts w:ascii="Times New Roman" w:hAnsi="Times New Roman" w:cs="Times New Roman"/>
          <w:sz w:val="24"/>
          <w:szCs w:val="24"/>
        </w:rPr>
      </w:pPr>
      <w:r w:rsidRPr="00991121">
        <w:rPr>
          <w:rFonts w:ascii="Times New Roman" w:hAnsi="Times New Roman" w:cs="Times New Roman"/>
          <w:noProof/>
          <w:sz w:val="24"/>
          <w:szCs w:val="24"/>
        </w:rPr>
        <w:lastRenderedPageBreak/>
        <w:drawing>
          <wp:inline distT="0" distB="0" distL="0" distR="0" wp14:anchorId="74A4978D" wp14:editId="09E924F3">
            <wp:extent cx="5490210" cy="3074670"/>
            <wp:effectExtent l="0" t="0" r="0" b="0"/>
            <wp:docPr id="1283210442" name="Picture 1" descr="A graph showing a mountain rang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210442" name="Picture 1" descr="A graph showing a mountain range&#10;&#10;Description automatically generated with medium confidence"/>
                    <pic:cNvPicPr/>
                  </pic:nvPicPr>
                  <pic:blipFill>
                    <a:blip r:embed="rId14">
                      <a:extLst>
                        <a:ext uri="{28A0092B-C50C-407E-A947-70E740481C1C}">
                          <a14:useLocalDpi xmlns:a14="http://schemas.microsoft.com/office/drawing/2010/main"/>
                        </a:ext>
                      </a:extLst>
                    </a:blip>
                    <a:stretch>
                      <a:fillRect/>
                    </a:stretch>
                  </pic:blipFill>
                  <pic:spPr>
                    <a:xfrm>
                      <a:off x="0" y="0"/>
                      <a:ext cx="5490210" cy="3074670"/>
                    </a:xfrm>
                    <a:prstGeom prst="rect">
                      <a:avLst/>
                    </a:prstGeom>
                  </pic:spPr>
                </pic:pic>
              </a:graphicData>
            </a:graphic>
          </wp:inline>
        </w:drawing>
      </w:r>
    </w:p>
    <w:p w14:paraId="3FF3BCCB" w14:textId="75FBE746" w:rsidR="00696DA2" w:rsidRPr="00832D2E" w:rsidRDefault="005A7449" w:rsidP="00832D2E">
      <w:pPr>
        <w:jc w:val="both"/>
        <w:rPr>
          <w:rFonts w:ascii="Times New Roman" w:hAnsi="Times New Roman" w:cs="Times New Roman"/>
          <w:sz w:val="24"/>
          <w:szCs w:val="24"/>
        </w:rPr>
      </w:pPr>
      <w:bookmarkStart w:id="0" w:name="_Hlk147234280"/>
      <w:r w:rsidRPr="00832D2E">
        <w:rPr>
          <w:rFonts w:ascii="Times New Roman" w:hAnsi="Times New Roman" w:cs="Times New Roman"/>
          <w:b/>
          <w:bCs/>
          <w:sz w:val="24"/>
          <w:szCs w:val="24"/>
        </w:rPr>
        <w:t xml:space="preserve">Supplementary Figure </w:t>
      </w:r>
      <w:r w:rsidR="0083255C">
        <w:rPr>
          <w:rFonts w:ascii="Times New Roman" w:hAnsi="Times New Roman" w:cs="Times New Roman"/>
          <w:b/>
          <w:bCs/>
          <w:sz w:val="24"/>
          <w:szCs w:val="24"/>
        </w:rPr>
        <w:t>6</w:t>
      </w:r>
      <w:r w:rsidRPr="00832D2E">
        <w:rPr>
          <w:rFonts w:ascii="Times New Roman" w:hAnsi="Times New Roman" w:cs="Times New Roman"/>
          <w:sz w:val="24"/>
          <w:szCs w:val="24"/>
        </w:rPr>
        <w:t xml:space="preserve"> </w:t>
      </w:r>
      <w:bookmarkEnd w:id="0"/>
      <w:r w:rsidR="00696DA2" w:rsidRPr="00832D2E">
        <w:rPr>
          <w:rFonts w:ascii="Times New Roman" w:hAnsi="Times New Roman" w:cs="Times New Roman"/>
          <w:sz w:val="24"/>
          <w:szCs w:val="24"/>
        </w:rPr>
        <w:t>Time-height plots of total ICNCs produced by the ALLSIP simulation, as in Figure 5c in the main manuscript. The black contours represent temperature isotherms, while the red contours show areas where snowflake aggregation rates exceed 10</w:t>
      </w:r>
      <w:r w:rsidR="00696DA2" w:rsidRPr="00832D2E">
        <w:rPr>
          <w:rFonts w:ascii="Times New Roman" w:hAnsi="Times New Roman" w:cs="Times New Roman"/>
          <w:sz w:val="24"/>
          <w:szCs w:val="24"/>
          <w:vertAlign w:val="superscript"/>
        </w:rPr>
        <w:t>-5</w:t>
      </w:r>
      <w:r w:rsidR="00696DA2" w:rsidRPr="00832D2E">
        <w:rPr>
          <w:rFonts w:ascii="Times New Roman" w:hAnsi="Times New Roman" w:cs="Times New Roman"/>
          <w:sz w:val="24"/>
          <w:szCs w:val="24"/>
        </w:rPr>
        <w:t xml:space="preserve"> L</w:t>
      </w:r>
      <w:r w:rsidR="00696DA2" w:rsidRPr="00832D2E">
        <w:rPr>
          <w:rFonts w:ascii="Times New Roman" w:hAnsi="Times New Roman" w:cs="Times New Roman"/>
          <w:sz w:val="24"/>
          <w:szCs w:val="24"/>
          <w:vertAlign w:val="superscript"/>
        </w:rPr>
        <w:t>-1</w:t>
      </w:r>
      <w:r w:rsidR="00696DA2" w:rsidRPr="00832D2E">
        <w:rPr>
          <w:rFonts w:ascii="Times New Roman" w:hAnsi="Times New Roman" w:cs="Times New Roman"/>
          <w:sz w:val="24"/>
          <w:szCs w:val="24"/>
        </w:rPr>
        <w:t>s</w:t>
      </w:r>
      <w:r w:rsidR="00696DA2" w:rsidRPr="00832D2E">
        <w:rPr>
          <w:rFonts w:ascii="Times New Roman" w:hAnsi="Times New Roman" w:cs="Times New Roman"/>
          <w:sz w:val="24"/>
          <w:szCs w:val="24"/>
          <w:vertAlign w:val="superscript"/>
        </w:rPr>
        <w:t>-1</w:t>
      </w:r>
      <w:r w:rsidR="00696DA2" w:rsidRPr="00832D2E">
        <w:rPr>
          <w:rFonts w:ascii="Times New Roman" w:hAnsi="Times New Roman" w:cs="Times New Roman"/>
          <w:sz w:val="24"/>
          <w:szCs w:val="24"/>
        </w:rPr>
        <w:t>. The black hatched lines indicate regions that are supersaturated with respect to ice.</w:t>
      </w:r>
    </w:p>
    <w:p w14:paraId="2567665F" w14:textId="77777777" w:rsidR="00C23D3B" w:rsidRDefault="00C23D3B" w:rsidP="00991121">
      <w:pPr>
        <w:jc w:val="both"/>
        <w:rPr>
          <w:rFonts w:ascii="Times New Roman" w:hAnsi="Times New Roman" w:cs="Times New Roman"/>
          <w:sz w:val="24"/>
          <w:szCs w:val="24"/>
        </w:rPr>
      </w:pPr>
    </w:p>
    <w:p w14:paraId="504EFC6E" w14:textId="77777777" w:rsidR="00704899" w:rsidRDefault="00704899" w:rsidP="00991121">
      <w:pPr>
        <w:jc w:val="both"/>
        <w:rPr>
          <w:rFonts w:ascii="Times New Roman" w:hAnsi="Times New Roman" w:cs="Times New Roman"/>
          <w:sz w:val="24"/>
          <w:szCs w:val="24"/>
        </w:rPr>
      </w:pPr>
    </w:p>
    <w:p w14:paraId="38DB3D6A" w14:textId="77777777" w:rsidR="00F64913" w:rsidRPr="00991121" w:rsidRDefault="00F64913" w:rsidP="00F64913">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959B321" wp14:editId="4139C6D7">
            <wp:extent cx="5490210" cy="3478530"/>
            <wp:effectExtent l="0" t="0" r="0" b="0"/>
            <wp:docPr id="1138911119" name="Picture 2" descr="A group of graphs showing different types of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911119" name="Picture 2" descr="A group of graphs showing different types of lines&#10;&#10;Description automatically generated with medium confidence"/>
                    <pic:cNvPicPr/>
                  </pic:nvPicPr>
                  <pic:blipFill>
                    <a:blip r:embed="rId15">
                      <a:extLst>
                        <a:ext uri="{28A0092B-C50C-407E-A947-70E740481C1C}">
                          <a14:useLocalDpi xmlns:a14="http://schemas.microsoft.com/office/drawing/2010/main"/>
                        </a:ext>
                      </a:extLst>
                    </a:blip>
                    <a:stretch>
                      <a:fillRect/>
                    </a:stretch>
                  </pic:blipFill>
                  <pic:spPr>
                    <a:xfrm>
                      <a:off x="0" y="0"/>
                      <a:ext cx="5490210" cy="3478530"/>
                    </a:xfrm>
                    <a:prstGeom prst="rect">
                      <a:avLst/>
                    </a:prstGeom>
                  </pic:spPr>
                </pic:pic>
              </a:graphicData>
            </a:graphic>
          </wp:inline>
        </w:drawing>
      </w:r>
    </w:p>
    <w:p w14:paraId="4DCFD636" w14:textId="410B6AD2" w:rsidR="00F64913" w:rsidRPr="00832D2E" w:rsidRDefault="00F64913" w:rsidP="00F64913">
      <w:pPr>
        <w:jc w:val="both"/>
        <w:rPr>
          <w:rFonts w:ascii="Times New Roman" w:hAnsi="Times New Roman" w:cs="Times New Roman"/>
          <w:sz w:val="24"/>
          <w:szCs w:val="24"/>
        </w:rPr>
      </w:pPr>
      <w:bookmarkStart w:id="1" w:name="_Hlk147234351"/>
      <w:r w:rsidRPr="00832D2E">
        <w:rPr>
          <w:rFonts w:ascii="Times New Roman" w:hAnsi="Times New Roman" w:cs="Times New Roman"/>
          <w:b/>
          <w:bCs/>
          <w:sz w:val="24"/>
          <w:szCs w:val="24"/>
        </w:rPr>
        <w:t xml:space="preserve">Supplementary Figure </w:t>
      </w:r>
      <w:bookmarkEnd w:id="1"/>
      <w:r>
        <w:rPr>
          <w:rFonts w:ascii="Times New Roman" w:hAnsi="Times New Roman" w:cs="Times New Roman"/>
          <w:b/>
          <w:bCs/>
          <w:sz w:val="24"/>
          <w:szCs w:val="24"/>
        </w:rPr>
        <w:t>7</w:t>
      </w:r>
      <w:r w:rsidRPr="00832D2E">
        <w:rPr>
          <w:rFonts w:ascii="Times New Roman" w:hAnsi="Times New Roman" w:cs="Times New Roman"/>
          <w:sz w:val="24"/>
          <w:szCs w:val="24"/>
        </w:rPr>
        <w:t xml:space="preserve"> Size distribution of (a, d) cloud ice, (b, e) snow and (c, f) graupel particles, predicted by CONTROL (black line), DEMOTT (cyan line) and ALLSIP (blue line) simulations of WRF. The size distributions were taken at 03:55 UTC on 18 December (nimbostratus cloud period) at </w:t>
      </w:r>
      <w:r>
        <w:rPr>
          <w:rFonts w:ascii="Times New Roman" w:hAnsi="Times New Roman" w:cs="Times New Roman"/>
          <w:sz w:val="24"/>
          <w:szCs w:val="24"/>
        </w:rPr>
        <w:t>2</w:t>
      </w:r>
      <w:r w:rsidRPr="00832D2E">
        <w:rPr>
          <w:rFonts w:ascii="Times New Roman" w:hAnsi="Times New Roman" w:cs="Times New Roman"/>
          <w:sz w:val="24"/>
          <w:szCs w:val="24"/>
        </w:rPr>
        <w:t>.0 km (top panel) and at 0.</w:t>
      </w:r>
      <w:r>
        <w:rPr>
          <w:rFonts w:ascii="Times New Roman" w:hAnsi="Times New Roman" w:cs="Times New Roman"/>
          <w:sz w:val="24"/>
          <w:szCs w:val="24"/>
        </w:rPr>
        <w:t>7</w:t>
      </w:r>
      <w:r w:rsidRPr="00832D2E">
        <w:rPr>
          <w:rFonts w:ascii="Times New Roman" w:hAnsi="Times New Roman" w:cs="Times New Roman"/>
          <w:sz w:val="24"/>
          <w:szCs w:val="24"/>
        </w:rPr>
        <w:t xml:space="preserve"> km in the atmosphere (bottom panel). The vertical dashed lines indicate the mode of each distribution.</w:t>
      </w:r>
    </w:p>
    <w:p w14:paraId="33B4ADCC" w14:textId="7B0C3FD8" w:rsidR="00704899" w:rsidRDefault="00704899" w:rsidP="00991121">
      <w:pPr>
        <w:jc w:val="both"/>
        <w:rPr>
          <w:rFonts w:ascii="Times New Roman" w:hAnsi="Times New Roman" w:cs="Times New Roman"/>
          <w:sz w:val="24"/>
          <w:szCs w:val="24"/>
        </w:rPr>
      </w:pPr>
    </w:p>
    <w:p w14:paraId="28E17C2E" w14:textId="77777777" w:rsidR="00F64913" w:rsidRPr="00832D2E" w:rsidRDefault="00F64913" w:rsidP="00F64913">
      <w:pPr>
        <w:keepNext/>
        <w:jc w:val="center"/>
        <w:rPr>
          <w:rFonts w:ascii="Times New Roman" w:hAnsi="Times New Roman" w:cs="Times New Roman"/>
          <w:b/>
          <w:bCs/>
          <w:sz w:val="24"/>
          <w:szCs w:val="24"/>
        </w:rPr>
      </w:pPr>
      <w:r w:rsidRPr="00832D2E">
        <w:rPr>
          <w:rFonts w:ascii="Times New Roman" w:hAnsi="Times New Roman" w:cs="Times New Roman"/>
          <w:b/>
          <w:bCs/>
          <w:noProof/>
          <w:sz w:val="24"/>
          <w:szCs w:val="24"/>
        </w:rPr>
        <w:lastRenderedPageBreak/>
        <w:drawing>
          <wp:inline distT="0" distB="0" distL="0" distR="0" wp14:anchorId="72D3AF04" wp14:editId="3DEE20AB">
            <wp:extent cx="5490210" cy="3511550"/>
            <wp:effectExtent l="0" t="0" r="0" b="0"/>
            <wp:docPr id="753466903" name="Picture 2" descr="A group of graphs showing different types of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466903" name="Picture 2" descr="A group of graphs showing different types of lines&#10;&#10;Description automatically generated with medium confidence"/>
                    <pic:cNvPicPr/>
                  </pic:nvPicPr>
                  <pic:blipFill>
                    <a:blip r:embed="rId16">
                      <a:extLst>
                        <a:ext uri="{28A0092B-C50C-407E-A947-70E740481C1C}">
                          <a14:useLocalDpi xmlns:a14="http://schemas.microsoft.com/office/drawing/2010/main"/>
                        </a:ext>
                      </a:extLst>
                    </a:blip>
                    <a:stretch>
                      <a:fillRect/>
                    </a:stretch>
                  </pic:blipFill>
                  <pic:spPr>
                    <a:xfrm>
                      <a:off x="0" y="0"/>
                      <a:ext cx="5490210" cy="3511550"/>
                    </a:xfrm>
                    <a:prstGeom prst="rect">
                      <a:avLst/>
                    </a:prstGeom>
                  </pic:spPr>
                </pic:pic>
              </a:graphicData>
            </a:graphic>
          </wp:inline>
        </w:drawing>
      </w:r>
    </w:p>
    <w:p w14:paraId="6D65BB69" w14:textId="7A265624" w:rsidR="00F64913" w:rsidRPr="00832D2E" w:rsidRDefault="00F64913" w:rsidP="00F64913">
      <w:pPr>
        <w:jc w:val="both"/>
        <w:rPr>
          <w:rFonts w:ascii="Times New Roman" w:hAnsi="Times New Roman" w:cs="Times New Roman"/>
          <w:b/>
          <w:sz w:val="24"/>
          <w:szCs w:val="24"/>
        </w:rPr>
      </w:pPr>
      <w:r w:rsidRPr="00832D2E">
        <w:rPr>
          <w:rFonts w:ascii="Times New Roman" w:hAnsi="Times New Roman" w:cs="Times New Roman"/>
          <w:b/>
          <w:bCs/>
          <w:sz w:val="24"/>
          <w:szCs w:val="24"/>
        </w:rPr>
        <w:t xml:space="preserve">Supplementary Figure </w:t>
      </w:r>
      <w:r>
        <w:rPr>
          <w:rFonts w:ascii="Times New Roman" w:hAnsi="Times New Roman" w:cs="Times New Roman"/>
          <w:b/>
          <w:bCs/>
          <w:sz w:val="24"/>
          <w:szCs w:val="24"/>
        </w:rPr>
        <w:t>8</w:t>
      </w:r>
      <w:r w:rsidRPr="00832D2E">
        <w:rPr>
          <w:rFonts w:ascii="Times New Roman" w:hAnsi="Times New Roman" w:cs="Times New Roman"/>
          <w:sz w:val="24"/>
          <w:szCs w:val="24"/>
        </w:rPr>
        <w:t xml:space="preserve"> Size distribution of (a, d) cloud ice, (b, e) snow and (c, f) graupel particles, predicted by CONTROL (black line), DEMOTT (cyan line) and ALLSIP (blue line) simulations of WRF. The size distributions were taken at 09:20 UTC on 18 December (seeder-feeder cloud period) at 2.2 km (top panel) and at 0.5 km in the atmosphere (bottom panel). The vertical dashed lines indicate the mode of each distribution.</w:t>
      </w:r>
    </w:p>
    <w:p w14:paraId="5ED5D3E2" w14:textId="77777777" w:rsidR="00704899" w:rsidRDefault="00704899" w:rsidP="00991121">
      <w:pPr>
        <w:jc w:val="both"/>
        <w:rPr>
          <w:rFonts w:ascii="Times New Roman" w:hAnsi="Times New Roman" w:cs="Times New Roman"/>
          <w:sz w:val="24"/>
          <w:szCs w:val="24"/>
        </w:rPr>
      </w:pPr>
    </w:p>
    <w:p w14:paraId="414178F9" w14:textId="77777777" w:rsidR="00F64913" w:rsidRPr="00991121" w:rsidRDefault="00F64913" w:rsidP="00F64913">
      <w:pPr>
        <w:keepNext/>
        <w:jc w:val="center"/>
        <w:rPr>
          <w:rFonts w:ascii="Times New Roman" w:hAnsi="Times New Roman" w:cs="Times New Roman"/>
          <w:sz w:val="24"/>
          <w:szCs w:val="24"/>
        </w:rPr>
      </w:pPr>
      <w:r w:rsidRPr="00991121">
        <w:rPr>
          <w:rFonts w:ascii="Times New Roman" w:hAnsi="Times New Roman" w:cs="Times New Roman"/>
          <w:noProof/>
          <w:sz w:val="24"/>
          <w:szCs w:val="24"/>
        </w:rPr>
        <w:lastRenderedPageBreak/>
        <w:drawing>
          <wp:inline distT="0" distB="0" distL="0" distR="0" wp14:anchorId="07BAD8BA" wp14:editId="26190487">
            <wp:extent cx="3964746" cy="3538281"/>
            <wp:effectExtent l="0" t="0" r="0" b="0"/>
            <wp:docPr id="1248440192" name="Picture 1" descr="A picture containing text, map,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440192" name="Picture 1" descr="A picture containing text, map, screenshot&#10;&#10;Description automatically generated"/>
                    <pic:cNvPicPr/>
                  </pic:nvPicPr>
                  <pic:blipFill>
                    <a:blip r:embed="rId17" cstate="hqprint">
                      <a:extLst>
                        <a:ext uri="{28A0092B-C50C-407E-A947-70E740481C1C}">
                          <a14:useLocalDpi xmlns:a14="http://schemas.microsoft.com/office/drawing/2010/main"/>
                        </a:ext>
                      </a:extLst>
                    </a:blip>
                    <a:stretch>
                      <a:fillRect/>
                    </a:stretch>
                  </pic:blipFill>
                  <pic:spPr>
                    <a:xfrm>
                      <a:off x="0" y="0"/>
                      <a:ext cx="4039021" cy="3604567"/>
                    </a:xfrm>
                    <a:prstGeom prst="rect">
                      <a:avLst/>
                    </a:prstGeom>
                  </pic:spPr>
                </pic:pic>
              </a:graphicData>
            </a:graphic>
          </wp:inline>
        </w:drawing>
      </w:r>
    </w:p>
    <w:p w14:paraId="07CABCD4" w14:textId="3CAC18CF" w:rsidR="00F64913" w:rsidRPr="00832D2E" w:rsidRDefault="00F64913" w:rsidP="00F64913">
      <w:pPr>
        <w:jc w:val="both"/>
        <w:rPr>
          <w:rFonts w:ascii="Times New Roman" w:hAnsi="Times New Roman" w:cs="Times New Roman"/>
          <w:b/>
          <w:bCs/>
          <w:i/>
          <w:iCs/>
          <w:sz w:val="24"/>
          <w:szCs w:val="24"/>
        </w:rPr>
      </w:pPr>
      <w:r w:rsidRPr="00832D2E">
        <w:rPr>
          <w:rFonts w:ascii="Times New Roman" w:hAnsi="Times New Roman" w:cs="Times New Roman"/>
          <w:b/>
          <w:bCs/>
          <w:sz w:val="24"/>
          <w:szCs w:val="24"/>
        </w:rPr>
        <w:t xml:space="preserve">Supplementary Figure </w:t>
      </w:r>
      <w:r>
        <w:rPr>
          <w:rFonts w:ascii="Times New Roman" w:hAnsi="Times New Roman" w:cs="Times New Roman"/>
          <w:b/>
          <w:bCs/>
          <w:sz w:val="24"/>
          <w:szCs w:val="24"/>
        </w:rPr>
        <w:t>9</w:t>
      </w:r>
      <w:r w:rsidRPr="00832D2E">
        <w:rPr>
          <w:rFonts w:ascii="Times New Roman" w:hAnsi="Times New Roman" w:cs="Times New Roman"/>
          <w:sz w:val="24"/>
          <w:szCs w:val="24"/>
        </w:rPr>
        <w:t xml:space="preserve"> Synoptic situation at 22:00 UTC on 17 December 2021 from ERA5 data. The color shading represents the potential vorticity (in K m</w:t>
      </w:r>
      <w:r w:rsidRPr="00832D2E">
        <w:rPr>
          <w:rFonts w:ascii="Times New Roman" w:hAnsi="Times New Roman" w:cs="Times New Roman"/>
          <w:sz w:val="24"/>
          <w:szCs w:val="24"/>
          <w:vertAlign w:val="superscript"/>
        </w:rPr>
        <w:t>2</w:t>
      </w:r>
      <w:r w:rsidRPr="00832D2E">
        <w:rPr>
          <w:rFonts w:ascii="Times New Roman" w:hAnsi="Times New Roman" w:cs="Times New Roman"/>
          <w:sz w:val="24"/>
          <w:szCs w:val="24"/>
        </w:rPr>
        <w:t xml:space="preserve"> kg</w:t>
      </w:r>
      <w:r w:rsidRPr="00832D2E">
        <w:rPr>
          <w:rFonts w:ascii="Times New Roman" w:hAnsi="Times New Roman" w:cs="Times New Roman"/>
          <w:sz w:val="24"/>
          <w:szCs w:val="24"/>
          <w:vertAlign w:val="superscript"/>
        </w:rPr>
        <w:t>−1</w:t>
      </w:r>
      <w:r w:rsidRPr="00832D2E">
        <w:rPr>
          <w:rFonts w:ascii="Times New Roman" w:hAnsi="Times New Roman" w:cs="Times New Roman"/>
          <w:sz w:val="24"/>
          <w:szCs w:val="24"/>
        </w:rPr>
        <w:t xml:space="preserve"> s</w:t>
      </w:r>
      <w:r w:rsidRPr="00832D2E">
        <w:rPr>
          <w:rFonts w:ascii="Times New Roman" w:hAnsi="Times New Roman" w:cs="Times New Roman"/>
          <w:sz w:val="24"/>
          <w:szCs w:val="24"/>
          <w:vertAlign w:val="superscript"/>
        </w:rPr>
        <w:t>−1</w:t>
      </w:r>
      <w:r w:rsidRPr="00832D2E">
        <w:rPr>
          <w:rFonts w:ascii="Times New Roman" w:hAnsi="Times New Roman" w:cs="Times New Roman"/>
          <w:sz w:val="24"/>
          <w:szCs w:val="24"/>
        </w:rPr>
        <w:t>) at the 320 K isentrope. The location of Mount Helmos is indicated by the yellow star.</w:t>
      </w:r>
    </w:p>
    <w:p w14:paraId="2AF729F9" w14:textId="77777777" w:rsidR="00704899" w:rsidRDefault="00704899" w:rsidP="00991121">
      <w:pPr>
        <w:jc w:val="both"/>
        <w:rPr>
          <w:rFonts w:ascii="Times New Roman" w:hAnsi="Times New Roman" w:cs="Times New Roman"/>
          <w:sz w:val="24"/>
          <w:szCs w:val="24"/>
        </w:rPr>
      </w:pPr>
    </w:p>
    <w:p w14:paraId="50F4C481" w14:textId="77777777" w:rsidR="00F64913" w:rsidRDefault="00F64913" w:rsidP="00991121">
      <w:pPr>
        <w:jc w:val="both"/>
        <w:rPr>
          <w:rFonts w:ascii="Times New Roman" w:hAnsi="Times New Roman" w:cs="Times New Roman"/>
          <w:sz w:val="24"/>
          <w:szCs w:val="24"/>
        </w:rPr>
      </w:pPr>
    </w:p>
    <w:p w14:paraId="3FE72A09" w14:textId="77777777" w:rsidR="00F64913" w:rsidRDefault="00F64913" w:rsidP="00991121">
      <w:pPr>
        <w:jc w:val="both"/>
        <w:rPr>
          <w:rFonts w:ascii="Times New Roman" w:hAnsi="Times New Roman" w:cs="Times New Roman"/>
          <w:sz w:val="24"/>
          <w:szCs w:val="24"/>
        </w:rPr>
      </w:pPr>
    </w:p>
    <w:p w14:paraId="34A4437F" w14:textId="77777777" w:rsidR="00F64913" w:rsidRDefault="00F64913" w:rsidP="00991121">
      <w:pPr>
        <w:jc w:val="both"/>
        <w:rPr>
          <w:rFonts w:ascii="Times New Roman" w:hAnsi="Times New Roman" w:cs="Times New Roman"/>
          <w:sz w:val="24"/>
          <w:szCs w:val="24"/>
        </w:rPr>
      </w:pPr>
    </w:p>
    <w:p w14:paraId="22E2A7B1" w14:textId="77777777" w:rsidR="00F64913" w:rsidRPr="00991121" w:rsidRDefault="00F64913" w:rsidP="00F64913">
      <w:pPr>
        <w:keepNext/>
        <w:jc w:val="center"/>
        <w:rPr>
          <w:rFonts w:ascii="Times New Roman" w:hAnsi="Times New Roman" w:cs="Times New Roman"/>
          <w:sz w:val="24"/>
          <w:szCs w:val="24"/>
        </w:rPr>
      </w:pPr>
      <w:r w:rsidRPr="00991121">
        <w:rPr>
          <w:rFonts w:ascii="Times New Roman" w:hAnsi="Times New Roman" w:cs="Times New Roman"/>
          <w:noProof/>
          <w:sz w:val="24"/>
          <w:szCs w:val="24"/>
        </w:rPr>
        <w:lastRenderedPageBreak/>
        <w:drawing>
          <wp:inline distT="0" distB="0" distL="0" distR="0" wp14:anchorId="227B9A47" wp14:editId="7ADA660A">
            <wp:extent cx="5490210" cy="2276475"/>
            <wp:effectExtent l="0" t="0" r="0" b="0"/>
            <wp:docPr id="1895994818" name="Picture 1" descr="A diagram of a person's 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994818" name="Picture 1" descr="A diagram of a person's face&#10;&#10;Description automatically generated with medium confidence"/>
                    <pic:cNvPicPr/>
                  </pic:nvPicPr>
                  <pic:blipFill>
                    <a:blip r:embed="rId18">
                      <a:extLst>
                        <a:ext uri="{28A0092B-C50C-407E-A947-70E740481C1C}">
                          <a14:useLocalDpi xmlns:a14="http://schemas.microsoft.com/office/drawing/2010/main"/>
                        </a:ext>
                      </a:extLst>
                    </a:blip>
                    <a:stretch>
                      <a:fillRect/>
                    </a:stretch>
                  </pic:blipFill>
                  <pic:spPr>
                    <a:xfrm>
                      <a:off x="0" y="0"/>
                      <a:ext cx="5490210" cy="2276475"/>
                    </a:xfrm>
                    <a:prstGeom prst="rect">
                      <a:avLst/>
                    </a:prstGeom>
                  </pic:spPr>
                </pic:pic>
              </a:graphicData>
            </a:graphic>
          </wp:inline>
        </w:drawing>
      </w:r>
    </w:p>
    <w:p w14:paraId="6C480884" w14:textId="6069DB36" w:rsidR="00F64913" w:rsidRPr="00832D2E" w:rsidRDefault="00F64913" w:rsidP="00F64913">
      <w:pPr>
        <w:jc w:val="both"/>
        <w:rPr>
          <w:rFonts w:ascii="Times New Roman" w:hAnsi="Times New Roman" w:cs="Times New Roman"/>
          <w:b/>
          <w:sz w:val="24"/>
          <w:szCs w:val="24"/>
        </w:rPr>
      </w:pPr>
      <w:r w:rsidRPr="00832D2E">
        <w:rPr>
          <w:rFonts w:ascii="Times New Roman" w:hAnsi="Times New Roman" w:cs="Times New Roman"/>
          <w:b/>
          <w:bCs/>
          <w:sz w:val="24"/>
          <w:szCs w:val="24"/>
        </w:rPr>
        <w:t>Supplementary Figure 1</w:t>
      </w:r>
      <w:r>
        <w:rPr>
          <w:rFonts w:ascii="Times New Roman" w:hAnsi="Times New Roman" w:cs="Times New Roman"/>
          <w:b/>
          <w:bCs/>
          <w:sz w:val="24"/>
          <w:szCs w:val="24"/>
        </w:rPr>
        <w:t>0</w:t>
      </w:r>
      <w:r w:rsidRPr="00832D2E">
        <w:rPr>
          <w:rFonts w:ascii="Times New Roman" w:hAnsi="Times New Roman" w:cs="Times New Roman"/>
          <w:sz w:val="24"/>
          <w:szCs w:val="24"/>
        </w:rPr>
        <w:t xml:space="preserve"> Scatterplot of the ice nucleating particles (INPs) predicted offline using the parameterized expressions developed by (a) DeMott </w:t>
      </w:r>
      <w:r w:rsidRPr="00832D2E">
        <w:rPr>
          <w:rFonts w:ascii="Times New Roman" w:hAnsi="Times New Roman" w:cs="Times New Roman"/>
          <w:b/>
          <w:sz w:val="24"/>
          <w:szCs w:val="24"/>
        </w:rPr>
        <w:fldChar w:fldCharType="begin" w:fldLock="1"/>
      </w:r>
      <w:r w:rsidRPr="00832D2E">
        <w:rPr>
          <w:rFonts w:ascii="Times New Roman" w:hAnsi="Times New Roman" w:cs="Times New Roman"/>
          <w:sz w:val="24"/>
          <w:szCs w:val="24"/>
        </w:rPr>
        <w:instrText>ADDIN CSL_CITATION {"citationItems":[{"id":"ITEM-1","itemData":{"DOI":"10.1073/pnas.0910818107","ISSN":"0027-8424","abstract":"Knowledge of cloud and precipitation formation processes remains incomplete, yet global precipitation is predominantly produced by clouds containing the ice phase. Ice first forms in clouds warmer than -36 degrees C on particles termed ice nuclei. We combine observations from field studies over a 14-year period, from a variety of locations around the globe, to show that the concentrations of ice nuclei active in mixed-phase cloud conditions can be related to temperature and the number concentrations of particles larger than 0.5 microm in diameter. This new relationship reduces unexplained variability in ice nuclei concentrations at a given temperature from approximately 10(3) to less than a factor of 10, with the remaining variability apparently due to variations in aerosol chemical composition or other factors. When implemented in a global climate model, the new parameterization strongly alters cloud liquid and ice water distributions compared to the simple, temperature-only parameterizations currently widely used. The revised treatment indicates a global net cloud radiative forcing increase of approximately 1 W m(-2) for each order of magnitude increase in ice nuclei concentrations, demonstrating the strong sensitivity of climate simulations to assumptions regarding the initiation of cloud glaciation.","author":[{"dropping-particle":"","family":"DeMott","given":"P. J.","non-dropping-particle":"","parse-names":false,"suffix":""},{"dropping-particle":"","family":"Prenni","given":"A. J.","non-dropping-particle":"","parse-names":false,"suffix":""},{"dropping-particle":"","family":"Liu","given":"X.","non-dropping-particle":"","parse-names":false,"suffix":""},{"dropping-particle":"","family":"Kreidenweis","given":"S. M.","non-dropping-particle":"","parse-names":false,"suffix":""},{"dropping-particle":"","family":"Petters","given":"M. D.","non-dropping-particle":"","parse-names":false,"suffix":""},{"dropping-particle":"","family":"Twohy","given":"C. H.","non-dropping-particle":"","parse-names":false,"suffix":""},{"dropping-particle":"","family":"Richardson","given":"M. S.","non-dropping-particle":"","parse-names":false,"suffix":""},{"dropping-particle":"","family":"Eidhammer","given":"T.","non-dropping-particle":"","parse-names":false,"suffix":""},{"dropping-particle":"","family":"Rogers","given":"D. C.","non-dropping-particle":"","parse-names":false,"suffix":""}],"container-title":"Proceedings of the National Academy of Sciences","id":"ITEM-1","issued":{"date-parts":[["2010"]]},"page":"11217-11222","title":"Predicting global atmospheric ice nuclei distributions and their impacts on climate","type":"article-journal","volume":"107"},"uris":["http://www.mendeley.com/documents/?uuid=a7a81f55-6117-4f4d-8305-fc51d7f824a6"]}],"mendeley":{"formattedCitation":"&lt;sup&gt;6&lt;/sup&gt;","plainTextFormattedCitation":"6","previouslyFormattedCitation":"&lt;sup&gt;6&lt;/sup&gt;"},"properties":{"noteIndex":0},"schema":"https://github.com/citation-style-language/schema/raw/master/csl-citation.json"}</w:instrText>
      </w:r>
      <w:r w:rsidRPr="00832D2E">
        <w:rPr>
          <w:rFonts w:ascii="Times New Roman" w:hAnsi="Times New Roman" w:cs="Times New Roman"/>
          <w:b/>
          <w:sz w:val="24"/>
          <w:szCs w:val="24"/>
        </w:rPr>
        <w:fldChar w:fldCharType="separate"/>
      </w:r>
      <w:r w:rsidRPr="00832D2E">
        <w:rPr>
          <w:rFonts w:ascii="Times New Roman" w:hAnsi="Times New Roman" w:cs="Times New Roman"/>
          <w:noProof/>
          <w:sz w:val="24"/>
          <w:szCs w:val="24"/>
          <w:vertAlign w:val="superscript"/>
        </w:rPr>
        <w:t>6</w:t>
      </w:r>
      <w:r w:rsidRPr="00832D2E">
        <w:rPr>
          <w:rFonts w:ascii="Times New Roman" w:hAnsi="Times New Roman" w:cs="Times New Roman"/>
          <w:b/>
          <w:sz w:val="24"/>
          <w:szCs w:val="24"/>
        </w:rPr>
        <w:fldChar w:fldCharType="end"/>
      </w:r>
      <w:r w:rsidRPr="00832D2E">
        <w:rPr>
          <w:rFonts w:ascii="Times New Roman" w:hAnsi="Times New Roman" w:cs="Times New Roman"/>
          <w:sz w:val="24"/>
          <w:szCs w:val="24"/>
        </w:rPr>
        <w:t xml:space="preserve">, (b) Meyers </w:t>
      </w:r>
      <w:r w:rsidRPr="00832D2E">
        <w:rPr>
          <w:rFonts w:ascii="Times New Roman" w:hAnsi="Times New Roman" w:cs="Times New Roman"/>
          <w:b/>
          <w:sz w:val="24"/>
          <w:szCs w:val="24"/>
        </w:rPr>
        <w:fldChar w:fldCharType="begin" w:fldLock="1"/>
      </w:r>
      <w:r>
        <w:rPr>
          <w:rFonts w:ascii="Times New Roman" w:hAnsi="Times New Roman" w:cs="Times New Roman"/>
          <w:sz w:val="24"/>
          <w:szCs w:val="24"/>
        </w:rPr>
        <w:instrText>ADDIN CSL_CITATION {"citationItems":[{"id":"ITEM-1","itemData":{"DOI":"10.1175/1520- 0450(1992)031&lt;0708:NPINPI&gt;2.0.CO;2","abstract":"The Agricultural Ingeneer Dr. Teruo Higa, professor of Horticulture at the University of The Ryukyus in Okinawa, Japan creates a technique in the 80th de- cade related with the use of efficient microorganism. This technology is the basis of the present review aim at providing information about groups of benevolent microorganisms such as: lactic acid bacteria, photo- trophic bacteria, actinomycetes group, yeast group and fungi present in natural ecosystems which are physiologically compatible with each other. Efficient Microorganisms, as a microbial inoculantion, resto- re soil microbiological balance, improve its physical and chemical conditions, increase crop production and protection, preserve natural resources, and ge- nerate a more sustainable agriculture and environ- ment. They can be used in the livestock (cattle, por- ciculture and poultry) for animal husbandry and the increase of productive variables. All this maximizes the efficiency of the systems and the management of excreta and facilities.","author":[{"dropping-particle":"","family":"Meyers","given":"M. P.","non-dropping-particle":"","parse-names":false,"suffix":""},{"dropping-particle":"","family":"DeMott","given":"P. J.","non-dropping-particle":"","parse-names":false,"suffix":""},{"dropping-particle":"","family":"Cotton","given":"W. R.","non-dropping-particle":"","parse-names":false,"suffix":""}],"container-title":"Journal of Applied Meteorology","id":"ITEM-1","issued":{"date-parts":[["1992"]]},"page":"708-721","title":"New Primary Ice-Nucleation Parameterizations in an Explicit Cloud Model","type":"article-journal","volume":"31"},"uris":["http://www.mendeley.com/documents/?uuid=ef75492c-15ee-4856-b7b6-daeec9ac7831"]}],"mendeley":{"formattedCitation":"&lt;sup&gt;13&lt;/sup&gt;","plainTextFormattedCitation":"13","previouslyFormattedCitation":"&lt;sup&gt;12&lt;/sup&gt;"},"properties":{"noteIndex":0},"schema":"https://github.com/citation-style-language/schema/raw/master/csl-citation.json"}</w:instrText>
      </w:r>
      <w:r w:rsidRPr="00832D2E">
        <w:rPr>
          <w:rFonts w:ascii="Times New Roman" w:hAnsi="Times New Roman" w:cs="Times New Roman"/>
          <w:b/>
          <w:sz w:val="24"/>
          <w:szCs w:val="24"/>
        </w:rPr>
        <w:fldChar w:fldCharType="separate"/>
      </w:r>
      <w:r w:rsidRPr="005963A3">
        <w:rPr>
          <w:rFonts w:ascii="Times New Roman" w:hAnsi="Times New Roman" w:cs="Times New Roman"/>
          <w:noProof/>
          <w:sz w:val="24"/>
          <w:szCs w:val="24"/>
          <w:vertAlign w:val="superscript"/>
        </w:rPr>
        <w:t>13</w:t>
      </w:r>
      <w:r w:rsidRPr="00832D2E">
        <w:rPr>
          <w:rFonts w:ascii="Times New Roman" w:hAnsi="Times New Roman" w:cs="Times New Roman"/>
          <w:b/>
          <w:sz w:val="24"/>
          <w:szCs w:val="24"/>
        </w:rPr>
        <w:fldChar w:fldCharType="end"/>
      </w:r>
      <w:r w:rsidRPr="00832D2E">
        <w:rPr>
          <w:rFonts w:ascii="Times New Roman" w:hAnsi="Times New Roman" w:cs="Times New Roman"/>
          <w:sz w:val="24"/>
          <w:szCs w:val="24"/>
        </w:rPr>
        <w:t xml:space="preserve">, and (c) Cooper </w:t>
      </w:r>
      <w:r w:rsidRPr="00832D2E">
        <w:rPr>
          <w:rFonts w:ascii="Times New Roman" w:hAnsi="Times New Roman" w:cs="Times New Roman"/>
          <w:b/>
          <w:sz w:val="24"/>
          <w:szCs w:val="24"/>
        </w:rPr>
        <w:fldChar w:fldCharType="begin" w:fldLock="1"/>
      </w:r>
      <w:r>
        <w:rPr>
          <w:rFonts w:ascii="Times New Roman" w:hAnsi="Times New Roman" w:cs="Times New Roman"/>
          <w:sz w:val="24"/>
          <w:szCs w:val="24"/>
        </w:rPr>
        <w:instrText>ADDIN CSL_CITATION {"citationItems":[{"id":"ITEM-1","itemData":{"DOI":"10.1175/0065-9401-21.43.29","ISSN":"0065-9401","abstract":"Selected concentrations of ice crystal concentrations attributable to nucleation are compiled and summarized. The variability in the observations is discussed, and some conclusions related to natural precipitation formation and to seedability are discussed.","author":[{"dropping-particle":"","family":"Cooper","given":"William A.","non-dropping-particle":"","parse-names":false,"suffix":""}],"container-title":"Meteorological Monographs","id":"ITEM-1","issued":{"date-parts":[["1986"]]},"page":"29-32","title":"Ice Initiation in Natural Clouds","type":"article-journal","volume":"21"},"uris":["http://www.mendeley.com/documents/?uuid=5b51623e-ebc0-4f32-bfc3-8b05f163063e"]}],"mendeley":{"formattedCitation":"&lt;sup&gt;14&lt;/sup&gt;","plainTextFormattedCitation":"14","previouslyFormattedCitation":"&lt;sup&gt;13&lt;/sup&gt;"},"properties":{"noteIndex":0},"schema":"https://github.com/citation-style-language/schema/raw/master/csl-citation.json"}</w:instrText>
      </w:r>
      <w:r w:rsidRPr="00832D2E">
        <w:rPr>
          <w:rFonts w:ascii="Times New Roman" w:hAnsi="Times New Roman" w:cs="Times New Roman"/>
          <w:b/>
          <w:sz w:val="24"/>
          <w:szCs w:val="24"/>
        </w:rPr>
        <w:fldChar w:fldCharType="separate"/>
      </w:r>
      <w:r w:rsidRPr="005963A3">
        <w:rPr>
          <w:rFonts w:ascii="Times New Roman" w:hAnsi="Times New Roman" w:cs="Times New Roman"/>
          <w:noProof/>
          <w:sz w:val="24"/>
          <w:szCs w:val="24"/>
          <w:vertAlign w:val="superscript"/>
        </w:rPr>
        <w:t>14</w:t>
      </w:r>
      <w:r w:rsidRPr="00832D2E">
        <w:rPr>
          <w:rFonts w:ascii="Times New Roman" w:hAnsi="Times New Roman" w:cs="Times New Roman"/>
          <w:b/>
          <w:sz w:val="24"/>
          <w:szCs w:val="24"/>
        </w:rPr>
        <w:fldChar w:fldCharType="end"/>
      </w:r>
      <w:r w:rsidRPr="00832D2E">
        <w:rPr>
          <w:rFonts w:ascii="Times New Roman" w:hAnsi="Times New Roman" w:cs="Times New Roman"/>
          <w:sz w:val="24"/>
          <w:szCs w:val="24"/>
        </w:rPr>
        <w:t xml:space="preserve"> vs the INPs measured at (HAC)</w:t>
      </w:r>
      <w:r w:rsidRPr="00832D2E">
        <w:rPr>
          <w:rFonts w:ascii="Times New Roman" w:hAnsi="Times New Roman" w:cs="Times New Roman"/>
          <w:sz w:val="24"/>
          <w:szCs w:val="24"/>
          <w:vertAlign w:val="superscript"/>
        </w:rPr>
        <w:t>2</w:t>
      </w:r>
      <w:r w:rsidRPr="00832D2E">
        <w:rPr>
          <w:rFonts w:ascii="Times New Roman" w:hAnsi="Times New Roman" w:cs="Times New Roman"/>
          <w:sz w:val="24"/>
          <w:szCs w:val="24"/>
        </w:rPr>
        <w:t xml:space="preserve"> station by the PINE instrument. The INP measurements are color-shaded based on the temperature (in °C).</w:t>
      </w:r>
    </w:p>
    <w:p w14:paraId="570CD8B6" w14:textId="77777777" w:rsidR="00F64913" w:rsidRDefault="00F64913" w:rsidP="00991121">
      <w:pPr>
        <w:jc w:val="both"/>
        <w:rPr>
          <w:rFonts w:ascii="Times New Roman" w:hAnsi="Times New Roman" w:cs="Times New Roman"/>
          <w:sz w:val="24"/>
          <w:szCs w:val="24"/>
        </w:rPr>
      </w:pPr>
    </w:p>
    <w:p w14:paraId="38D39FF3" w14:textId="77777777" w:rsidR="00704899" w:rsidRDefault="00704899" w:rsidP="00991121">
      <w:pPr>
        <w:jc w:val="both"/>
        <w:rPr>
          <w:rFonts w:ascii="Times New Roman" w:hAnsi="Times New Roman" w:cs="Times New Roman"/>
          <w:sz w:val="24"/>
          <w:szCs w:val="24"/>
        </w:rPr>
      </w:pPr>
    </w:p>
    <w:p w14:paraId="459192FA" w14:textId="77777777" w:rsidR="00704899" w:rsidRDefault="00704899" w:rsidP="00991121">
      <w:pPr>
        <w:jc w:val="both"/>
        <w:rPr>
          <w:rFonts w:ascii="Times New Roman" w:hAnsi="Times New Roman" w:cs="Times New Roman"/>
          <w:sz w:val="24"/>
          <w:szCs w:val="24"/>
        </w:rPr>
      </w:pPr>
    </w:p>
    <w:p w14:paraId="7CDE1A7B" w14:textId="77777777" w:rsidR="00704899" w:rsidRDefault="00704899" w:rsidP="00991121">
      <w:pPr>
        <w:jc w:val="both"/>
        <w:rPr>
          <w:rFonts w:ascii="Times New Roman" w:hAnsi="Times New Roman" w:cs="Times New Roman"/>
          <w:sz w:val="24"/>
          <w:szCs w:val="24"/>
        </w:rPr>
      </w:pPr>
    </w:p>
    <w:p w14:paraId="0AF225A9" w14:textId="77777777" w:rsidR="00704899" w:rsidRDefault="00704899" w:rsidP="00991121">
      <w:pPr>
        <w:jc w:val="both"/>
        <w:rPr>
          <w:rFonts w:ascii="Times New Roman" w:hAnsi="Times New Roman" w:cs="Times New Roman"/>
          <w:sz w:val="24"/>
          <w:szCs w:val="24"/>
        </w:rPr>
      </w:pPr>
    </w:p>
    <w:p w14:paraId="17BF5BC1" w14:textId="77777777" w:rsidR="00704899" w:rsidRDefault="00704899" w:rsidP="00991121">
      <w:pPr>
        <w:jc w:val="both"/>
        <w:rPr>
          <w:rFonts w:ascii="Times New Roman" w:hAnsi="Times New Roman" w:cs="Times New Roman"/>
          <w:sz w:val="24"/>
          <w:szCs w:val="24"/>
        </w:rPr>
      </w:pPr>
    </w:p>
    <w:p w14:paraId="760D76C0" w14:textId="77777777" w:rsidR="00704899" w:rsidRDefault="00704899" w:rsidP="00991121">
      <w:pPr>
        <w:jc w:val="both"/>
        <w:rPr>
          <w:rFonts w:ascii="Times New Roman" w:hAnsi="Times New Roman" w:cs="Times New Roman"/>
          <w:sz w:val="24"/>
          <w:szCs w:val="24"/>
        </w:rPr>
      </w:pPr>
    </w:p>
    <w:p w14:paraId="562C2652" w14:textId="77777777" w:rsidR="00704899" w:rsidRDefault="00704899" w:rsidP="00991121">
      <w:pPr>
        <w:jc w:val="both"/>
        <w:rPr>
          <w:rFonts w:ascii="Times New Roman" w:hAnsi="Times New Roman" w:cs="Times New Roman"/>
          <w:sz w:val="24"/>
          <w:szCs w:val="24"/>
        </w:rPr>
      </w:pPr>
    </w:p>
    <w:p w14:paraId="728E5527" w14:textId="77777777" w:rsidR="00696DA2" w:rsidRPr="00991121" w:rsidRDefault="00696DA2" w:rsidP="00991121">
      <w:pPr>
        <w:jc w:val="both"/>
        <w:rPr>
          <w:rFonts w:ascii="Times New Roman" w:hAnsi="Times New Roman" w:cs="Times New Roman"/>
          <w:sz w:val="24"/>
          <w:szCs w:val="24"/>
        </w:rPr>
      </w:pPr>
    </w:p>
    <w:p w14:paraId="2D8E0E62" w14:textId="77777777" w:rsidR="00696DA2" w:rsidRDefault="00696DA2" w:rsidP="00991121">
      <w:pPr>
        <w:jc w:val="both"/>
        <w:rPr>
          <w:rFonts w:ascii="Times New Roman" w:hAnsi="Times New Roman" w:cs="Times New Roman"/>
          <w:sz w:val="24"/>
          <w:szCs w:val="24"/>
        </w:rPr>
      </w:pPr>
    </w:p>
    <w:p w14:paraId="32A8F370" w14:textId="77777777" w:rsidR="00196A9E" w:rsidRDefault="00196A9E" w:rsidP="00991121">
      <w:pPr>
        <w:jc w:val="both"/>
        <w:rPr>
          <w:rFonts w:ascii="Times New Roman" w:hAnsi="Times New Roman" w:cs="Times New Roman"/>
          <w:sz w:val="24"/>
          <w:szCs w:val="24"/>
        </w:rPr>
      </w:pPr>
    </w:p>
    <w:p w14:paraId="28A0017F" w14:textId="77777777" w:rsidR="00196A9E" w:rsidRPr="00991121" w:rsidRDefault="00196A9E" w:rsidP="00991121">
      <w:pPr>
        <w:jc w:val="both"/>
        <w:rPr>
          <w:rFonts w:ascii="Times New Roman" w:hAnsi="Times New Roman" w:cs="Times New Roman"/>
          <w:sz w:val="24"/>
          <w:szCs w:val="24"/>
        </w:rPr>
      </w:pPr>
    </w:p>
    <w:p w14:paraId="36244A58" w14:textId="77777777" w:rsidR="00746C33" w:rsidRPr="00991121" w:rsidRDefault="00746C33" w:rsidP="00991121">
      <w:pPr>
        <w:jc w:val="both"/>
        <w:rPr>
          <w:rFonts w:ascii="Times New Roman" w:hAnsi="Times New Roman" w:cs="Times New Roman"/>
          <w:sz w:val="24"/>
          <w:szCs w:val="24"/>
        </w:rPr>
      </w:pPr>
    </w:p>
    <w:p w14:paraId="59178F71" w14:textId="77777777" w:rsidR="00483408" w:rsidRDefault="00483408" w:rsidP="00991121">
      <w:pPr>
        <w:jc w:val="both"/>
        <w:rPr>
          <w:rFonts w:ascii="Times New Roman" w:hAnsi="Times New Roman" w:cs="Times New Roman"/>
          <w:sz w:val="24"/>
          <w:szCs w:val="24"/>
        </w:rPr>
      </w:pPr>
    </w:p>
    <w:p w14:paraId="7BE9A8A0" w14:textId="77777777" w:rsidR="00F21BB5" w:rsidRDefault="00F21BB5" w:rsidP="00991121">
      <w:pPr>
        <w:jc w:val="both"/>
        <w:rPr>
          <w:rFonts w:ascii="Times New Roman" w:hAnsi="Times New Roman" w:cs="Times New Roman"/>
          <w:sz w:val="24"/>
          <w:szCs w:val="24"/>
        </w:rPr>
      </w:pPr>
    </w:p>
    <w:p w14:paraId="797F29D5" w14:textId="77777777" w:rsidR="00704899" w:rsidRDefault="00704899" w:rsidP="00991121">
      <w:pPr>
        <w:jc w:val="both"/>
        <w:rPr>
          <w:rFonts w:ascii="Times New Roman" w:hAnsi="Times New Roman" w:cs="Times New Roman"/>
          <w:sz w:val="24"/>
          <w:szCs w:val="24"/>
        </w:rPr>
      </w:pPr>
    </w:p>
    <w:p w14:paraId="61278110" w14:textId="77777777" w:rsidR="00E70AF5" w:rsidRPr="00FC2123" w:rsidRDefault="00E70AF5" w:rsidP="008C5C64">
      <w:pPr>
        <w:spacing w:line="360" w:lineRule="auto"/>
        <w:jc w:val="both"/>
        <w:rPr>
          <w:rFonts w:ascii="Times New Roman" w:hAnsi="Times New Roman" w:cs="Times New Roman"/>
          <w:b/>
          <w:bCs/>
          <w:sz w:val="28"/>
          <w:szCs w:val="28"/>
        </w:rPr>
      </w:pPr>
    </w:p>
    <w:p w14:paraId="70025221" w14:textId="11F0E255" w:rsidR="008C5C64" w:rsidRPr="00AF1693" w:rsidRDefault="008C5C64" w:rsidP="008C5C64">
      <w:pPr>
        <w:spacing w:line="360" w:lineRule="auto"/>
        <w:jc w:val="both"/>
        <w:rPr>
          <w:rFonts w:ascii="Times New Roman" w:hAnsi="Times New Roman" w:cs="Times New Roman"/>
          <w:b/>
          <w:bCs/>
          <w:sz w:val="28"/>
          <w:szCs w:val="28"/>
          <w:lang w:val="fr-FR"/>
        </w:rPr>
      </w:pPr>
      <w:r w:rsidRPr="00AF1693">
        <w:rPr>
          <w:rFonts w:ascii="Times New Roman" w:hAnsi="Times New Roman" w:cs="Times New Roman"/>
          <w:b/>
          <w:bCs/>
          <w:sz w:val="28"/>
          <w:szCs w:val="28"/>
          <w:lang w:val="fr-FR"/>
        </w:rPr>
        <w:lastRenderedPageBreak/>
        <w:t>Supplementary References</w:t>
      </w:r>
    </w:p>
    <w:p w14:paraId="72DB6ED1" w14:textId="34ED947B" w:rsidR="005963A3" w:rsidRPr="005963A3" w:rsidRDefault="008C5C64" w:rsidP="005963A3">
      <w:pPr>
        <w:widowControl w:val="0"/>
        <w:autoSpaceDE w:val="0"/>
        <w:autoSpaceDN w:val="0"/>
        <w:adjustRightInd w:val="0"/>
        <w:spacing w:before="240" w:after="60" w:line="240" w:lineRule="auto"/>
        <w:ind w:left="640" w:hanging="640"/>
        <w:rPr>
          <w:rFonts w:ascii="Times New Roman" w:hAnsi="Times New Roman" w:cs="Times New Roman"/>
          <w:noProof/>
          <w:sz w:val="24"/>
          <w:szCs w:val="24"/>
        </w:rPr>
      </w:pPr>
      <w:r>
        <w:fldChar w:fldCharType="begin" w:fldLock="1"/>
      </w:r>
      <w:r w:rsidRPr="00AF1693">
        <w:rPr>
          <w:lang w:val="fr-FR"/>
        </w:rPr>
        <w:instrText xml:space="preserve">ADDIN Mendeley Bibliography CSL_BIBLIOGRAPHY </w:instrText>
      </w:r>
      <w:r>
        <w:fldChar w:fldCharType="separate"/>
      </w:r>
      <w:r w:rsidR="005963A3" w:rsidRPr="002C656A">
        <w:rPr>
          <w:rFonts w:ascii="Times New Roman" w:hAnsi="Times New Roman" w:cs="Times New Roman"/>
          <w:noProof/>
          <w:sz w:val="24"/>
          <w:szCs w:val="24"/>
          <w:lang w:val="fr-FR"/>
        </w:rPr>
        <w:t>1.</w:t>
      </w:r>
      <w:r w:rsidR="005963A3" w:rsidRPr="002C656A">
        <w:rPr>
          <w:rFonts w:ascii="Times New Roman" w:hAnsi="Times New Roman" w:cs="Times New Roman"/>
          <w:noProof/>
          <w:sz w:val="24"/>
          <w:szCs w:val="24"/>
          <w:lang w:val="fr-FR"/>
        </w:rPr>
        <w:tab/>
        <w:t xml:space="preserve">Sotiropoulou, G. </w:t>
      </w:r>
      <w:r w:rsidR="005963A3" w:rsidRPr="002C656A">
        <w:rPr>
          <w:rFonts w:ascii="Times New Roman" w:hAnsi="Times New Roman" w:cs="Times New Roman"/>
          <w:i/>
          <w:iCs/>
          <w:noProof/>
          <w:sz w:val="24"/>
          <w:szCs w:val="24"/>
          <w:lang w:val="fr-FR"/>
        </w:rPr>
        <w:t>et al.</w:t>
      </w:r>
      <w:r w:rsidR="005963A3" w:rsidRPr="002C656A">
        <w:rPr>
          <w:rFonts w:ascii="Times New Roman" w:hAnsi="Times New Roman" w:cs="Times New Roman"/>
          <w:noProof/>
          <w:sz w:val="24"/>
          <w:szCs w:val="24"/>
          <w:lang w:val="fr-FR"/>
        </w:rPr>
        <w:t xml:space="preserve"> </w:t>
      </w:r>
      <w:r w:rsidR="005963A3" w:rsidRPr="005963A3">
        <w:rPr>
          <w:rFonts w:ascii="Times New Roman" w:hAnsi="Times New Roman" w:cs="Times New Roman"/>
          <w:noProof/>
          <w:sz w:val="24"/>
          <w:szCs w:val="24"/>
        </w:rPr>
        <w:t xml:space="preserve">Sensitivity of Arctic clouds to ice microphysical processes in the NorESM2 climate model. </w:t>
      </w:r>
      <w:r w:rsidR="005963A3" w:rsidRPr="005963A3">
        <w:rPr>
          <w:rFonts w:ascii="Times New Roman" w:hAnsi="Times New Roman" w:cs="Times New Roman"/>
          <w:i/>
          <w:iCs/>
          <w:noProof/>
          <w:sz w:val="24"/>
          <w:szCs w:val="24"/>
        </w:rPr>
        <w:t>Prepr. Authorea</w:t>
      </w:r>
      <w:r w:rsidR="005963A3" w:rsidRPr="005963A3">
        <w:rPr>
          <w:rFonts w:ascii="Times New Roman" w:hAnsi="Times New Roman" w:cs="Times New Roman"/>
          <w:noProof/>
          <w:sz w:val="24"/>
          <w:szCs w:val="24"/>
        </w:rPr>
        <w:t xml:space="preserve"> (2022) doi:10.1002/essoar.10512081.1.</w:t>
      </w:r>
    </w:p>
    <w:p w14:paraId="673738B1" w14:textId="77777777" w:rsidR="005963A3" w:rsidRPr="005963A3" w:rsidRDefault="005963A3" w:rsidP="005963A3">
      <w:pPr>
        <w:widowControl w:val="0"/>
        <w:autoSpaceDE w:val="0"/>
        <w:autoSpaceDN w:val="0"/>
        <w:adjustRightInd w:val="0"/>
        <w:spacing w:before="240" w:after="60" w:line="240" w:lineRule="auto"/>
        <w:ind w:left="640" w:hanging="640"/>
        <w:rPr>
          <w:rFonts w:ascii="Times New Roman" w:hAnsi="Times New Roman" w:cs="Times New Roman"/>
          <w:noProof/>
          <w:sz w:val="24"/>
          <w:szCs w:val="24"/>
        </w:rPr>
      </w:pPr>
      <w:r w:rsidRPr="005963A3">
        <w:rPr>
          <w:rFonts w:ascii="Times New Roman" w:hAnsi="Times New Roman" w:cs="Times New Roman"/>
          <w:noProof/>
          <w:sz w:val="24"/>
          <w:szCs w:val="24"/>
        </w:rPr>
        <w:t>2.</w:t>
      </w:r>
      <w:r w:rsidRPr="005963A3">
        <w:rPr>
          <w:rFonts w:ascii="Times New Roman" w:hAnsi="Times New Roman" w:cs="Times New Roman"/>
          <w:noProof/>
          <w:sz w:val="24"/>
          <w:szCs w:val="24"/>
        </w:rPr>
        <w:tab/>
        <w:t xml:space="preserve">Beck, A. </w:t>
      </w:r>
      <w:r w:rsidRPr="005963A3">
        <w:rPr>
          <w:rFonts w:ascii="Times New Roman" w:hAnsi="Times New Roman" w:cs="Times New Roman"/>
          <w:i/>
          <w:iCs/>
          <w:noProof/>
          <w:sz w:val="24"/>
          <w:szCs w:val="24"/>
        </w:rPr>
        <w:t>et al.</w:t>
      </w:r>
      <w:r w:rsidRPr="005963A3">
        <w:rPr>
          <w:rFonts w:ascii="Times New Roman" w:hAnsi="Times New Roman" w:cs="Times New Roman"/>
          <w:noProof/>
          <w:sz w:val="24"/>
          <w:szCs w:val="24"/>
        </w:rPr>
        <w:t xml:space="preserve"> Impact of surface and near-surface processes on ice crystal concentrations measured at mountain-top research stations. </w:t>
      </w:r>
      <w:r w:rsidRPr="005963A3">
        <w:rPr>
          <w:rFonts w:ascii="Times New Roman" w:hAnsi="Times New Roman" w:cs="Times New Roman"/>
          <w:i/>
          <w:iCs/>
          <w:noProof/>
          <w:sz w:val="24"/>
          <w:szCs w:val="24"/>
        </w:rPr>
        <w:t>Atmos. Chem. Phys.</w:t>
      </w:r>
      <w:r w:rsidRPr="005963A3">
        <w:rPr>
          <w:rFonts w:ascii="Times New Roman" w:hAnsi="Times New Roman" w:cs="Times New Roman"/>
          <w:noProof/>
          <w:sz w:val="24"/>
          <w:szCs w:val="24"/>
        </w:rPr>
        <w:t xml:space="preserve"> </w:t>
      </w:r>
      <w:r w:rsidRPr="005963A3">
        <w:rPr>
          <w:rFonts w:ascii="Times New Roman" w:hAnsi="Times New Roman" w:cs="Times New Roman"/>
          <w:b/>
          <w:bCs/>
          <w:noProof/>
          <w:sz w:val="24"/>
          <w:szCs w:val="24"/>
        </w:rPr>
        <w:t>18</w:t>
      </w:r>
      <w:r w:rsidRPr="005963A3">
        <w:rPr>
          <w:rFonts w:ascii="Times New Roman" w:hAnsi="Times New Roman" w:cs="Times New Roman"/>
          <w:noProof/>
          <w:sz w:val="24"/>
          <w:szCs w:val="24"/>
        </w:rPr>
        <w:t>, 8909–8927 (2018).</w:t>
      </w:r>
    </w:p>
    <w:p w14:paraId="4C86C660" w14:textId="77777777" w:rsidR="005963A3" w:rsidRPr="005963A3" w:rsidRDefault="005963A3" w:rsidP="005963A3">
      <w:pPr>
        <w:widowControl w:val="0"/>
        <w:autoSpaceDE w:val="0"/>
        <w:autoSpaceDN w:val="0"/>
        <w:adjustRightInd w:val="0"/>
        <w:spacing w:before="240" w:after="60" w:line="240" w:lineRule="auto"/>
        <w:ind w:left="640" w:hanging="640"/>
        <w:rPr>
          <w:rFonts w:ascii="Times New Roman" w:hAnsi="Times New Roman" w:cs="Times New Roman"/>
          <w:noProof/>
          <w:sz w:val="24"/>
          <w:szCs w:val="24"/>
        </w:rPr>
      </w:pPr>
      <w:r w:rsidRPr="005963A3">
        <w:rPr>
          <w:rFonts w:ascii="Times New Roman" w:hAnsi="Times New Roman" w:cs="Times New Roman"/>
          <w:noProof/>
          <w:sz w:val="24"/>
          <w:szCs w:val="24"/>
        </w:rPr>
        <w:t>3.</w:t>
      </w:r>
      <w:r w:rsidRPr="005963A3">
        <w:rPr>
          <w:rFonts w:ascii="Times New Roman" w:hAnsi="Times New Roman" w:cs="Times New Roman"/>
          <w:noProof/>
          <w:sz w:val="24"/>
          <w:szCs w:val="24"/>
        </w:rPr>
        <w:tab/>
        <w:t xml:space="preserve">Farrington, R. J. </w:t>
      </w:r>
      <w:r w:rsidRPr="005963A3">
        <w:rPr>
          <w:rFonts w:ascii="Times New Roman" w:hAnsi="Times New Roman" w:cs="Times New Roman"/>
          <w:i/>
          <w:iCs/>
          <w:noProof/>
          <w:sz w:val="24"/>
          <w:szCs w:val="24"/>
        </w:rPr>
        <w:t>et al.</w:t>
      </w:r>
      <w:r w:rsidRPr="005963A3">
        <w:rPr>
          <w:rFonts w:ascii="Times New Roman" w:hAnsi="Times New Roman" w:cs="Times New Roman"/>
          <w:noProof/>
          <w:sz w:val="24"/>
          <w:szCs w:val="24"/>
        </w:rPr>
        <w:t xml:space="preserve"> Comparing model and measured ice crystal concentrations in orographic clouds during the INUPIAQ campaign. </w:t>
      </w:r>
      <w:r w:rsidRPr="005963A3">
        <w:rPr>
          <w:rFonts w:ascii="Times New Roman" w:hAnsi="Times New Roman" w:cs="Times New Roman"/>
          <w:i/>
          <w:iCs/>
          <w:noProof/>
          <w:sz w:val="24"/>
          <w:szCs w:val="24"/>
        </w:rPr>
        <w:t>Atmos. Chem. Phys.</w:t>
      </w:r>
      <w:r w:rsidRPr="005963A3">
        <w:rPr>
          <w:rFonts w:ascii="Times New Roman" w:hAnsi="Times New Roman" w:cs="Times New Roman"/>
          <w:noProof/>
          <w:sz w:val="24"/>
          <w:szCs w:val="24"/>
        </w:rPr>
        <w:t xml:space="preserve"> </w:t>
      </w:r>
      <w:r w:rsidRPr="005963A3">
        <w:rPr>
          <w:rFonts w:ascii="Times New Roman" w:hAnsi="Times New Roman" w:cs="Times New Roman"/>
          <w:b/>
          <w:bCs/>
          <w:noProof/>
          <w:sz w:val="24"/>
          <w:szCs w:val="24"/>
        </w:rPr>
        <w:t>16</w:t>
      </w:r>
      <w:r w:rsidRPr="005963A3">
        <w:rPr>
          <w:rFonts w:ascii="Times New Roman" w:hAnsi="Times New Roman" w:cs="Times New Roman"/>
          <w:noProof/>
          <w:sz w:val="24"/>
          <w:szCs w:val="24"/>
        </w:rPr>
        <w:t>, 4945–4966 (2016).</w:t>
      </w:r>
    </w:p>
    <w:p w14:paraId="6975362D" w14:textId="77777777" w:rsidR="005963A3" w:rsidRPr="005963A3" w:rsidRDefault="005963A3" w:rsidP="005963A3">
      <w:pPr>
        <w:widowControl w:val="0"/>
        <w:autoSpaceDE w:val="0"/>
        <w:autoSpaceDN w:val="0"/>
        <w:adjustRightInd w:val="0"/>
        <w:spacing w:before="240" w:after="60" w:line="240" w:lineRule="auto"/>
        <w:ind w:left="640" w:hanging="640"/>
        <w:rPr>
          <w:rFonts w:ascii="Times New Roman" w:hAnsi="Times New Roman" w:cs="Times New Roman"/>
          <w:noProof/>
          <w:sz w:val="24"/>
          <w:szCs w:val="24"/>
        </w:rPr>
      </w:pPr>
      <w:r w:rsidRPr="005963A3">
        <w:rPr>
          <w:rFonts w:ascii="Times New Roman" w:hAnsi="Times New Roman" w:cs="Times New Roman"/>
          <w:noProof/>
          <w:sz w:val="24"/>
          <w:szCs w:val="24"/>
        </w:rPr>
        <w:t>4.</w:t>
      </w:r>
      <w:r w:rsidRPr="005963A3">
        <w:rPr>
          <w:rFonts w:ascii="Times New Roman" w:hAnsi="Times New Roman" w:cs="Times New Roman"/>
          <w:noProof/>
          <w:sz w:val="24"/>
          <w:szCs w:val="24"/>
        </w:rPr>
        <w:tab/>
        <w:t xml:space="preserve">Gerber, F., Sharma, V. &amp; Lehning, M. CRYOWRF—Model Evaluation and the Effect of Blowing Snow on the Antarctic Surface Mass Balance. </w:t>
      </w:r>
      <w:r w:rsidRPr="005963A3">
        <w:rPr>
          <w:rFonts w:ascii="Times New Roman" w:hAnsi="Times New Roman" w:cs="Times New Roman"/>
          <w:i/>
          <w:iCs/>
          <w:noProof/>
          <w:sz w:val="24"/>
          <w:szCs w:val="24"/>
        </w:rPr>
        <w:t>J. Geophys. Res. Atmos.</w:t>
      </w:r>
      <w:r w:rsidRPr="005963A3">
        <w:rPr>
          <w:rFonts w:ascii="Times New Roman" w:hAnsi="Times New Roman" w:cs="Times New Roman"/>
          <w:noProof/>
          <w:sz w:val="24"/>
          <w:szCs w:val="24"/>
        </w:rPr>
        <w:t xml:space="preserve"> </w:t>
      </w:r>
      <w:r w:rsidRPr="005963A3">
        <w:rPr>
          <w:rFonts w:ascii="Times New Roman" w:hAnsi="Times New Roman" w:cs="Times New Roman"/>
          <w:b/>
          <w:bCs/>
          <w:noProof/>
          <w:sz w:val="24"/>
          <w:szCs w:val="24"/>
        </w:rPr>
        <w:t>128</w:t>
      </w:r>
      <w:r w:rsidRPr="005963A3">
        <w:rPr>
          <w:rFonts w:ascii="Times New Roman" w:hAnsi="Times New Roman" w:cs="Times New Roman"/>
          <w:noProof/>
          <w:sz w:val="24"/>
          <w:szCs w:val="24"/>
        </w:rPr>
        <w:t>, 1–19 (2023).</w:t>
      </w:r>
    </w:p>
    <w:p w14:paraId="50AC4C5D" w14:textId="77777777" w:rsidR="005963A3" w:rsidRPr="005963A3" w:rsidRDefault="005963A3" w:rsidP="005963A3">
      <w:pPr>
        <w:widowControl w:val="0"/>
        <w:autoSpaceDE w:val="0"/>
        <w:autoSpaceDN w:val="0"/>
        <w:adjustRightInd w:val="0"/>
        <w:spacing w:before="240" w:after="60" w:line="240" w:lineRule="auto"/>
        <w:ind w:left="640" w:hanging="640"/>
        <w:rPr>
          <w:rFonts w:ascii="Times New Roman" w:hAnsi="Times New Roman" w:cs="Times New Roman"/>
          <w:noProof/>
          <w:sz w:val="24"/>
          <w:szCs w:val="24"/>
        </w:rPr>
      </w:pPr>
      <w:r w:rsidRPr="005963A3">
        <w:rPr>
          <w:rFonts w:ascii="Times New Roman" w:hAnsi="Times New Roman" w:cs="Times New Roman"/>
          <w:noProof/>
          <w:sz w:val="24"/>
          <w:szCs w:val="24"/>
        </w:rPr>
        <w:t>5.</w:t>
      </w:r>
      <w:r w:rsidRPr="005963A3">
        <w:rPr>
          <w:rFonts w:ascii="Times New Roman" w:hAnsi="Times New Roman" w:cs="Times New Roman"/>
          <w:noProof/>
          <w:sz w:val="24"/>
          <w:szCs w:val="24"/>
        </w:rPr>
        <w:tab/>
        <w:t xml:space="preserve">Sharma, V., Gerber, F. &amp; Lehning, M. Introducing CRYOWRF v1.0: multiscale atmospheric flow simulations with advanced snow cover modelling. </w:t>
      </w:r>
      <w:r w:rsidRPr="005963A3">
        <w:rPr>
          <w:rFonts w:ascii="Times New Roman" w:hAnsi="Times New Roman" w:cs="Times New Roman"/>
          <w:i/>
          <w:iCs/>
          <w:noProof/>
          <w:sz w:val="24"/>
          <w:szCs w:val="24"/>
        </w:rPr>
        <w:t>Geosci. Model Dev.</w:t>
      </w:r>
      <w:r w:rsidRPr="005963A3">
        <w:rPr>
          <w:rFonts w:ascii="Times New Roman" w:hAnsi="Times New Roman" w:cs="Times New Roman"/>
          <w:noProof/>
          <w:sz w:val="24"/>
          <w:szCs w:val="24"/>
        </w:rPr>
        <w:t xml:space="preserve"> </w:t>
      </w:r>
      <w:r w:rsidRPr="005963A3">
        <w:rPr>
          <w:rFonts w:ascii="Times New Roman" w:hAnsi="Times New Roman" w:cs="Times New Roman"/>
          <w:b/>
          <w:bCs/>
          <w:noProof/>
          <w:sz w:val="24"/>
          <w:szCs w:val="24"/>
        </w:rPr>
        <w:t>16</w:t>
      </w:r>
      <w:r w:rsidRPr="005963A3">
        <w:rPr>
          <w:rFonts w:ascii="Times New Roman" w:hAnsi="Times New Roman" w:cs="Times New Roman"/>
          <w:noProof/>
          <w:sz w:val="24"/>
          <w:szCs w:val="24"/>
        </w:rPr>
        <w:t>, 719–749 (2023).</w:t>
      </w:r>
    </w:p>
    <w:p w14:paraId="7CFA7AD3" w14:textId="77777777" w:rsidR="005963A3" w:rsidRPr="005963A3" w:rsidRDefault="005963A3" w:rsidP="005963A3">
      <w:pPr>
        <w:widowControl w:val="0"/>
        <w:autoSpaceDE w:val="0"/>
        <w:autoSpaceDN w:val="0"/>
        <w:adjustRightInd w:val="0"/>
        <w:spacing w:before="240" w:after="60" w:line="240" w:lineRule="auto"/>
        <w:ind w:left="640" w:hanging="640"/>
        <w:rPr>
          <w:rFonts w:ascii="Times New Roman" w:hAnsi="Times New Roman" w:cs="Times New Roman"/>
          <w:noProof/>
          <w:sz w:val="24"/>
          <w:szCs w:val="24"/>
        </w:rPr>
      </w:pPr>
      <w:r w:rsidRPr="005963A3">
        <w:rPr>
          <w:rFonts w:ascii="Times New Roman" w:hAnsi="Times New Roman" w:cs="Times New Roman"/>
          <w:noProof/>
          <w:sz w:val="24"/>
          <w:szCs w:val="24"/>
        </w:rPr>
        <w:t>6.</w:t>
      </w:r>
      <w:r w:rsidRPr="005963A3">
        <w:rPr>
          <w:rFonts w:ascii="Times New Roman" w:hAnsi="Times New Roman" w:cs="Times New Roman"/>
          <w:noProof/>
          <w:sz w:val="24"/>
          <w:szCs w:val="24"/>
        </w:rPr>
        <w:tab/>
        <w:t xml:space="preserve">DeMott, P. J. </w:t>
      </w:r>
      <w:r w:rsidRPr="005963A3">
        <w:rPr>
          <w:rFonts w:ascii="Times New Roman" w:hAnsi="Times New Roman" w:cs="Times New Roman"/>
          <w:i/>
          <w:iCs/>
          <w:noProof/>
          <w:sz w:val="24"/>
          <w:szCs w:val="24"/>
        </w:rPr>
        <w:t>et al.</w:t>
      </w:r>
      <w:r w:rsidRPr="005963A3">
        <w:rPr>
          <w:rFonts w:ascii="Times New Roman" w:hAnsi="Times New Roman" w:cs="Times New Roman"/>
          <w:noProof/>
          <w:sz w:val="24"/>
          <w:szCs w:val="24"/>
        </w:rPr>
        <w:t xml:space="preserve"> Predicting global atmospheric ice nuclei distributions and their impacts on climate. </w:t>
      </w:r>
      <w:r w:rsidRPr="005963A3">
        <w:rPr>
          <w:rFonts w:ascii="Times New Roman" w:hAnsi="Times New Roman" w:cs="Times New Roman"/>
          <w:i/>
          <w:iCs/>
          <w:noProof/>
          <w:sz w:val="24"/>
          <w:szCs w:val="24"/>
        </w:rPr>
        <w:t>Proc. Natl. Acad. Sci.</w:t>
      </w:r>
      <w:r w:rsidRPr="005963A3">
        <w:rPr>
          <w:rFonts w:ascii="Times New Roman" w:hAnsi="Times New Roman" w:cs="Times New Roman"/>
          <w:noProof/>
          <w:sz w:val="24"/>
          <w:szCs w:val="24"/>
        </w:rPr>
        <w:t xml:space="preserve"> </w:t>
      </w:r>
      <w:r w:rsidRPr="005963A3">
        <w:rPr>
          <w:rFonts w:ascii="Times New Roman" w:hAnsi="Times New Roman" w:cs="Times New Roman"/>
          <w:b/>
          <w:bCs/>
          <w:noProof/>
          <w:sz w:val="24"/>
          <w:szCs w:val="24"/>
        </w:rPr>
        <w:t>107</w:t>
      </w:r>
      <w:r w:rsidRPr="005963A3">
        <w:rPr>
          <w:rFonts w:ascii="Times New Roman" w:hAnsi="Times New Roman" w:cs="Times New Roman"/>
          <w:noProof/>
          <w:sz w:val="24"/>
          <w:szCs w:val="24"/>
        </w:rPr>
        <w:t>, 11217–11222 (2010).</w:t>
      </w:r>
    </w:p>
    <w:p w14:paraId="3046F833" w14:textId="77777777" w:rsidR="005963A3" w:rsidRPr="002C656A" w:rsidRDefault="005963A3" w:rsidP="005963A3">
      <w:pPr>
        <w:widowControl w:val="0"/>
        <w:autoSpaceDE w:val="0"/>
        <w:autoSpaceDN w:val="0"/>
        <w:adjustRightInd w:val="0"/>
        <w:spacing w:before="240" w:after="60" w:line="240" w:lineRule="auto"/>
        <w:ind w:left="640" w:hanging="640"/>
        <w:rPr>
          <w:rFonts w:ascii="Times New Roman" w:hAnsi="Times New Roman" w:cs="Times New Roman"/>
          <w:noProof/>
          <w:sz w:val="24"/>
          <w:szCs w:val="24"/>
          <w:lang w:val="it-IT"/>
        </w:rPr>
      </w:pPr>
      <w:r w:rsidRPr="005963A3">
        <w:rPr>
          <w:rFonts w:ascii="Times New Roman" w:hAnsi="Times New Roman" w:cs="Times New Roman"/>
          <w:noProof/>
          <w:sz w:val="24"/>
          <w:szCs w:val="24"/>
        </w:rPr>
        <w:t>7.</w:t>
      </w:r>
      <w:r w:rsidRPr="005963A3">
        <w:rPr>
          <w:rFonts w:ascii="Times New Roman" w:hAnsi="Times New Roman" w:cs="Times New Roman"/>
          <w:noProof/>
          <w:sz w:val="24"/>
          <w:szCs w:val="24"/>
        </w:rPr>
        <w:tab/>
        <w:t xml:space="preserve">Hersbach, H. </w:t>
      </w:r>
      <w:r w:rsidRPr="005963A3">
        <w:rPr>
          <w:rFonts w:ascii="Times New Roman" w:hAnsi="Times New Roman" w:cs="Times New Roman"/>
          <w:i/>
          <w:iCs/>
          <w:noProof/>
          <w:sz w:val="24"/>
          <w:szCs w:val="24"/>
        </w:rPr>
        <w:t>et al.</w:t>
      </w:r>
      <w:r w:rsidRPr="005963A3">
        <w:rPr>
          <w:rFonts w:ascii="Times New Roman" w:hAnsi="Times New Roman" w:cs="Times New Roman"/>
          <w:noProof/>
          <w:sz w:val="24"/>
          <w:szCs w:val="24"/>
        </w:rPr>
        <w:t xml:space="preserve"> The ERA5 global reanalysis. </w:t>
      </w:r>
      <w:r w:rsidRPr="002C656A">
        <w:rPr>
          <w:rFonts w:ascii="Times New Roman" w:hAnsi="Times New Roman" w:cs="Times New Roman"/>
          <w:i/>
          <w:iCs/>
          <w:noProof/>
          <w:sz w:val="24"/>
          <w:szCs w:val="24"/>
          <w:lang w:val="it-IT"/>
        </w:rPr>
        <w:t>Q. J. R. Meteorol. Soc.</w:t>
      </w:r>
      <w:r w:rsidRPr="002C656A">
        <w:rPr>
          <w:rFonts w:ascii="Times New Roman" w:hAnsi="Times New Roman" w:cs="Times New Roman"/>
          <w:noProof/>
          <w:sz w:val="24"/>
          <w:szCs w:val="24"/>
          <w:lang w:val="it-IT"/>
        </w:rPr>
        <w:t xml:space="preserve"> </w:t>
      </w:r>
      <w:r w:rsidRPr="002C656A">
        <w:rPr>
          <w:rFonts w:ascii="Times New Roman" w:hAnsi="Times New Roman" w:cs="Times New Roman"/>
          <w:b/>
          <w:bCs/>
          <w:noProof/>
          <w:sz w:val="24"/>
          <w:szCs w:val="24"/>
          <w:lang w:val="it-IT"/>
        </w:rPr>
        <w:t>146</w:t>
      </w:r>
      <w:r w:rsidRPr="002C656A">
        <w:rPr>
          <w:rFonts w:ascii="Times New Roman" w:hAnsi="Times New Roman" w:cs="Times New Roman"/>
          <w:noProof/>
          <w:sz w:val="24"/>
          <w:szCs w:val="24"/>
          <w:lang w:val="it-IT"/>
        </w:rPr>
        <w:t>, 1999–2049 (2020).</w:t>
      </w:r>
    </w:p>
    <w:p w14:paraId="2DAC86A2" w14:textId="77777777" w:rsidR="005963A3" w:rsidRPr="005963A3" w:rsidRDefault="005963A3" w:rsidP="005963A3">
      <w:pPr>
        <w:widowControl w:val="0"/>
        <w:autoSpaceDE w:val="0"/>
        <w:autoSpaceDN w:val="0"/>
        <w:adjustRightInd w:val="0"/>
        <w:spacing w:before="240" w:after="60" w:line="240" w:lineRule="auto"/>
        <w:ind w:left="640" w:hanging="640"/>
        <w:rPr>
          <w:rFonts w:ascii="Times New Roman" w:hAnsi="Times New Roman" w:cs="Times New Roman"/>
          <w:noProof/>
          <w:sz w:val="24"/>
          <w:szCs w:val="24"/>
        </w:rPr>
      </w:pPr>
      <w:r w:rsidRPr="005963A3">
        <w:rPr>
          <w:rFonts w:ascii="Times New Roman" w:hAnsi="Times New Roman" w:cs="Times New Roman"/>
          <w:noProof/>
          <w:sz w:val="24"/>
          <w:szCs w:val="24"/>
        </w:rPr>
        <w:t>8.</w:t>
      </w:r>
      <w:r w:rsidRPr="005963A3">
        <w:rPr>
          <w:rFonts w:ascii="Times New Roman" w:hAnsi="Times New Roman" w:cs="Times New Roman"/>
          <w:noProof/>
          <w:sz w:val="24"/>
          <w:szCs w:val="24"/>
        </w:rPr>
        <w:tab/>
        <w:t xml:space="preserve">Hong, S. Y., Noh, Y. &amp; Dudhia, J. A new vertical diffusion package with an explicit treatment of entrainment processes. </w:t>
      </w:r>
      <w:r w:rsidRPr="005963A3">
        <w:rPr>
          <w:rFonts w:ascii="Times New Roman" w:hAnsi="Times New Roman" w:cs="Times New Roman"/>
          <w:i/>
          <w:iCs/>
          <w:noProof/>
          <w:sz w:val="24"/>
          <w:szCs w:val="24"/>
        </w:rPr>
        <w:t>Mon. Weather Rev.</w:t>
      </w:r>
      <w:r w:rsidRPr="005963A3">
        <w:rPr>
          <w:rFonts w:ascii="Times New Roman" w:hAnsi="Times New Roman" w:cs="Times New Roman"/>
          <w:noProof/>
          <w:sz w:val="24"/>
          <w:szCs w:val="24"/>
        </w:rPr>
        <w:t xml:space="preserve"> </w:t>
      </w:r>
      <w:r w:rsidRPr="005963A3">
        <w:rPr>
          <w:rFonts w:ascii="Times New Roman" w:hAnsi="Times New Roman" w:cs="Times New Roman"/>
          <w:b/>
          <w:bCs/>
          <w:noProof/>
          <w:sz w:val="24"/>
          <w:szCs w:val="24"/>
        </w:rPr>
        <w:t>134</w:t>
      </w:r>
      <w:r w:rsidRPr="005963A3">
        <w:rPr>
          <w:rFonts w:ascii="Times New Roman" w:hAnsi="Times New Roman" w:cs="Times New Roman"/>
          <w:noProof/>
          <w:sz w:val="24"/>
          <w:szCs w:val="24"/>
        </w:rPr>
        <w:t>, 2318–2341 (2006).</w:t>
      </w:r>
    </w:p>
    <w:p w14:paraId="4EB5C0FA" w14:textId="77777777" w:rsidR="005963A3" w:rsidRPr="005963A3" w:rsidRDefault="005963A3" w:rsidP="005963A3">
      <w:pPr>
        <w:widowControl w:val="0"/>
        <w:autoSpaceDE w:val="0"/>
        <w:autoSpaceDN w:val="0"/>
        <w:adjustRightInd w:val="0"/>
        <w:spacing w:before="240" w:after="60" w:line="240" w:lineRule="auto"/>
        <w:ind w:left="640" w:hanging="640"/>
        <w:rPr>
          <w:rFonts w:ascii="Times New Roman" w:hAnsi="Times New Roman" w:cs="Times New Roman"/>
          <w:noProof/>
          <w:sz w:val="24"/>
          <w:szCs w:val="24"/>
        </w:rPr>
      </w:pPr>
      <w:r w:rsidRPr="005963A3">
        <w:rPr>
          <w:rFonts w:ascii="Times New Roman" w:hAnsi="Times New Roman" w:cs="Times New Roman"/>
          <w:noProof/>
          <w:sz w:val="24"/>
          <w:szCs w:val="24"/>
        </w:rPr>
        <w:t>9.</w:t>
      </w:r>
      <w:r w:rsidRPr="005963A3">
        <w:rPr>
          <w:rFonts w:ascii="Times New Roman" w:hAnsi="Times New Roman" w:cs="Times New Roman"/>
          <w:noProof/>
          <w:sz w:val="24"/>
          <w:szCs w:val="24"/>
        </w:rPr>
        <w:tab/>
        <w:t xml:space="preserve">Janjić, Z. I. Nonsingular Implementation of the Mellor-Yamada Level 2.5 Scheme in the NCEP Meso model. </w:t>
      </w:r>
      <w:r w:rsidRPr="005963A3">
        <w:rPr>
          <w:rFonts w:ascii="Times New Roman" w:hAnsi="Times New Roman" w:cs="Times New Roman"/>
          <w:i/>
          <w:iCs/>
          <w:noProof/>
          <w:sz w:val="24"/>
          <w:szCs w:val="24"/>
        </w:rPr>
        <w:t>NOAA/NWS/NCEP Off. note 437</w:t>
      </w:r>
      <w:r w:rsidRPr="005963A3">
        <w:rPr>
          <w:rFonts w:ascii="Times New Roman" w:hAnsi="Times New Roman" w:cs="Times New Roman"/>
          <w:noProof/>
          <w:sz w:val="24"/>
          <w:szCs w:val="24"/>
        </w:rPr>
        <w:t xml:space="preserve"> 61 pp (2002).</w:t>
      </w:r>
    </w:p>
    <w:p w14:paraId="2DB925A4" w14:textId="77777777" w:rsidR="005963A3" w:rsidRPr="005963A3" w:rsidRDefault="005963A3" w:rsidP="005963A3">
      <w:pPr>
        <w:widowControl w:val="0"/>
        <w:autoSpaceDE w:val="0"/>
        <w:autoSpaceDN w:val="0"/>
        <w:adjustRightInd w:val="0"/>
        <w:spacing w:before="240" w:after="60" w:line="240" w:lineRule="auto"/>
        <w:ind w:left="640" w:hanging="640"/>
        <w:rPr>
          <w:rFonts w:ascii="Times New Roman" w:hAnsi="Times New Roman" w:cs="Times New Roman"/>
          <w:noProof/>
          <w:sz w:val="24"/>
          <w:szCs w:val="24"/>
        </w:rPr>
      </w:pPr>
      <w:r w:rsidRPr="005963A3">
        <w:rPr>
          <w:rFonts w:ascii="Times New Roman" w:hAnsi="Times New Roman" w:cs="Times New Roman"/>
          <w:noProof/>
          <w:sz w:val="24"/>
          <w:szCs w:val="24"/>
        </w:rPr>
        <w:t>10.</w:t>
      </w:r>
      <w:r w:rsidRPr="005963A3">
        <w:rPr>
          <w:rFonts w:ascii="Times New Roman" w:hAnsi="Times New Roman" w:cs="Times New Roman"/>
          <w:noProof/>
          <w:sz w:val="24"/>
          <w:szCs w:val="24"/>
        </w:rPr>
        <w:tab/>
        <w:t xml:space="preserve">Chen, F. &amp; Dudhia, J. Coupling and advanced land surface-hydrology model with the Penn State-NCAR MM5 modeling system. Part I: Model implementation and sensitivity. </w:t>
      </w:r>
      <w:r w:rsidRPr="005963A3">
        <w:rPr>
          <w:rFonts w:ascii="Times New Roman" w:hAnsi="Times New Roman" w:cs="Times New Roman"/>
          <w:i/>
          <w:iCs/>
          <w:noProof/>
          <w:sz w:val="24"/>
          <w:szCs w:val="24"/>
        </w:rPr>
        <w:t>Mon. Weather Rev.</w:t>
      </w:r>
      <w:r w:rsidRPr="005963A3">
        <w:rPr>
          <w:rFonts w:ascii="Times New Roman" w:hAnsi="Times New Roman" w:cs="Times New Roman"/>
          <w:noProof/>
          <w:sz w:val="24"/>
          <w:szCs w:val="24"/>
        </w:rPr>
        <w:t xml:space="preserve"> </w:t>
      </w:r>
      <w:r w:rsidRPr="005963A3">
        <w:rPr>
          <w:rFonts w:ascii="Times New Roman" w:hAnsi="Times New Roman" w:cs="Times New Roman"/>
          <w:b/>
          <w:bCs/>
          <w:noProof/>
          <w:sz w:val="24"/>
          <w:szCs w:val="24"/>
        </w:rPr>
        <w:t>129</w:t>
      </w:r>
      <w:r w:rsidRPr="005963A3">
        <w:rPr>
          <w:rFonts w:ascii="Times New Roman" w:hAnsi="Times New Roman" w:cs="Times New Roman"/>
          <w:noProof/>
          <w:sz w:val="24"/>
          <w:szCs w:val="24"/>
        </w:rPr>
        <w:t>, 569–585 (2001).</w:t>
      </w:r>
    </w:p>
    <w:p w14:paraId="32E5D0DB" w14:textId="77777777" w:rsidR="005963A3" w:rsidRPr="005963A3" w:rsidRDefault="005963A3" w:rsidP="005963A3">
      <w:pPr>
        <w:widowControl w:val="0"/>
        <w:autoSpaceDE w:val="0"/>
        <w:autoSpaceDN w:val="0"/>
        <w:adjustRightInd w:val="0"/>
        <w:spacing w:before="240" w:after="60" w:line="240" w:lineRule="auto"/>
        <w:ind w:left="640" w:hanging="640"/>
        <w:rPr>
          <w:rFonts w:ascii="Times New Roman" w:hAnsi="Times New Roman" w:cs="Times New Roman"/>
          <w:noProof/>
          <w:sz w:val="24"/>
          <w:szCs w:val="24"/>
        </w:rPr>
      </w:pPr>
      <w:r w:rsidRPr="005963A3">
        <w:rPr>
          <w:rFonts w:ascii="Times New Roman" w:hAnsi="Times New Roman" w:cs="Times New Roman"/>
          <w:noProof/>
          <w:sz w:val="24"/>
          <w:szCs w:val="24"/>
        </w:rPr>
        <w:t>11.</w:t>
      </w:r>
      <w:r w:rsidRPr="005963A3">
        <w:rPr>
          <w:rFonts w:ascii="Times New Roman" w:hAnsi="Times New Roman" w:cs="Times New Roman"/>
          <w:noProof/>
          <w:sz w:val="24"/>
          <w:szCs w:val="24"/>
        </w:rPr>
        <w:tab/>
        <w:t xml:space="preserve">Möhler, O. </w:t>
      </w:r>
      <w:r w:rsidRPr="005963A3">
        <w:rPr>
          <w:rFonts w:ascii="Times New Roman" w:hAnsi="Times New Roman" w:cs="Times New Roman"/>
          <w:i/>
          <w:iCs/>
          <w:noProof/>
          <w:sz w:val="24"/>
          <w:szCs w:val="24"/>
        </w:rPr>
        <w:t>et al.</w:t>
      </w:r>
      <w:r w:rsidRPr="005963A3">
        <w:rPr>
          <w:rFonts w:ascii="Times New Roman" w:hAnsi="Times New Roman" w:cs="Times New Roman"/>
          <w:noProof/>
          <w:sz w:val="24"/>
          <w:szCs w:val="24"/>
        </w:rPr>
        <w:t xml:space="preserve"> The Portable Ice Nucleation Experiment (PINE): A new online instrument for laboratory studies and automated long-term field observations of ice-nucleating particles. </w:t>
      </w:r>
      <w:r w:rsidRPr="005963A3">
        <w:rPr>
          <w:rFonts w:ascii="Times New Roman" w:hAnsi="Times New Roman" w:cs="Times New Roman"/>
          <w:i/>
          <w:iCs/>
          <w:noProof/>
          <w:sz w:val="24"/>
          <w:szCs w:val="24"/>
        </w:rPr>
        <w:t>Atmos. Meas. Tech.</w:t>
      </w:r>
      <w:r w:rsidRPr="005963A3">
        <w:rPr>
          <w:rFonts w:ascii="Times New Roman" w:hAnsi="Times New Roman" w:cs="Times New Roman"/>
          <w:noProof/>
          <w:sz w:val="24"/>
          <w:szCs w:val="24"/>
        </w:rPr>
        <w:t xml:space="preserve"> </w:t>
      </w:r>
      <w:r w:rsidRPr="005963A3">
        <w:rPr>
          <w:rFonts w:ascii="Times New Roman" w:hAnsi="Times New Roman" w:cs="Times New Roman"/>
          <w:b/>
          <w:bCs/>
          <w:noProof/>
          <w:sz w:val="24"/>
          <w:szCs w:val="24"/>
        </w:rPr>
        <w:t>14</w:t>
      </w:r>
      <w:r w:rsidRPr="005963A3">
        <w:rPr>
          <w:rFonts w:ascii="Times New Roman" w:hAnsi="Times New Roman" w:cs="Times New Roman"/>
          <w:noProof/>
          <w:sz w:val="24"/>
          <w:szCs w:val="24"/>
        </w:rPr>
        <w:t>, 1143–1166 (2021).</w:t>
      </w:r>
    </w:p>
    <w:p w14:paraId="358A37F4" w14:textId="77777777" w:rsidR="005963A3" w:rsidRPr="005963A3" w:rsidRDefault="005963A3" w:rsidP="005963A3">
      <w:pPr>
        <w:widowControl w:val="0"/>
        <w:autoSpaceDE w:val="0"/>
        <w:autoSpaceDN w:val="0"/>
        <w:adjustRightInd w:val="0"/>
        <w:spacing w:before="240" w:after="60" w:line="240" w:lineRule="auto"/>
        <w:ind w:left="640" w:hanging="640"/>
        <w:rPr>
          <w:rFonts w:ascii="Times New Roman" w:hAnsi="Times New Roman" w:cs="Times New Roman"/>
          <w:noProof/>
          <w:sz w:val="24"/>
          <w:szCs w:val="24"/>
        </w:rPr>
      </w:pPr>
      <w:r w:rsidRPr="005963A3">
        <w:rPr>
          <w:rFonts w:ascii="Times New Roman" w:hAnsi="Times New Roman" w:cs="Times New Roman"/>
          <w:noProof/>
          <w:sz w:val="24"/>
          <w:szCs w:val="24"/>
        </w:rPr>
        <w:t>12.</w:t>
      </w:r>
      <w:r w:rsidRPr="005963A3">
        <w:rPr>
          <w:rFonts w:ascii="Times New Roman" w:hAnsi="Times New Roman" w:cs="Times New Roman"/>
          <w:noProof/>
          <w:sz w:val="24"/>
          <w:szCs w:val="24"/>
        </w:rPr>
        <w:tab/>
        <w:t xml:space="preserve">Morrison, H., Curry, J. A., Shupe, M. D. &amp; Zuidema, P. A new double-moment microphysics scheme for application in cloud and climate models. Part II: Single-column modeling of Arctic clouds. </w:t>
      </w:r>
      <w:r w:rsidRPr="005963A3">
        <w:rPr>
          <w:rFonts w:ascii="Times New Roman" w:hAnsi="Times New Roman" w:cs="Times New Roman"/>
          <w:i/>
          <w:iCs/>
          <w:noProof/>
          <w:sz w:val="24"/>
          <w:szCs w:val="24"/>
        </w:rPr>
        <w:t>J. Atmos. Sci.</w:t>
      </w:r>
      <w:r w:rsidRPr="005963A3">
        <w:rPr>
          <w:rFonts w:ascii="Times New Roman" w:hAnsi="Times New Roman" w:cs="Times New Roman"/>
          <w:noProof/>
          <w:sz w:val="24"/>
          <w:szCs w:val="24"/>
        </w:rPr>
        <w:t xml:space="preserve"> </w:t>
      </w:r>
      <w:r w:rsidRPr="005963A3">
        <w:rPr>
          <w:rFonts w:ascii="Times New Roman" w:hAnsi="Times New Roman" w:cs="Times New Roman"/>
          <w:b/>
          <w:bCs/>
          <w:noProof/>
          <w:sz w:val="24"/>
          <w:szCs w:val="24"/>
        </w:rPr>
        <w:t>62</w:t>
      </w:r>
      <w:r w:rsidRPr="005963A3">
        <w:rPr>
          <w:rFonts w:ascii="Times New Roman" w:hAnsi="Times New Roman" w:cs="Times New Roman"/>
          <w:noProof/>
          <w:sz w:val="24"/>
          <w:szCs w:val="24"/>
        </w:rPr>
        <w:t>, 1678–1693 (2005).</w:t>
      </w:r>
    </w:p>
    <w:p w14:paraId="12914FAE" w14:textId="77777777" w:rsidR="005963A3" w:rsidRPr="005963A3" w:rsidRDefault="005963A3" w:rsidP="005963A3">
      <w:pPr>
        <w:widowControl w:val="0"/>
        <w:autoSpaceDE w:val="0"/>
        <w:autoSpaceDN w:val="0"/>
        <w:adjustRightInd w:val="0"/>
        <w:spacing w:before="240" w:after="60" w:line="240" w:lineRule="auto"/>
        <w:ind w:left="640" w:hanging="640"/>
        <w:rPr>
          <w:rFonts w:ascii="Times New Roman" w:hAnsi="Times New Roman" w:cs="Times New Roman"/>
          <w:noProof/>
          <w:sz w:val="24"/>
          <w:szCs w:val="24"/>
        </w:rPr>
      </w:pPr>
      <w:r w:rsidRPr="005963A3">
        <w:rPr>
          <w:rFonts w:ascii="Times New Roman" w:hAnsi="Times New Roman" w:cs="Times New Roman"/>
          <w:noProof/>
          <w:sz w:val="24"/>
          <w:szCs w:val="24"/>
        </w:rPr>
        <w:lastRenderedPageBreak/>
        <w:t>13.</w:t>
      </w:r>
      <w:r w:rsidRPr="005963A3">
        <w:rPr>
          <w:rFonts w:ascii="Times New Roman" w:hAnsi="Times New Roman" w:cs="Times New Roman"/>
          <w:noProof/>
          <w:sz w:val="24"/>
          <w:szCs w:val="24"/>
        </w:rPr>
        <w:tab/>
        <w:t xml:space="preserve">Meyers, M. P., DeMott, P. J. &amp; Cotton, W. R. New Primary Ice-Nucleation Parameterizations in an Explicit Cloud Model. </w:t>
      </w:r>
      <w:r w:rsidRPr="005963A3">
        <w:rPr>
          <w:rFonts w:ascii="Times New Roman" w:hAnsi="Times New Roman" w:cs="Times New Roman"/>
          <w:i/>
          <w:iCs/>
          <w:noProof/>
          <w:sz w:val="24"/>
          <w:szCs w:val="24"/>
        </w:rPr>
        <w:t>J. Appl. Meteorol.</w:t>
      </w:r>
      <w:r w:rsidRPr="005963A3">
        <w:rPr>
          <w:rFonts w:ascii="Times New Roman" w:hAnsi="Times New Roman" w:cs="Times New Roman"/>
          <w:noProof/>
          <w:sz w:val="24"/>
          <w:szCs w:val="24"/>
        </w:rPr>
        <w:t xml:space="preserve"> </w:t>
      </w:r>
      <w:r w:rsidRPr="005963A3">
        <w:rPr>
          <w:rFonts w:ascii="Times New Roman" w:hAnsi="Times New Roman" w:cs="Times New Roman"/>
          <w:b/>
          <w:bCs/>
          <w:noProof/>
          <w:sz w:val="24"/>
          <w:szCs w:val="24"/>
        </w:rPr>
        <w:t>31</w:t>
      </w:r>
      <w:r w:rsidRPr="005963A3">
        <w:rPr>
          <w:rFonts w:ascii="Times New Roman" w:hAnsi="Times New Roman" w:cs="Times New Roman"/>
          <w:noProof/>
          <w:sz w:val="24"/>
          <w:szCs w:val="24"/>
        </w:rPr>
        <w:t>, 708–721 (1992).</w:t>
      </w:r>
    </w:p>
    <w:p w14:paraId="6BAA76FD" w14:textId="77777777" w:rsidR="005963A3" w:rsidRPr="005963A3" w:rsidRDefault="005963A3" w:rsidP="005963A3">
      <w:pPr>
        <w:widowControl w:val="0"/>
        <w:autoSpaceDE w:val="0"/>
        <w:autoSpaceDN w:val="0"/>
        <w:adjustRightInd w:val="0"/>
        <w:spacing w:before="240" w:after="60" w:line="240" w:lineRule="auto"/>
        <w:ind w:left="640" w:hanging="640"/>
        <w:rPr>
          <w:rFonts w:ascii="Times New Roman" w:hAnsi="Times New Roman" w:cs="Times New Roman"/>
          <w:noProof/>
          <w:sz w:val="24"/>
        </w:rPr>
      </w:pPr>
      <w:r w:rsidRPr="005963A3">
        <w:rPr>
          <w:rFonts w:ascii="Times New Roman" w:hAnsi="Times New Roman" w:cs="Times New Roman"/>
          <w:noProof/>
          <w:sz w:val="24"/>
          <w:szCs w:val="24"/>
        </w:rPr>
        <w:t>14.</w:t>
      </w:r>
      <w:r w:rsidRPr="005963A3">
        <w:rPr>
          <w:rFonts w:ascii="Times New Roman" w:hAnsi="Times New Roman" w:cs="Times New Roman"/>
          <w:noProof/>
          <w:sz w:val="24"/>
          <w:szCs w:val="24"/>
        </w:rPr>
        <w:tab/>
        <w:t xml:space="preserve">Cooper, W. A. Ice Initiation in Natural Clouds. </w:t>
      </w:r>
      <w:r w:rsidRPr="005963A3">
        <w:rPr>
          <w:rFonts w:ascii="Times New Roman" w:hAnsi="Times New Roman" w:cs="Times New Roman"/>
          <w:i/>
          <w:iCs/>
          <w:noProof/>
          <w:sz w:val="24"/>
          <w:szCs w:val="24"/>
        </w:rPr>
        <w:t>Meteorol. Monogr.</w:t>
      </w:r>
      <w:r w:rsidRPr="005963A3">
        <w:rPr>
          <w:rFonts w:ascii="Times New Roman" w:hAnsi="Times New Roman" w:cs="Times New Roman"/>
          <w:noProof/>
          <w:sz w:val="24"/>
          <w:szCs w:val="24"/>
        </w:rPr>
        <w:t xml:space="preserve"> </w:t>
      </w:r>
      <w:r w:rsidRPr="005963A3">
        <w:rPr>
          <w:rFonts w:ascii="Times New Roman" w:hAnsi="Times New Roman" w:cs="Times New Roman"/>
          <w:b/>
          <w:bCs/>
          <w:noProof/>
          <w:sz w:val="24"/>
          <w:szCs w:val="24"/>
        </w:rPr>
        <w:t>21</w:t>
      </w:r>
      <w:r w:rsidRPr="005963A3">
        <w:rPr>
          <w:rFonts w:ascii="Times New Roman" w:hAnsi="Times New Roman" w:cs="Times New Roman"/>
          <w:noProof/>
          <w:sz w:val="24"/>
          <w:szCs w:val="24"/>
        </w:rPr>
        <w:t>, 29–32 (1986).</w:t>
      </w:r>
    </w:p>
    <w:p w14:paraId="400C028E" w14:textId="516B0642" w:rsidR="00943F6A" w:rsidRPr="00991121" w:rsidRDefault="008C5C64" w:rsidP="008C5C64">
      <w:pPr>
        <w:pStyle w:val="SMHeading"/>
        <w:jc w:val="both"/>
      </w:pPr>
      <w:r>
        <w:fldChar w:fldCharType="end"/>
      </w:r>
    </w:p>
    <w:sectPr w:rsidR="00943F6A" w:rsidRPr="00991121" w:rsidSect="0012384C">
      <w:footerReference w:type="first" r:id="rId19"/>
      <w:type w:val="continuous"/>
      <w:pgSz w:w="12240" w:h="15840"/>
      <w:pgMar w:top="1440" w:right="1797" w:bottom="1440" w:left="1797" w:header="720" w:footer="72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526EC" w14:textId="77777777" w:rsidR="00A35689" w:rsidRDefault="00A35689" w:rsidP="00D360EC">
      <w:pPr>
        <w:spacing w:after="0" w:line="240" w:lineRule="auto"/>
      </w:pPr>
      <w:r>
        <w:separator/>
      </w:r>
    </w:p>
  </w:endnote>
  <w:endnote w:type="continuationSeparator" w:id="0">
    <w:p w14:paraId="49FC2445" w14:textId="77777777" w:rsidR="00A35689" w:rsidRDefault="00A35689" w:rsidP="00D360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5919522"/>
      <w:docPartObj>
        <w:docPartGallery w:val="Page Numbers (Bottom of Page)"/>
        <w:docPartUnique/>
      </w:docPartObj>
    </w:sdtPr>
    <w:sdtEndPr>
      <w:rPr>
        <w:noProof/>
      </w:rPr>
    </w:sdtEndPr>
    <w:sdtContent>
      <w:p w14:paraId="59F675D9" w14:textId="1EC3F48A" w:rsidR="00D360EC" w:rsidRDefault="00D360E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E310CB" w14:textId="77777777" w:rsidR="00D360EC" w:rsidRDefault="00D360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11977" w14:textId="77777777" w:rsidR="00A35689" w:rsidRDefault="00A35689" w:rsidP="00D360EC">
      <w:pPr>
        <w:spacing w:after="0" w:line="240" w:lineRule="auto"/>
      </w:pPr>
      <w:r>
        <w:separator/>
      </w:r>
    </w:p>
  </w:footnote>
  <w:footnote w:type="continuationSeparator" w:id="0">
    <w:p w14:paraId="439BDC6C" w14:textId="77777777" w:rsidR="00A35689" w:rsidRDefault="00A35689" w:rsidP="00D360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8A6A11"/>
    <w:multiLevelType w:val="hybridMultilevel"/>
    <w:tmpl w:val="028ABC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9D4332"/>
    <w:multiLevelType w:val="multilevel"/>
    <w:tmpl w:val="4ECEB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6287823">
    <w:abstractNumId w:val="0"/>
  </w:num>
  <w:num w:numId="2" w16cid:durableId="6920747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82A93"/>
    <w:rsid w:val="00001723"/>
    <w:rsid w:val="00001CD5"/>
    <w:rsid w:val="000036F6"/>
    <w:rsid w:val="00010AA3"/>
    <w:rsid w:val="00015AB4"/>
    <w:rsid w:val="0002041C"/>
    <w:rsid w:val="0002448D"/>
    <w:rsid w:val="000309A2"/>
    <w:rsid w:val="00030BBA"/>
    <w:rsid w:val="00034DA9"/>
    <w:rsid w:val="00034FC5"/>
    <w:rsid w:val="00036FE7"/>
    <w:rsid w:val="00041141"/>
    <w:rsid w:val="00041AAE"/>
    <w:rsid w:val="00041C97"/>
    <w:rsid w:val="00047EAD"/>
    <w:rsid w:val="000608CE"/>
    <w:rsid w:val="00064FD9"/>
    <w:rsid w:val="0007235C"/>
    <w:rsid w:val="00072E08"/>
    <w:rsid w:val="000731DF"/>
    <w:rsid w:val="0007414D"/>
    <w:rsid w:val="00075233"/>
    <w:rsid w:val="00075404"/>
    <w:rsid w:val="00090A1B"/>
    <w:rsid w:val="00094A9A"/>
    <w:rsid w:val="0009502E"/>
    <w:rsid w:val="00096E13"/>
    <w:rsid w:val="000A13C8"/>
    <w:rsid w:val="000A3370"/>
    <w:rsid w:val="000A365A"/>
    <w:rsid w:val="000A6F56"/>
    <w:rsid w:val="000B19F5"/>
    <w:rsid w:val="000B7571"/>
    <w:rsid w:val="000C20FC"/>
    <w:rsid w:val="000C59C6"/>
    <w:rsid w:val="000C6997"/>
    <w:rsid w:val="000D00E8"/>
    <w:rsid w:val="000D60BE"/>
    <w:rsid w:val="000D6EB5"/>
    <w:rsid w:val="000D6FCD"/>
    <w:rsid w:val="000D7548"/>
    <w:rsid w:val="000E0CFD"/>
    <w:rsid w:val="000E1B9C"/>
    <w:rsid w:val="000E5BE0"/>
    <w:rsid w:val="000F240F"/>
    <w:rsid w:val="000F733B"/>
    <w:rsid w:val="00100411"/>
    <w:rsid w:val="00105C69"/>
    <w:rsid w:val="00110DF7"/>
    <w:rsid w:val="00116C68"/>
    <w:rsid w:val="0012384C"/>
    <w:rsid w:val="00123866"/>
    <w:rsid w:val="0012603D"/>
    <w:rsid w:val="00127D31"/>
    <w:rsid w:val="00135147"/>
    <w:rsid w:val="00140A4B"/>
    <w:rsid w:val="001546A0"/>
    <w:rsid w:val="001679CC"/>
    <w:rsid w:val="00172211"/>
    <w:rsid w:val="00177C07"/>
    <w:rsid w:val="001831BE"/>
    <w:rsid w:val="001871DA"/>
    <w:rsid w:val="00187A39"/>
    <w:rsid w:val="00193AFE"/>
    <w:rsid w:val="00196A9E"/>
    <w:rsid w:val="001A02DD"/>
    <w:rsid w:val="001A2BBE"/>
    <w:rsid w:val="001A4E32"/>
    <w:rsid w:val="001B083C"/>
    <w:rsid w:val="001B35DC"/>
    <w:rsid w:val="001B5FC8"/>
    <w:rsid w:val="001C7648"/>
    <w:rsid w:val="001D0761"/>
    <w:rsid w:val="001D0A8A"/>
    <w:rsid w:val="001E5BB2"/>
    <w:rsid w:val="001F1EB3"/>
    <w:rsid w:val="001F6F52"/>
    <w:rsid w:val="001F724F"/>
    <w:rsid w:val="00212EAC"/>
    <w:rsid w:val="002133E6"/>
    <w:rsid w:val="002179FE"/>
    <w:rsid w:val="00224CA3"/>
    <w:rsid w:val="00224E83"/>
    <w:rsid w:val="00224F42"/>
    <w:rsid w:val="002421DC"/>
    <w:rsid w:val="00242671"/>
    <w:rsid w:val="0024637B"/>
    <w:rsid w:val="002725DE"/>
    <w:rsid w:val="00277847"/>
    <w:rsid w:val="002903FD"/>
    <w:rsid w:val="00294964"/>
    <w:rsid w:val="002977A0"/>
    <w:rsid w:val="002A47EE"/>
    <w:rsid w:val="002A548C"/>
    <w:rsid w:val="002A588A"/>
    <w:rsid w:val="002B1BC6"/>
    <w:rsid w:val="002B39C0"/>
    <w:rsid w:val="002B4611"/>
    <w:rsid w:val="002B4F59"/>
    <w:rsid w:val="002C4184"/>
    <w:rsid w:val="002C4D1B"/>
    <w:rsid w:val="002C5AB5"/>
    <w:rsid w:val="002C656A"/>
    <w:rsid w:val="002D2C73"/>
    <w:rsid w:val="002D368F"/>
    <w:rsid w:val="002D67CE"/>
    <w:rsid w:val="002E06D3"/>
    <w:rsid w:val="002E3404"/>
    <w:rsid w:val="002E5881"/>
    <w:rsid w:val="002E781A"/>
    <w:rsid w:val="002E7AD1"/>
    <w:rsid w:val="002E7ECC"/>
    <w:rsid w:val="002F2B77"/>
    <w:rsid w:val="00300A78"/>
    <w:rsid w:val="00304B45"/>
    <w:rsid w:val="0030606D"/>
    <w:rsid w:val="0031209F"/>
    <w:rsid w:val="00320FC6"/>
    <w:rsid w:val="003224A9"/>
    <w:rsid w:val="0033038F"/>
    <w:rsid w:val="003360DD"/>
    <w:rsid w:val="00344D94"/>
    <w:rsid w:val="00344EF0"/>
    <w:rsid w:val="00352AB3"/>
    <w:rsid w:val="00354DF0"/>
    <w:rsid w:val="00370107"/>
    <w:rsid w:val="00386B17"/>
    <w:rsid w:val="003A2F2C"/>
    <w:rsid w:val="003A5365"/>
    <w:rsid w:val="003A67E5"/>
    <w:rsid w:val="003C70D1"/>
    <w:rsid w:val="003C7B57"/>
    <w:rsid w:val="003D1E5C"/>
    <w:rsid w:val="003D2953"/>
    <w:rsid w:val="003E4E90"/>
    <w:rsid w:val="0042060F"/>
    <w:rsid w:val="00421F22"/>
    <w:rsid w:val="00430B34"/>
    <w:rsid w:val="004335CD"/>
    <w:rsid w:val="00435D01"/>
    <w:rsid w:val="00445166"/>
    <w:rsid w:val="0044736B"/>
    <w:rsid w:val="00450BA5"/>
    <w:rsid w:val="004620B2"/>
    <w:rsid w:val="00470C12"/>
    <w:rsid w:val="00473A99"/>
    <w:rsid w:val="00481D20"/>
    <w:rsid w:val="00483408"/>
    <w:rsid w:val="00485C42"/>
    <w:rsid w:val="0049093C"/>
    <w:rsid w:val="00491228"/>
    <w:rsid w:val="004A7DAC"/>
    <w:rsid w:val="004B314E"/>
    <w:rsid w:val="004B3378"/>
    <w:rsid w:val="004B5588"/>
    <w:rsid w:val="004C3A38"/>
    <w:rsid w:val="004C4991"/>
    <w:rsid w:val="004D06E8"/>
    <w:rsid w:val="004D0E5E"/>
    <w:rsid w:val="004D29F9"/>
    <w:rsid w:val="004E443C"/>
    <w:rsid w:val="004F1C20"/>
    <w:rsid w:val="004F61EC"/>
    <w:rsid w:val="00501174"/>
    <w:rsid w:val="00502554"/>
    <w:rsid w:val="0051161C"/>
    <w:rsid w:val="00524849"/>
    <w:rsid w:val="00526456"/>
    <w:rsid w:val="00531575"/>
    <w:rsid w:val="00533CE9"/>
    <w:rsid w:val="00534546"/>
    <w:rsid w:val="00544342"/>
    <w:rsid w:val="00552A4F"/>
    <w:rsid w:val="0056156B"/>
    <w:rsid w:val="00563276"/>
    <w:rsid w:val="00572F4E"/>
    <w:rsid w:val="005963A3"/>
    <w:rsid w:val="005A7449"/>
    <w:rsid w:val="005A763D"/>
    <w:rsid w:val="005A7742"/>
    <w:rsid w:val="005B2A2B"/>
    <w:rsid w:val="005B61D3"/>
    <w:rsid w:val="005B7866"/>
    <w:rsid w:val="005B7975"/>
    <w:rsid w:val="005C0D63"/>
    <w:rsid w:val="005C726D"/>
    <w:rsid w:val="005D16D4"/>
    <w:rsid w:val="005D7C8A"/>
    <w:rsid w:val="005E3BE9"/>
    <w:rsid w:val="005F1ACD"/>
    <w:rsid w:val="00600470"/>
    <w:rsid w:val="0060226E"/>
    <w:rsid w:val="00605674"/>
    <w:rsid w:val="006059D9"/>
    <w:rsid w:val="0061045E"/>
    <w:rsid w:val="0061407A"/>
    <w:rsid w:val="006155B1"/>
    <w:rsid w:val="00615CB0"/>
    <w:rsid w:val="00617973"/>
    <w:rsid w:val="00630944"/>
    <w:rsid w:val="00632D2E"/>
    <w:rsid w:val="00635EAD"/>
    <w:rsid w:val="00640AE1"/>
    <w:rsid w:val="00655BCE"/>
    <w:rsid w:val="00656082"/>
    <w:rsid w:val="00665956"/>
    <w:rsid w:val="0067002C"/>
    <w:rsid w:val="006708EA"/>
    <w:rsid w:val="00672AB1"/>
    <w:rsid w:val="0068249F"/>
    <w:rsid w:val="00686FC7"/>
    <w:rsid w:val="00693BF4"/>
    <w:rsid w:val="00696DA2"/>
    <w:rsid w:val="0069728E"/>
    <w:rsid w:val="006A44D3"/>
    <w:rsid w:val="006B1DD3"/>
    <w:rsid w:val="006B21F5"/>
    <w:rsid w:val="006D1C14"/>
    <w:rsid w:val="006E14FA"/>
    <w:rsid w:val="006E3D96"/>
    <w:rsid w:val="006E6EE3"/>
    <w:rsid w:val="006F1616"/>
    <w:rsid w:val="006F4B9D"/>
    <w:rsid w:val="006F53EB"/>
    <w:rsid w:val="006F7B5A"/>
    <w:rsid w:val="007009F3"/>
    <w:rsid w:val="00701EC0"/>
    <w:rsid w:val="00704899"/>
    <w:rsid w:val="00705F32"/>
    <w:rsid w:val="00720E3D"/>
    <w:rsid w:val="007218EC"/>
    <w:rsid w:val="007350D6"/>
    <w:rsid w:val="007360E9"/>
    <w:rsid w:val="00744D69"/>
    <w:rsid w:val="00746C33"/>
    <w:rsid w:val="00750145"/>
    <w:rsid w:val="0075535B"/>
    <w:rsid w:val="00756E46"/>
    <w:rsid w:val="0077468C"/>
    <w:rsid w:val="007B23D4"/>
    <w:rsid w:val="007B2AAD"/>
    <w:rsid w:val="007B6269"/>
    <w:rsid w:val="007B6B92"/>
    <w:rsid w:val="007C6F95"/>
    <w:rsid w:val="007D46D5"/>
    <w:rsid w:val="007E47F5"/>
    <w:rsid w:val="007F16E5"/>
    <w:rsid w:val="007F3008"/>
    <w:rsid w:val="00810256"/>
    <w:rsid w:val="00820A83"/>
    <w:rsid w:val="008247DB"/>
    <w:rsid w:val="00824A30"/>
    <w:rsid w:val="0083255C"/>
    <w:rsid w:val="00832D2E"/>
    <w:rsid w:val="0084110A"/>
    <w:rsid w:val="008414A6"/>
    <w:rsid w:val="008549A7"/>
    <w:rsid w:val="008746CA"/>
    <w:rsid w:val="00882A93"/>
    <w:rsid w:val="00890401"/>
    <w:rsid w:val="00893C46"/>
    <w:rsid w:val="00894371"/>
    <w:rsid w:val="008A69A3"/>
    <w:rsid w:val="008B14FC"/>
    <w:rsid w:val="008B51F9"/>
    <w:rsid w:val="008C07ED"/>
    <w:rsid w:val="008C5616"/>
    <w:rsid w:val="008C5C64"/>
    <w:rsid w:val="008D0860"/>
    <w:rsid w:val="008E70FD"/>
    <w:rsid w:val="008F2D4A"/>
    <w:rsid w:val="00901819"/>
    <w:rsid w:val="009069ED"/>
    <w:rsid w:val="00907C4B"/>
    <w:rsid w:val="009241B6"/>
    <w:rsid w:val="00926126"/>
    <w:rsid w:val="0092771C"/>
    <w:rsid w:val="009302EF"/>
    <w:rsid w:val="00932479"/>
    <w:rsid w:val="009373B1"/>
    <w:rsid w:val="00943F6A"/>
    <w:rsid w:val="0094424A"/>
    <w:rsid w:val="00952F08"/>
    <w:rsid w:val="00980598"/>
    <w:rsid w:val="00982D19"/>
    <w:rsid w:val="009844BB"/>
    <w:rsid w:val="00985262"/>
    <w:rsid w:val="00987B25"/>
    <w:rsid w:val="00991121"/>
    <w:rsid w:val="009A5821"/>
    <w:rsid w:val="009C548B"/>
    <w:rsid w:val="009C638D"/>
    <w:rsid w:val="009C7389"/>
    <w:rsid w:val="009D15CC"/>
    <w:rsid w:val="009D16FD"/>
    <w:rsid w:val="009F3E07"/>
    <w:rsid w:val="00A03B28"/>
    <w:rsid w:val="00A04ACA"/>
    <w:rsid w:val="00A16AB5"/>
    <w:rsid w:val="00A25854"/>
    <w:rsid w:val="00A33B66"/>
    <w:rsid w:val="00A33C8A"/>
    <w:rsid w:val="00A35689"/>
    <w:rsid w:val="00A43CEF"/>
    <w:rsid w:val="00A54DF3"/>
    <w:rsid w:val="00A639E2"/>
    <w:rsid w:val="00A74D9B"/>
    <w:rsid w:val="00A75C97"/>
    <w:rsid w:val="00A77655"/>
    <w:rsid w:val="00A837CE"/>
    <w:rsid w:val="00AA27A3"/>
    <w:rsid w:val="00AB4FE6"/>
    <w:rsid w:val="00AC088D"/>
    <w:rsid w:val="00AC1718"/>
    <w:rsid w:val="00AC4973"/>
    <w:rsid w:val="00AC5BFA"/>
    <w:rsid w:val="00AD6DB6"/>
    <w:rsid w:val="00AD7974"/>
    <w:rsid w:val="00AF1693"/>
    <w:rsid w:val="00AF32B8"/>
    <w:rsid w:val="00AF58B0"/>
    <w:rsid w:val="00B03584"/>
    <w:rsid w:val="00B04C62"/>
    <w:rsid w:val="00B11382"/>
    <w:rsid w:val="00B25BD8"/>
    <w:rsid w:val="00B54E4E"/>
    <w:rsid w:val="00B55F62"/>
    <w:rsid w:val="00B5656C"/>
    <w:rsid w:val="00B608ED"/>
    <w:rsid w:val="00B72D51"/>
    <w:rsid w:val="00B9047A"/>
    <w:rsid w:val="00B912D1"/>
    <w:rsid w:val="00B96A4D"/>
    <w:rsid w:val="00BA6F05"/>
    <w:rsid w:val="00BB0F7F"/>
    <w:rsid w:val="00BB64B7"/>
    <w:rsid w:val="00BB7227"/>
    <w:rsid w:val="00BC4705"/>
    <w:rsid w:val="00BD1196"/>
    <w:rsid w:val="00BD1C05"/>
    <w:rsid w:val="00BD387A"/>
    <w:rsid w:val="00BE490C"/>
    <w:rsid w:val="00BF4D64"/>
    <w:rsid w:val="00BF5459"/>
    <w:rsid w:val="00BF635C"/>
    <w:rsid w:val="00C00FAD"/>
    <w:rsid w:val="00C07287"/>
    <w:rsid w:val="00C077D5"/>
    <w:rsid w:val="00C1387B"/>
    <w:rsid w:val="00C1693D"/>
    <w:rsid w:val="00C17F7A"/>
    <w:rsid w:val="00C228CD"/>
    <w:rsid w:val="00C23D3B"/>
    <w:rsid w:val="00C254CA"/>
    <w:rsid w:val="00C37B41"/>
    <w:rsid w:val="00C40BCD"/>
    <w:rsid w:val="00C51D4B"/>
    <w:rsid w:val="00C55CB3"/>
    <w:rsid w:val="00C56D5C"/>
    <w:rsid w:val="00C578C0"/>
    <w:rsid w:val="00C61B3A"/>
    <w:rsid w:val="00C7144C"/>
    <w:rsid w:val="00C72A1B"/>
    <w:rsid w:val="00C77E52"/>
    <w:rsid w:val="00C87FBA"/>
    <w:rsid w:val="00C932C2"/>
    <w:rsid w:val="00CA040E"/>
    <w:rsid w:val="00CA2D82"/>
    <w:rsid w:val="00CA7018"/>
    <w:rsid w:val="00CB014C"/>
    <w:rsid w:val="00CB103F"/>
    <w:rsid w:val="00CB3B7F"/>
    <w:rsid w:val="00CB6043"/>
    <w:rsid w:val="00CC01CC"/>
    <w:rsid w:val="00CD131E"/>
    <w:rsid w:val="00CE060D"/>
    <w:rsid w:val="00CF6CE8"/>
    <w:rsid w:val="00D05FA7"/>
    <w:rsid w:val="00D11B3E"/>
    <w:rsid w:val="00D12030"/>
    <w:rsid w:val="00D1288E"/>
    <w:rsid w:val="00D15608"/>
    <w:rsid w:val="00D2031F"/>
    <w:rsid w:val="00D26D22"/>
    <w:rsid w:val="00D31D36"/>
    <w:rsid w:val="00D35DD1"/>
    <w:rsid w:val="00D360EC"/>
    <w:rsid w:val="00D3793F"/>
    <w:rsid w:val="00D4054C"/>
    <w:rsid w:val="00D5161E"/>
    <w:rsid w:val="00D5455F"/>
    <w:rsid w:val="00D60407"/>
    <w:rsid w:val="00D63F2C"/>
    <w:rsid w:val="00D70D39"/>
    <w:rsid w:val="00D74D7B"/>
    <w:rsid w:val="00D873D2"/>
    <w:rsid w:val="00D91A6C"/>
    <w:rsid w:val="00DA3EFE"/>
    <w:rsid w:val="00DA7D7C"/>
    <w:rsid w:val="00DC4423"/>
    <w:rsid w:val="00DF40B9"/>
    <w:rsid w:val="00DF4540"/>
    <w:rsid w:val="00DF6B3F"/>
    <w:rsid w:val="00E01F67"/>
    <w:rsid w:val="00E0263B"/>
    <w:rsid w:val="00E20211"/>
    <w:rsid w:val="00E26726"/>
    <w:rsid w:val="00E31D75"/>
    <w:rsid w:val="00E54208"/>
    <w:rsid w:val="00E60A4D"/>
    <w:rsid w:val="00E70AF5"/>
    <w:rsid w:val="00E739EA"/>
    <w:rsid w:val="00E762E8"/>
    <w:rsid w:val="00E83DF8"/>
    <w:rsid w:val="00E856BC"/>
    <w:rsid w:val="00E9162A"/>
    <w:rsid w:val="00E96CBF"/>
    <w:rsid w:val="00EA7051"/>
    <w:rsid w:val="00EB3EC0"/>
    <w:rsid w:val="00EB6743"/>
    <w:rsid w:val="00ED5E00"/>
    <w:rsid w:val="00EF37DF"/>
    <w:rsid w:val="00EF3BF8"/>
    <w:rsid w:val="00F00DA0"/>
    <w:rsid w:val="00F06AB8"/>
    <w:rsid w:val="00F1331F"/>
    <w:rsid w:val="00F1742B"/>
    <w:rsid w:val="00F21BB5"/>
    <w:rsid w:val="00F2490F"/>
    <w:rsid w:val="00F26918"/>
    <w:rsid w:val="00F305F5"/>
    <w:rsid w:val="00F30EFE"/>
    <w:rsid w:val="00F32B7C"/>
    <w:rsid w:val="00F3405A"/>
    <w:rsid w:val="00F3649C"/>
    <w:rsid w:val="00F50751"/>
    <w:rsid w:val="00F51CA6"/>
    <w:rsid w:val="00F63B61"/>
    <w:rsid w:val="00F64913"/>
    <w:rsid w:val="00F66DBF"/>
    <w:rsid w:val="00F70A0C"/>
    <w:rsid w:val="00F719CD"/>
    <w:rsid w:val="00F77704"/>
    <w:rsid w:val="00F82845"/>
    <w:rsid w:val="00F8746D"/>
    <w:rsid w:val="00F941CE"/>
    <w:rsid w:val="00F96F36"/>
    <w:rsid w:val="00FA0DB8"/>
    <w:rsid w:val="00FA17B0"/>
    <w:rsid w:val="00FA21E8"/>
    <w:rsid w:val="00FA2A11"/>
    <w:rsid w:val="00FA3A33"/>
    <w:rsid w:val="00FA4471"/>
    <w:rsid w:val="00FC0D31"/>
    <w:rsid w:val="00FC2123"/>
    <w:rsid w:val="00FD04B3"/>
    <w:rsid w:val="00FD213B"/>
    <w:rsid w:val="00FD4B07"/>
    <w:rsid w:val="00FE0043"/>
    <w:rsid w:val="00FF53D0"/>
    <w:rsid w:val="00FF73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0D9619"/>
  <w15:docId w15:val="{1F40CA79-D48A-4146-9F11-109BDF713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249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A040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3038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249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A040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33038F"/>
    <w:rPr>
      <w:rFonts w:asciiTheme="majorHAnsi" w:eastAsiaTheme="majorEastAsia" w:hAnsiTheme="majorHAnsi" w:cstheme="majorBidi"/>
      <w:color w:val="1F3763" w:themeColor="accent1" w:themeShade="7F"/>
      <w:sz w:val="24"/>
      <w:szCs w:val="24"/>
    </w:rPr>
  </w:style>
  <w:style w:type="paragraph" w:styleId="Caption">
    <w:name w:val="caption"/>
    <w:basedOn w:val="Normal"/>
    <w:next w:val="Normal"/>
    <w:uiPriority w:val="35"/>
    <w:unhideWhenUsed/>
    <w:qFormat/>
    <w:rsid w:val="00502554"/>
    <w:pPr>
      <w:spacing w:after="200" w:line="240" w:lineRule="auto"/>
    </w:pPr>
    <w:rPr>
      <w:i/>
      <w:iCs/>
      <w:color w:val="44546A" w:themeColor="text2"/>
      <w:sz w:val="18"/>
      <w:szCs w:val="18"/>
    </w:rPr>
  </w:style>
  <w:style w:type="paragraph" w:styleId="ListParagraph">
    <w:name w:val="List Paragraph"/>
    <w:basedOn w:val="Normal"/>
    <w:uiPriority w:val="34"/>
    <w:qFormat/>
    <w:rsid w:val="00481D20"/>
    <w:pPr>
      <w:ind w:left="720"/>
      <w:contextualSpacing/>
    </w:pPr>
  </w:style>
  <w:style w:type="paragraph" w:customStyle="1" w:styleId="SMHeading">
    <w:name w:val="SM Heading"/>
    <w:basedOn w:val="Heading1"/>
    <w:qFormat/>
    <w:rsid w:val="005C726D"/>
    <w:pPr>
      <w:keepLines w:val="0"/>
      <w:spacing w:after="60" w:line="240" w:lineRule="auto"/>
    </w:pPr>
    <w:rPr>
      <w:rFonts w:ascii="Times New Roman" w:eastAsia="Times New Roman" w:hAnsi="Times New Roman" w:cs="Times New Roman"/>
      <w:b/>
      <w:bCs/>
      <w:color w:val="auto"/>
      <w:kern w:val="32"/>
      <w:sz w:val="24"/>
      <w:szCs w:val="24"/>
    </w:rPr>
  </w:style>
  <w:style w:type="table" w:styleId="TableGrid">
    <w:name w:val="Table Grid"/>
    <w:basedOn w:val="TableNormal"/>
    <w:uiPriority w:val="39"/>
    <w:rsid w:val="00421F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30B34"/>
    <w:rPr>
      <w:color w:val="0000FF"/>
      <w:u w:val="single"/>
    </w:rPr>
  </w:style>
  <w:style w:type="paragraph" w:styleId="Header">
    <w:name w:val="header"/>
    <w:basedOn w:val="Normal"/>
    <w:link w:val="HeaderChar"/>
    <w:uiPriority w:val="99"/>
    <w:unhideWhenUsed/>
    <w:rsid w:val="00D360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60EC"/>
  </w:style>
  <w:style w:type="paragraph" w:styleId="Footer">
    <w:name w:val="footer"/>
    <w:basedOn w:val="Normal"/>
    <w:link w:val="FooterChar"/>
    <w:uiPriority w:val="99"/>
    <w:unhideWhenUsed/>
    <w:rsid w:val="00D360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60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athanasios.nenes@epfl.ch)"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59408B-1155-4389-806A-C6E0E98ED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8578</Words>
  <Characters>48900</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Georgakaki Paraskevi</dc:creator>
  <cp:keywords/>
  <dc:description/>
  <cp:lastModifiedBy>Paraskevi Georgakaki</cp:lastModifiedBy>
  <cp:revision>65</cp:revision>
  <dcterms:created xsi:type="dcterms:W3CDTF">2023-01-09T17:35:00Z</dcterms:created>
  <dcterms:modified xsi:type="dcterms:W3CDTF">2023-10-28T09:47:00Z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http://www.zotero.org/styles/nature-climate-change</vt:lpwstr>
  </property>
  <property fmtid="{D5CDD505-2E9C-101B-9397-08002B2CF9AE}" pid="4" name="Mendeley Unique User Id_1">
    <vt:lpwstr>96b3495f-18c7-3a9b-b301-8f0a89a06e82</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http://www.zotero.org/styles/atmospheric-chemistry-and-physics</vt:lpwstr>
  </property>
  <property fmtid="{D5CDD505-2E9C-101B-9397-08002B2CF9AE}" pid="10" name="Mendeley Recent Style Name 2_1">
    <vt:lpwstr>Atmospheric Chemistry and Physics</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http://www.zotero.org/styles/nature-climate-change</vt:lpwstr>
  </property>
  <property fmtid="{D5CDD505-2E9C-101B-9397-08002B2CF9AE}" pid="22" name="Mendeley Recent Style Name 8_1">
    <vt:lpwstr>Nature Climate Change</vt:lpwstr>
  </property>
  <property fmtid="{D5CDD505-2E9C-101B-9397-08002B2CF9AE}" pid="23" name="Mendeley Recent Style Id 9_1">
    <vt:lpwstr>http://www.zotero.org/styles/pnas</vt:lpwstr>
  </property>
  <property fmtid="{D5CDD505-2E9C-101B-9397-08002B2CF9AE}" pid="24" name="Mendeley Recent Style Name 9_1">
    <vt:lpwstr>Proceedings of the National Academy of Sciences of the United States of America</vt:lpwstr>
  </property>
</Properties>
</file>