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421AD" w14:textId="2FB1B525" w:rsidR="000B3127" w:rsidRPr="00EF064B" w:rsidRDefault="00914185" w:rsidP="000B3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185">
        <w:rPr>
          <w:rFonts w:ascii="Times New Roman" w:hAnsi="Times New Roman" w:cs="Times New Roman"/>
          <w:b/>
          <w:sz w:val="24"/>
          <w:szCs w:val="24"/>
        </w:rPr>
        <w:t>Astaxanthin and DHA supplementation modulates the perinatal undernutrition induced impairment of cognitive behaviour and synaptic plasticity in the adult life -Exploring the molecular mechanism</w:t>
      </w:r>
    </w:p>
    <w:p w14:paraId="19CDF746" w14:textId="77777777" w:rsidR="000B3127" w:rsidRPr="00914185" w:rsidRDefault="000B3127" w:rsidP="000B312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914185">
        <w:rPr>
          <w:rFonts w:ascii="Times New Roman" w:hAnsi="Times New Roman" w:cs="Times New Roman"/>
          <w:sz w:val="20"/>
          <w:szCs w:val="20"/>
        </w:rPr>
        <w:t>Megha Bhat Agni</w:t>
      </w:r>
      <w:r w:rsidRPr="0091418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14185">
        <w:rPr>
          <w:rFonts w:ascii="Times New Roman" w:hAnsi="Times New Roman" w:cs="Times New Roman"/>
          <w:sz w:val="20"/>
          <w:szCs w:val="20"/>
        </w:rPr>
        <w:t>, Pramukh Subrahmanya Hegde</w:t>
      </w:r>
      <w:r w:rsidRPr="0091418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14185">
        <w:rPr>
          <w:rFonts w:ascii="Times New Roman" w:hAnsi="Times New Roman" w:cs="Times New Roman"/>
          <w:sz w:val="20"/>
          <w:szCs w:val="20"/>
        </w:rPr>
        <w:t>, Praveen Rai</w:t>
      </w:r>
      <w:r w:rsidRPr="0091418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14185">
        <w:rPr>
          <w:rFonts w:ascii="Times New Roman" w:hAnsi="Times New Roman" w:cs="Times New Roman"/>
          <w:sz w:val="20"/>
          <w:szCs w:val="20"/>
        </w:rPr>
        <w:t>, Monika Sadananda</w:t>
      </w:r>
      <w:r w:rsidRPr="0091418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14185">
        <w:rPr>
          <w:rFonts w:ascii="Times New Roman" w:hAnsi="Times New Roman" w:cs="Times New Roman"/>
          <w:sz w:val="20"/>
          <w:szCs w:val="20"/>
        </w:rPr>
        <w:t xml:space="preserve"> &amp; K. M. Damodara Gowda</w:t>
      </w:r>
      <w:r w:rsidRPr="0091418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14185">
        <w:rPr>
          <w:rFonts w:ascii="Times New Roman" w:hAnsi="Times New Roman" w:cs="Times New Roman"/>
          <w:sz w:val="20"/>
          <w:szCs w:val="20"/>
        </w:rPr>
        <w:t>*</w:t>
      </w:r>
    </w:p>
    <w:p w14:paraId="0D93F281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14185">
        <w:rPr>
          <w:rFonts w:ascii="Times New Roman" w:hAnsi="Times New Roman" w:cs="Times New Roman"/>
          <w:sz w:val="20"/>
          <w:szCs w:val="20"/>
        </w:rPr>
        <w:t xml:space="preserve">Department of Physiology, KS Hegde Medical Academy, Nitte (Deemed to be University), Karnataka, Deralakatte, Mangalore 575018, India. </w:t>
      </w:r>
    </w:p>
    <w:p w14:paraId="7FCAE992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14185">
        <w:rPr>
          <w:rFonts w:ascii="Times New Roman" w:hAnsi="Times New Roman" w:cs="Times New Roman"/>
          <w:sz w:val="20"/>
          <w:szCs w:val="20"/>
        </w:rPr>
        <w:t xml:space="preserve">Department of Infectious Diseases &amp; Microbial Genomics, Nitte University Centre for Science Education and Research, Nitte (Deemed to be University), Mangalore, Karnataka 575018, India. </w:t>
      </w:r>
    </w:p>
    <w:p w14:paraId="266F7469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14185">
        <w:rPr>
          <w:rFonts w:ascii="Times New Roman" w:hAnsi="Times New Roman" w:cs="Times New Roman"/>
          <w:sz w:val="20"/>
          <w:szCs w:val="20"/>
        </w:rPr>
        <w:t>Department of Biosciences, Mangalore University, Mangalagangothri – 574199, Karnataka, India</w:t>
      </w:r>
    </w:p>
    <w:p w14:paraId="1CD1A90D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24F2773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4185">
        <w:rPr>
          <w:rFonts w:ascii="Times New Roman" w:hAnsi="Times New Roman" w:cs="Times New Roman"/>
          <w:b/>
          <w:sz w:val="20"/>
          <w:szCs w:val="20"/>
        </w:rPr>
        <w:t>*Corresponding author</w:t>
      </w:r>
    </w:p>
    <w:p w14:paraId="21A92472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Dr. Damodara Gowda K M</w:t>
      </w:r>
    </w:p>
    <w:p w14:paraId="70E7EFB2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Associate Professor</w:t>
      </w:r>
    </w:p>
    <w:p w14:paraId="0CE3680B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 xml:space="preserve">Department of Physiology, </w:t>
      </w:r>
    </w:p>
    <w:p w14:paraId="0B1B2286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 xml:space="preserve">KS Hegde Medical Academy, </w:t>
      </w:r>
    </w:p>
    <w:p w14:paraId="2B082ED2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 xml:space="preserve">Nitte (Deemed to be University), Karnataka, </w:t>
      </w:r>
    </w:p>
    <w:p w14:paraId="73F8F458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 xml:space="preserve">Deralakatte, Mangalore 575018, India. </w:t>
      </w:r>
    </w:p>
    <w:p w14:paraId="30C2CDCE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6" w:history="1">
        <w:r w:rsidRPr="00914185">
          <w:rPr>
            <w:rStyle w:val="Hyperlink"/>
            <w:rFonts w:ascii="Times New Roman" w:hAnsi="Times New Roman" w:cs="Times New Roman"/>
            <w:sz w:val="20"/>
            <w:szCs w:val="20"/>
            <w:u w:val="none"/>
          </w:rPr>
          <w:t>dr_damodar@nitte.edu.in</w:t>
        </w:r>
      </w:hyperlink>
    </w:p>
    <w:p w14:paraId="5D01AD37" w14:textId="77777777" w:rsidR="00856AA3" w:rsidRPr="00914185" w:rsidRDefault="00856AA3" w:rsidP="000B312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9F3D518" w14:textId="77777777" w:rsidR="000B3127" w:rsidRPr="00914185" w:rsidRDefault="000B3127" w:rsidP="000B312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14185">
        <w:rPr>
          <w:rFonts w:ascii="Times New Roman" w:hAnsi="Times New Roman" w:cs="Times New Roman"/>
          <w:b/>
          <w:bCs/>
          <w:sz w:val="20"/>
          <w:szCs w:val="20"/>
        </w:rPr>
        <w:t>Methods</w:t>
      </w:r>
    </w:p>
    <w:p w14:paraId="6A42C000" w14:textId="2BD84C5B" w:rsidR="000B3127" w:rsidRPr="00914185" w:rsidRDefault="000B3127" w:rsidP="000B312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14185">
        <w:rPr>
          <w:rFonts w:ascii="Times New Roman" w:hAnsi="Times New Roman" w:cs="Times New Roman"/>
          <w:b/>
          <w:bCs/>
          <w:sz w:val="20"/>
          <w:szCs w:val="20"/>
        </w:rPr>
        <w:t>Sample size calculation</w:t>
      </w:r>
    </w:p>
    <w:p w14:paraId="1DCCA861" w14:textId="77777777" w:rsidR="000B3127" w:rsidRPr="00914185" w:rsidRDefault="000B3127" w:rsidP="000B3127">
      <w:pPr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Sample size was calculated by considering 5% Alpha level and 80% power as reported earlier [1].</w:t>
      </w:r>
    </w:p>
    <w:p w14:paraId="22E9277A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Sample Size was calculated as per the formula: 2 SD2 (Zα/2 + Zβ)2 / d2</w:t>
      </w:r>
    </w:p>
    <w:p w14:paraId="54D25078" w14:textId="3287E85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SD=Standard Deviation</w:t>
      </w:r>
    </w:p>
    <w:p w14:paraId="2365FC23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Zα/2 = Z0.05/2 = Z0.0025 =1.96 (from Z-table at type 1error of 5%)</w:t>
      </w:r>
    </w:p>
    <w:p w14:paraId="1A869DD0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Zβ= Z0.20 = 0.842 (from Z-table at 80% power)</w:t>
      </w:r>
    </w:p>
    <w:p w14:paraId="3960F8E6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d = difference between mean values.</w:t>
      </w:r>
    </w:p>
    <w:p w14:paraId="58395C35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So, Sample size= 2 (25)2 (1.96 + 0.842)2 / (40)2   = 6.09</w:t>
      </w:r>
    </w:p>
    <w:p w14:paraId="677F0A00" w14:textId="77777777" w:rsidR="000B3127" w:rsidRPr="00914185" w:rsidRDefault="000B3127" w:rsidP="000B31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B933020" w14:textId="77777777" w:rsidR="000B3127" w:rsidRPr="00914185" w:rsidRDefault="000B3127" w:rsidP="000B3127">
      <w:pPr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Therefore, each experimental group contained 6 animals. and all the parameters were assessed at 2 months.</w:t>
      </w:r>
    </w:p>
    <w:p w14:paraId="3F6B0EE3" w14:textId="3C668306" w:rsidR="000B3127" w:rsidRPr="00914185" w:rsidRDefault="000B3127" w:rsidP="000B3127">
      <w:pPr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Only male rats of F1 generation were included in this study. As a result of estrous cycle, female rats experience hormonal fluctuations which might offer further variation to behavioural    trials.  Therefore, we excluded female rats to reduce this hormonal variability.</w:t>
      </w:r>
    </w:p>
    <w:p w14:paraId="0926EC37" w14:textId="77777777" w:rsidR="000B3127" w:rsidRPr="00914185" w:rsidRDefault="000B3127" w:rsidP="000B312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40B3FA" w14:textId="77777777" w:rsidR="000B3127" w:rsidRPr="00914185" w:rsidRDefault="000B3127" w:rsidP="000B312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14185">
        <w:rPr>
          <w:rFonts w:ascii="Times New Roman" w:hAnsi="Times New Roman" w:cs="Times New Roman"/>
          <w:b/>
          <w:bCs/>
          <w:sz w:val="20"/>
          <w:szCs w:val="20"/>
        </w:rPr>
        <w:t>Blinding</w:t>
      </w:r>
    </w:p>
    <w:p w14:paraId="319B8D1F" w14:textId="0E4547EE" w:rsidR="000B3127" w:rsidRPr="00914185" w:rsidRDefault="000B3127" w:rsidP="000B3127">
      <w:pPr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The investigators were blinded for group allocation, behavioural study scoring and immunohistochemistry analysis.</w:t>
      </w:r>
    </w:p>
    <w:p w14:paraId="5044BD8F" w14:textId="77777777" w:rsidR="000B3127" w:rsidRPr="00914185" w:rsidRDefault="000B3127" w:rsidP="000B312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6A17BEE" w14:textId="2F0A31AF" w:rsidR="000B3127" w:rsidRPr="00914185" w:rsidRDefault="000B3127" w:rsidP="000B312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20DE9E" w14:textId="77777777" w:rsidR="000B3127" w:rsidRPr="00914185" w:rsidRDefault="000B3127">
      <w:pPr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br w:type="page"/>
      </w:r>
    </w:p>
    <w:p w14:paraId="12319395" w14:textId="77777777" w:rsidR="000B3127" w:rsidRPr="00914185" w:rsidRDefault="000B3127" w:rsidP="000B3127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1418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Table 1. Sequences of primers used for Real Time PCR (RT-qPCR)</w:t>
      </w:r>
    </w:p>
    <w:tbl>
      <w:tblPr>
        <w:tblStyle w:val="TableGrid"/>
        <w:tblW w:w="8631" w:type="dxa"/>
        <w:tblInd w:w="720" w:type="dxa"/>
        <w:tblLook w:val="04A0" w:firstRow="1" w:lastRow="0" w:firstColumn="1" w:lastColumn="0" w:noHBand="0" w:noVBand="1"/>
      </w:tblPr>
      <w:tblGrid>
        <w:gridCol w:w="1091"/>
        <w:gridCol w:w="2012"/>
        <w:gridCol w:w="1275"/>
        <w:gridCol w:w="4253"/>
      </w:tblGrid>
      <w:tr w:rsidR="000B3127" w:rsidRPr="00914185" w14:paraId="3AB36A28" w14:textId="77777777" w:rsidTr="000E7ACC">
        <w:tc>
          <w:tcPr>
            <w:tcW w:w="1091" w:type="dxa"/>
          </w:tcPr>
          <w:p w14:paraId="12F7713B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b/>
                <w:bCs/>
                <w:color w:val="131313"/>
                <w:sz w:val="20"/>
                <w:szCs w:val="20"/>
              </w:rPr>
              <w:t>Gene</w:t>
            </w:r>
          </w:p>
        </w:tc>
        <w:tc>
          <w:tcPr>
            <w:tcW w:w="2012" w:type="dxa"/>
          </w:tcPr>
          <w:p w14:paraId="39BF9D74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b/>
                <w:bCs/>
                <w:color w:val="131313"/>
                <w:sz w:val="20"/>
                <w:szCs w:val="20"/>
              </w:rPr>
              <w:t>Definition</w:t>
            </w:r>
          </w:p>
        </w:tc>
        <w:tc>
          <w:tcPr>
            <w:tcW w:w="1275" w:type="dxa"/>
          </w:tcPr>
          <w:p w14:paraId="07084DC0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49B73B9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b/>
                <w:bCs/>
                <w:color w:val="131313"/>
                <w:sz w:val="20"/>
                <w:szCs w:val="20"/>
              </w:rPr>
              <w:t>Primer Sequences (5’---3’)</w:t>
            </w:r>
          </w:p>
        </w:tc>
      </w:tr>
      <w:tr w:rsidR="000B3127" w:rsidRPr="00914185" w14:paraId="65018481" w14:textId="77777777" w:rsidTr="000E7ACC">
        <w:tc>
          <w:tcPr>
            <w:tcW w:w="1091" w:type="dxa"/>
          </w:tcPr>
          <w:p w14:paraId="0FFC543B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BDNF</w:t>
            </w:r>
          </w:p>
        </w:tc>
        <w:tc>
          <w:tcPr>
            <w:tcW w:w="2012" w:type="dxa"/>
          </w:tcPr>
          <w:p w14:paraId="5E380AC9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Brain derived neurotrophic factor</w:t>
            </w:r>
          </w:p>
        </w:tc>
        <w:tc>
          <w:tcPr>
            <w:tcW w:w="1275" w:type="dxa"/>
          </w:tcPr>
          <w:p w14:paraId="2702B96E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BDNF F</w:t>
            </w:r>
          </w:p>
          <w:p w14:paraId="2E9086D5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BDNF R</w:t>
            </w:r>
          </w:p>
        </w:tc>
        <w:tc>
          <w:tcPr>
            <w:tcW w:w="4253" w:type="dxa"/>
          </w:tcPr>
          <w:p w14:paraId="799152FF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CGTGGGGAGCTGAGCGTGTGT</w:t>
            </w:r>
          </w:p>
          <w:p w14:paraId="5729F4A0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GCCCCTGCAGCCTTCCTTCGT</w:t>
            </w:r>
          </w:p>
          <w:p w14:paraId="7F9A7EDB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127" w:rsidRPr="00914185" w14:paraId="65B3BC4E" w14:textId="77777777" w:rsidTr="000E7ACC">
        <w:tc>
          <w:tcPr>
            <w:tcW w:w="1091" w:type="dxa"/>
          </w:tcPr>
          <w:p w14:paraId="064526E7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NT-3</w:t>
            </w:r>
          </w:p>
          <w:p w14:paraId="25F21DD2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46EDA14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Neurotrophin -3</w:t>
            </w:r>
          </w:p>
        </w:tc>
        <w:tc>
          <w:tcPr>
            <w:tcW w:w="1275" w:type="dxa"/>
          </w:tcPr>
          <w:p w14:paraId="3BB11479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NT-3 F</w:t>
            </w:r>
          </w:p>
          <w:p w14:paraId="136B2C51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NT-3 R</w:t>
            </w:r>
          </w:p>
        </w:tc>
        <w:tc>
          <w:tcPr>
            <w:tcW w:w="4253" w:type="dxa"/>
          </w:tcPr>
          <w:p w14:paraId="118FE869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CACCCAGAGAACCAGAGCAG</w:t>
            </w:r>
          </w:p>
          <w:p w14:paraId="58D3B479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CTCTCCTCGGTGACTCTTAT</w:t>
            </w:r>
          </w:p>
          <w:p w14:paraId="4CBF65DD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127" w:rsidRPr="00914185" w14:paraId="1E825ABD" w14:textId="77777777" w:rsidTr="000E7ACC">
        <w:tc>
          <w:tcPr>
            <w:tcW w:w="1091" w:type="dxa"/>
          </w:tcPr>
          <w:p w14:paraId="3B4BE131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CREB</w:t>
            </w:r>
          </w:p>
          <w:p w14:paraId="690ADB02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0BD22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5E4A049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31313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cAMP response element binding protein</w:t>
            </w:r>
          </w:p>
        </w:tc>
        <w:tc>
          <w:tcPr>
            <w:tcW w:w="1275" w:type="dxa"/>
          </w:tcPr>
          <w:p w14:paraId="6EE5EFAD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eastAsia="E-BX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eastAsia="E-BX" w:hAnsi="Times New Roman" w:cs="Times New Roman"/>
                <w:sz w:val="20"/>
                <w:szCs w:val="20"/>
              </w:rPr>
              <w:t>CREB F</w:t>
            </w:r>
          </w:p>
          <w:p w14:paraId="0628B3EA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eastAsia="E-BX" w:hAnsi="Times New Roman" w:cs="Times New Roman"/>
                <w:sz w:val="20"/>
                <w:szCs w:val="20"/>
              </w:rPr>
              <w:t>CREB R</w:t>
            </w:r>
          </w:p>
        </w:tc>
        <w:tc>
          <w:tcPr>
            <w:tcW w:w="4253" w:type="dxa"/>
          </w:tcPr>
          <w:p w14:paraId="628AD96B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eastAsia="E-BX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eastAsia="E-BX" w:hAnsi="Times New Roman" w:cs="Times New Roman"/>
                <w:sz w:val="20"/>
                <w:szCs w:val="20"/>
              </w:rPr>
              <w:t>CCAAACTAGCAGTGGGCAGT</w:t>
            </w:r>
          </w:p>
          <w:p w14:paraId="03C3CDAB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eastAsia="E-BX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eastAsia="E-BX" w:hAnsi="Times New Roman" w:cs="Times New Roman"/>
                <w:sz w:val="20"/>
                <w:szCs w:val="20"/>
              </w:rPr>
              <w:t>GAATGGTAGTACCCGGCTGA</w:t>
            </w:r>
          </w:p>
          <w:p w14:paraId="09B5CCE6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127" w:rsidRPr="00914185" w14:paraId="3B204549" w14:textId="77777777" w:rsidTr="000E7ACC">
        <w:tc>
          <w:tcPr>
            <w:tcW w:w="1091" w:type="dxa"/>
          </w:tcPr>
          <w:p w14:paraId="09DFCD92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UCP-2</w:t>
            </w:r>
          </w:p>
          <w:p w14:paraId="69DE0366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5354416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31313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Uncoupling protein 2</w:t>
            </w:r>
          </w:p>
        </w:tc>
        <w:tc>
          <w:tcPr>
            <w:tcW w:w="1275" w:type="dxa"/>
          </w:tcPr>
          <w:p w14:paraId="6781C646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UCP-2 R</w:t>
            </w:r>
          </w:p>
          <w:p w14:paraId="78A053CD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eastAsia="E-BX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UCP-2 F</w:t>
            </w:r>
          </w:p>
        </w:tc>
        <w:tc>
          <w:tcPr>
            <w:tcW w:w="4253" w:type="dxa"/>
          </w:tcPr>
          <w:p w14:paraId="39BBE0A6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GAGAGTCAAGGGCTAGCGC</w:t>
            </w:r>
          </w:p>
          <w:p w14:paraId="77A61FD6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eastAsia="E-BX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GCTTCGACAGTGCTCTGGTA</w:t>
            </w:r>
          </w:p>
        </w:tc>
      </w:tr>
      <w:tr w:rsidR="000B3127" w:rsidRPr="00914185" w14:paraId="6D7BDE75" w14:textId="77777777" w:rsidTr="000E7ACC">
        <w:tc>
          <w:tcPr>
            <w:tcW w:w="1091" w:type="dxa"/>
          </w:tcPr>
          <w:p w14:paraId="600ED4C3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β-actin</w:t>
            </w:r>
          </w:p>
        </w:tc>
        <w:tc>
          <w:tcPr>
            <w:tcW w:w="2012" w:type="dxa"/>
          </w:tcPr>
          <w:p w14:paraId="3405357A" w14:textId="77777777" w:rsidR="000B3127" w:rsidRPr="00914185" w:rsidRDefault="000B3127" w:rsidP="000E7ACC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Housekeeping gene (internal standard)</w:t>
            </w:r>
          </w:p>
        </w:tc>
        <w:tc>
          <w:tcPr>
            <w:tcW w:w="1275" w:type="dxa"/>
          </w:tcPr>
          <w:p w14:paraId="46E14DBB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60B33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060B33"/>
                <w:sz w:val="20"/>
                <w:szCs w:val="20"/>
              </w:rPr>
              <w:t>β-actin F</w:t>
            </w:r>
          </w:p>
          <w:p w14:paraId="4C6FD28E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color w:val="060B33"/>
                <w:sz w:val="20"/>
                <w:szCs w:val="20"/>
              </w:rPr>
              <w:t>β-actin R</w:t>
            </w:r>
          </w:p>
        </w:tc>
        <w:tc>
          <w:tcPr>
            <w:tcW w:w="4253" w:type="dxa"/>
          </w:tcPr>
          <w:p w14:paraId="78ED6055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CGACGAGGCCCAGAGCAAGA</w:t>
            </w:r>
          </w:p>
          <w:p w14:paraId="45959969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185">
              <w:rPr>
                <w:rFonts w:ascii="Times New Roman" w:hAnsi="Times New Roman" w:cs="Times New Roman"/>
                <w:sz w:val="20"/>
                <w:szCs w:val="20"/>
              </w:rPr>
              <w:t>AGAGGGGCCTCGGTGAGCAG</w:t>
            </w:r>
          </w:p>
          <w:p w14:paraId="172B26CA" w14:textId="77777777" w:rsidR="000B3127" w:rsidRPr="00914185" w:rsidRDefault="000B3127" w:rsidP="000E7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</w:p>
        </w:tc>
      </w:tr>
    </w:tbl>
    <w:p w14:paraId="79BBA732" w14:textId="77777777" w:rsidR="000B3127" w:rsidRPr="00914185" w:rsidRDefault="000B3127" w:rsidP="000B312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7F34ED" w14:textId="77777777" w:rsidR="000B3127" w:rsidRPr="00914185" w:rsidRDefault="000B3127" w:rsidP="000B312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14185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0CA3E055" w14:textId="1216DF3F" w:rsidR="000B3127" w:rsidRPr="00914185" w:rsidRDefault="000B3127" w:rsidP="000B3127">
      <w:pPr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b/>
          <w:bCs/>
          <w:sz w:val="20"/>
          <w:szCs w:val="20"/>
        </w:rPr>
        <w:t xml:space="preserve">  Results</w:t>
      </w:r>
    </w:p>
    <w:p w14:paraId="430E8437" w14:textId="634758BC" w:rsidR="000B3127" w:rsidRPr="00914185" w:rsidRDefault="000B3127" w:rsidP="000B3127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 xml:space="preserve">        A.                                                                       B.</w:t>
      </w:r>
    </w:p>
    <w:p w14:paraId="1EF2FAE3" w14:textId="77777777" w:rsidR="000B3127" w:rsidRPr="00914185" w:rsidRDefault="000B3127" w:rsidP="000B3127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 xml:space="preserve">    </w:t>
      </w:r>
      <w:r w:rsidRPr="00914185">
        <w:rPr>
          <w:rFonts w:ascii="Times New Roman" w:hAnsi="Times New Roman" w:cs="Times New Roman"/>
          <w:sz w:val="20"/>
          <w:szCs w:val="20"/>
        </w:rPr>
        <w:object w:dxaOrig="7937" w:dyaOrig="4711" w14:anchorId="3F8AD0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5pt;height:149.5pt" o:ole="">
            <v:imagedata r:id="rId7" o:title=""/>
          </v:shape>
          <o:OLEObject Type="Embed" ProgID="Prism9.Document" ShapeID="_x0000_i1025" DrawAspect="Content" ObjectID="_1759839138" r:id="rId8"/>
        </w:object>
      </w:r>
      <w:r w:rsidRPr="00914185">
        <w:rPr>
          <w:rFonts w:ascii="Times New Roman" w:hAnsi="Times New Roman" w:cs="Times New Roman"/>
          <w:sz w:val="20"/>
          <w:szCs w:val="20"/>
        </w:rPr>
        <w:t xml:space="preserve">    </w:t>
      </w:r>
      <w:r w:rsidRPr="00914185">
        <w:rPr>
          <w:rFonts w:ascii="Times New Roman" w:hAnsi="Times New Roman" w:cs="Times New Roman"/>
          <w:sz w:val="20"/>
          <w:szCs w:val="20"/>
        </w:rPr>
        <w:object w:dxaOrig="8707" w:dyaOrig="4452" w14:anchorId="4B636F34">
          <v:shape id="_x0000_i1026" type="#_x0000_t75" style="width:220.5pt;height:149.5pt" o:ole="">
            <v:imagedata r:id="rId9" o:title=""/>
          </v:shape>
          <o:OLEObject Type="Embed" ProgID="Prism9.Document" ShapeID="_x0000_i1026" DrawAspect="Content" ObjectID="_1759839139" r:id="rId10"/>
        </w:object>
      </w:r>
    </w:p>
    <w:p w14:paraId="6A8FA630" w14:textId="77777777" w:rsidR="000B3127" w:rsidRPr="00914185" w:rsidRDefault="000B3127" w:rsidP="000B3127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C.</w:t>
      </w:r>
    </w:p>
    <w:p w14:paraId="23E76378" w14:textId="77777777" w:rsidR="000B3127" w:rsidRPr="00914185" w:rsidRDefault="000B3127" w:rsidP="000B3127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object w:dxaOrig="8158" w:dyaOrig="4452" w14:anchorId="40ADFCD3">
          <v:shape id="_x0000_i1027" type="#_x0000_t75" style="width:234pt;height:150pt" o:ole="">
            <v:imagedata r:id="rId11" o:title=""/>
          </v:shape>
          <o:OLEObject Type="Embed" ProgID="Prism9.Document" ShapeID="_x0000_i1027" DrawAspect="Content" ObjectID="_1759839140" r:id="rId12"/>
        </w:object>
      </w:r>
    </w:p>
    <w:p w14:paraId="7EDFB8DF" w14:textId="3C30BB6D" w:rsidR="000B3127" w:rsidRPr="00914185" w:rsidRDefault="000B3127" w:rsidP="000B3127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b/>
          <w:bCs/>
          <w:sz w:val="20"/>
          <w:szCs w:val="20"/>
        </w:rPr>
        <w:t>Fig. S1</w:t>
      </w:r>
      <w:r w:rsidRPr="00914185">
        <w:rPr>
          <w:rFonts w:ascii="Times New Roman" w:hAnsi="Times New Roman" w:cs="Times New Roman"/>
          <w:sz w:val="20"/>
          <w:szCs w:val="20"/>
        </w:rPr>
        <w:t>. Effect of AsX and DHA supplementation to pre, post and perinatal undernutrition on brain weight. A-C) Brain weight of the offsprings were significantly reduced in pre and perinatally undernourished groups. Maternal AsX and DHA supplementation enhanced brain weight. Results were represented as mean ± SEM. *p &lt; 0.05, **p &lt; 0.001, ***p &lt; 0.0001.</w:t>
      </w:r>
    </w:p>
    <w:p w14:paraId="34930A0F" w14:textId="77777777" w:rsidR="000B3127" w:rsidRPr="00914185" w:rsidRDefault="000B3127">
      <w:pPr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br w:type="page"/>
      </w:r>
    </w:p>
    <w:p w14:paraId="00939363" w14:textId="0ED364FA" w:rsidR="000B3127" w:rsidRPr="00914185" w:rsidRDefault="000B3127" w:rsidP="000B3127">
      <w:pPr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lastRenderedPageBreak/>
        <w:t>A.</w:t>
      </w:r>
    </w:p>
    <w:p w14:paraId="3889DC5C" w14:textId="77777777" w:rsidR="000B3127" w:rsidRPr="00914185" w:rsidRDefault="000B3127" w:rsidP="000B3127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object w:dxaOrig="11160" w:dyaOrig="5052" w14:anchorId="6DC909CF">
          <v:shape id="_x0000_i1028" type="#_x0000_t75" style="width:383pt;height:174.5pt" o:ole="">
            <v:imagedata r:id="rId13" o:title=""/>
          </v:shape>
          <o:OLEObject Type="Embed" ProgID="Prism9.Document" ShapeID="_x0000_i1028" DrawAspect="Content" ObjectID="_1759839141" r:id="rId14"/>
        </w:object>
      </w:r>
    </w:p>
    <w:p w14:paraId="1BD79363" w14:textId="77777777" w:rsidR="000B3127" w:rsidRPr="00914185" w:rsidRDefault="000B3127" w:rsidP="000B3127">
      <w:pPr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 xml:space="preserve">B. </w:t>
      </w:r>
    </w:p>
    <w:p w14:paraId="383DF35D" w14:textId="77777777" w:rsidR="000B3127" w:rsidRPr="00914185" w:rsidRDefault="000B3127" w:rsidP="000B3127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object w:dxaOrig="10812" w:dyaOrig="5283" w14:anchorId="548A3E43">
          <v:shape id="_x0000_i1029" type="#_x0000_t75" style="width:378.5pt;height:187pt" o:ole="">
            <v:imagedata r:id="rId15" o:title=""/>
          </v:shape>
          <o:OLEObject Type="Embed" ProgID="Prism9.Document" ShapeID="_x0000_i1029" DrawAspect="Content" ObjectID="_1759839142" r:id="rId16"/>
        </w:object>
      </w:r>
    </w:p>
    <w:p w14:paraId="3BAE0BAE" w14:textId="77777777" w:rsidR="000B3127" w:rsidRPr="00914185" w:rsidRDefault="000B3127" w:rsidP="000B3127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t>C.</w:t>
      </w:r>
    </w:p>
    <w:p w14:paraId="1F02E456" w14:textId="77777777" w:rsidR="000B3127" w:rsidRPr="00914185" w:rsidRDefault="000B3127" w:rsidP="000B3127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object w:dxaOrig="11210" w:dyaOrig="5551" w14:anchorId="5683781D">
          <v:shape id="_x0000_i1030" type="#_x0000_t75" style="width:384pt;height:158.5pt" o:ole="">
            <v:imagedata r:id="rId17" o:title=""/>
          </v:shape>
          <o:OLEObject Type="Embed" ProgID="Prism9.Document" ShapeID="_x0000_i1030" DrawAspect="Content" ObjectID="_1759839143" r:id="rId18"/>
        </w:object>
      </w:r>
    </w:p>
    <w:p w14:paraId="4CFE6DB7" w14:textId="77777777" w:rsidR="000B3127" w:rsidRPr="00914185" w:rsidRDefault="000B3127" w:rsidP="000B3127">
      <w:pPr>
        <w:rPr>
          <w:rFonts w:ascii="Times New Roman" w:hAnsi="Times New Roman" w:cs="Times New Roman"/>
          <w:sz w:val="20"/>
          <w:szCs w:val="20"/>
        </w:rPr>
      </w:pPr>
      <w:r w:rsidRPr="00914185">
        <w:rPr>
          <w:rFonts w:ascii="Times New Roman" w:hAnsi="Times New Roman" w:cs="Times New Roman"/>
          <w:b/>
          <w:bCs/>
          <w:sz w:val="20"/>
          <w:szCs w:val="20"/>
        </w:rPr>
        <w:t xml:space="preserve">Fig. S2. </w:t>
      </w:r>
      <w:r w:rsidRPr="00914185">
        <w:rPr>
          <w:rFonts w:ascii="Times New Roman" w:hAnsi="Times New Roman" w:cs="Times New Roman"/>
          <w:sz w:val="20"/>
          <w:szCs w:val="20"/>
        </w:rPr>
        <w:t xml:space="preserve">Total exploration time of training day </w:t>
      </w:r>
      <w:bookmarkStart w:id="1" w:name="_Hlk147916031"/>
      <w:r w:rsidRPr="00914185">
        <w:rPr>
          <w:rFonts w:ascii="Times New Roman" w:hAnsi="Times New Roman" w:cs="Times New Roman"/>
          <w:sz w:val="20"/>
          <w:szCs w:val="20"/>
        </w:rPr>
        <w:t xml:space="preserve">in NOR task. A-C) </w:t>
      </w:r>
      <w:bookmarkEnd w:id="1"/>
      <w:r w:rsidRPr="00914185">
        <w:rPr>
          <w:rFonts w:ascii="Times New Roman" w:hAnsi="Times New Roman" w:cs="Times New Roman"/>
          <w:sz w:val="20"/>
          <w:szCs w:val="20"/>
        </w:rPr>
        <w:t>Total exploration time did not differ between the objects and between the experimental groups. Two-way ANOVA test was used. Values were expressed as mean ± SEM. p&gt;0.05</w:t>
      </w:r>
    </w:p>
    <w:p w14:paraId="57C3E157" w14:textId="77777777" w:rsidR="000B3127" w:rsidRPr="00914185" w:rsidRDefault="000B3127" w:rsidP="000B3127">
      <w:pPr>
        <w:rPr>
          <w:rFonts w:ascii="Times New Roman" w:hAnsi="Times New Roman" w:cs="Times New Roman"/>
          <w:sz w:val="20"/>
          <w:szCs w:val="20"/>
        </w:rPr>
      </w:pPr>
    </w:p>
    <w:p w14:paraId="10A8BAF9" w14:textId="77777777" w:rsidR="000B3127" w:rsidRPr="00914185" w:rsidRDefault="000B3127" w:rsidP="000B312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14185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914185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419994E" w14:textId="77777777" w:rsidR="000B3127" w:rsidRPr="00914185" w:rsidRDefault="000B3127" w:rsidP="000B31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914185">
        <w:rPr>
          <w:rFonts w:ascii="Times New Roman" w:hAnsi="Times New Roman" w:cs="Times New Roman"/>
          <w:sz w:val="20"/>
          <w:szCs w:val="20"/>
        </w:rPr>
        <w:lastRenderedPageBreak/>
        <w:fldChar w:fldCharType="begin" w:fldLock="1"/>
      </w:r>
      <w:r w:rsidRPr="00914185">
        <w:rPr>
          <w:rFonts w:ascii="Times New Roman" w:hAnsi="Times New Roman" w:cs="Times New Roman"/>
          <w:sz w:val="20"/>
          <w:szCs w:val="20"/>
        </w:rPr>
        <w:instrText xml:space="preserve">ADDIN Mendeley Bibliography CSL_BIBLIOGRAPHY </w:instrText>
      </w:r>
      <w:r w:rsidRPr="00914185">
        <w:rPr>
          <w:rFonts w:ascii="Times New Roman" w:hAnsi="Times New Roman" w:cs="Times New Roman"/>
          <w:sz w:val="20"/>
          <w:szCs w:val="20"/>
        </w:rPr>
        <w:fldChar w:fldCharType="separate"/>
      </w:r>
      <w:r w:rsidRPr="00914185">
        <w:rPr>
          <w:rFonts w:ascii="Times New Roman" w:hAnsi="Times New Roman" w:cs="Times New Roman"/>
          <w:noProof/>
          <w:sz w:val="20"/>
          <w:szCs w:val="20"/>
        </w:rPr>
        <w:t>1. Damodara Gowda KM, Suchetha Kumari N, Ullal H. Role of astaxanthin in the modulation of brain-derived neurotrophic factor and spatial learning behavior in perinatally undernourished Wistar rats. Nutr Neurosci [Internet]. 2020;23:422–31. Available from: https://doi.org/10.1080/1028415X.2018.1515301</w:t>
      </w:r>
    </w:p>
    <w:p w14:paraId="551B1DAD" w14:textId="77777777" w:rsidR="000B3127" w:rsidRPr="00922CE0" w:rsidRDefault="000B3127" w:rsidP="000B3127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14185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</w:p>
    <w:p w14:paraId="3538B0FC" w14:textId="77777777" w:rsidR="000B3127" w:rsidRDefault="000B3127" w:rsidP="000B31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B1F7" w14:textId="77777777" w:rsidR="000B3127" w:rsidRDefault="000B3127" w:rsidP="000B31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E5B70" w14:textId="77777777" w:rsidR="000B3127" w:rsidRDefault="000B3127" w:rsidP="000B31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EF217" w14:textId="77777777" w:rsidR="000B3127" w:rsidRPr="000B3127" w:rsidRDefault="000B3127" w:rsidP="000B31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B3127" w:rsidRPr="000B3127" w:rsidSect="000B3127">
      <w:footerReference w:type="default" r:id="rId19"/>
      <w:pgSz w:w="11910" w:h="16840"/>
      <w:pgMar w:top="743" w:right="820" w:bottom="280" w:left="1276" w:header="720" w:footer="720" w:gutter="0"/>
      <w:cols w:num="2" w:space="720" w:equalWidth="0">
        <w:col w:w="9360" w:space="-1"/>
        <w:col w:w="-1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0505D" w14:textId="77777777" w:rsidR="00F51F9D" w:rsidRDefault="00F51F9D" w:rsidP="00914185">
      <w:pPr>
        <w:spacing w:after="0" w:line="240" w:lineRule="auto"/>
      </w:pPr>
      <w:r>
        <w:separator/>
      </w:r>
    </w:p>
  </w:endnote>
  <w:endnote w:type="continuationSeparator" w:id="0">
    <w:p w14:paraId="58C7BCBB" w14:textId="77777777" w:rsidR="00F51F9D" w:rsidRDefault="00F51F9D" w:rsidP="0091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-BX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978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8ADD6D" w14:textId="397E3DC5" w:rsidR="00914185" w:rsidRDefault="009141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5A6D79" w14:textId="77777777" w:rsidR="00914185" w:rsidRDefault="00914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064CF" w14:textId="77777777" w:rsidR="00F51F9D" w:rsidRDefault="00F51F9D" w:rsidP="00914185">
      <w:pPr>
        <w:spacing w:after="0" w:line="240" w:lineRule="auto"/>
      </w:pPr>
      <w:r>
        <w:separator/>
      </w:r>
    </w:p>
  </w:footnote>
  <w:footnote w:type="continuationSeparator" w:id="0">
    <w:p w14:paraId="6748D1FB" w14:textId="77777777" w:rsidR="00F51F9D" w:rsidRDefault="00F51F9D" w:rsidP="009141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27"/>
    <w:rsid w:val="000B3127"/>
    <w:rsid w:val="00246DDE"/>
    <w:rsid w:val="00323F1C"/>
    <w:rsid w:val="00856AA3"/>
    <w:rsid w:val="00914185"/>
    <w:rsid w:val="00DA2E65"/>
    <w:rsid w:val="00F51F9D"/>
    <w:rsid w:val="00F5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AF97F"/>
  <w15:chartTrackingRefBased/>
  <w15:docId w15:val="{F7796A73-2840-4C90-8B2C-06B80386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12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31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3127"/>
    <w:pPr>
      <w:ind w:left="720"/>
      <w:contextualSpacing/>
    </w:pPr>
  </w:style>
  <w:style w:type="table" w:styleId="TableGrid">
    <w:name w:val="Table Grid"/>
    <w:basedOn w:val="TableNormal"/>
    <w:uiPriority w:val="59"/>
    <w:rsid w:val="000B31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4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18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4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18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dr_damodar@nitte.edu.in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Bhat</dc:creator>
  <cp:keywords/>
  <dc:description/>
  <cp:lastModifiedBy>hp</cp:lastModifiedBy>
  <cp:revision>3</cp:revision>
  <dcterms:created xsi:type="dcterms:W3CDTF">2023-10-26T05:11:00Z</dcterms:created>
  <dcterms:modified xsi:type="dcterms:W3CDTF">2023-10-26T09:56:00Z</dcterms:modified>
</cp:coreProperties>
</file>