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C74915" w14:textId="77777777" w:rsidR="00762FD1" w:rsidRPr="00E63973" w:rsidRDefault="00762FD1" w:rsidP="00762FD1">
      <w:pPr>
        <w:rPr>
          <w:rFonts w:ascii="Calibri" w:eastAsia="Calibri" w:hAnsi="Calibri" w:cs="Calibri"/>
          <w:b/>
          <w:color w:val="000000"/>
          <w:szCs w:val="22"/>
          <w:u w:color="000000"/>
          <w:lang w:val="en-GB" w:eastAsia="en-GB"/>
        </w:rPr>
      </w:pPr>
      <w:r w:rsidRPr="00E63973">
        <w:rPr>
          <w:rFonts w:ascii="Calibri" w:eastAsia="Calibri" w:hAnsi="Calibri" w:cs="Calibri"/>
          <w:b/>
          <w:color w:val="000000"/>
          <w:szCs w:val="22"/>
          <w:u w:color="000000"/>
          <w:lang w:val="en-GB" w:eastAsia="en-GB"/>
        </w:rPr>
        <w:t>Supplemental Figures</w:t>
      </w:r>
    </w:p>
    <w:p w14:paraId="764B76D4" w14:textId="77777777" w:rsidR="00762FD1" w:rsidRDefault="00762FD1" w:rsidP="00762FD1">
      <w:pPr>
        <w:rPr>
          <w:rFonts w:ascii="Calibri" w:eastAsia="Calibri" w:hAnsi="Calibri" w:cs="Calibri"/>
          <w:color w:val="000000"/>
          <w:sz w:val="22"/>
          <w:szCs w:val="22"/>
          <w:u w:color="000000"/>
          <w:lang w:val="en-GB" w:eastAsia="en-GB"/>
        </w:rPr>
      </w:pPr>
    </w:p>
    <w:p w14:paraId="481A98CD" w14:textId="77777777" w:rsidR="00762FD1" w:rsidRPr="00E63973" w:rsidRDefault="00762FD1" w:rsidP="00762FD1">
      <w:pPr>
        <w:jc w:val="both"/>
        <w:rPr>
          <w:rFonts w:ascii="Calibri" w:hAnsi="Calibri" w:cs="Calibri"/>
          <w:sz w:val="22"/>
          <w:szCs w:val="22"/>
        </w:rPr>
      </w:pPr>
      <w:r>
        <w:rPr>
          <w:noProof/>
        </w:rPr>
        <w:drawing>
          <wp:inline distT="0" distB="0" distL="0" distR="0" wp14:anchorId="0BEC67B3" wp14:editId="0752E90A">
            <wp:extent cx="4379976" cy="4990338"/>
            <wp:effectExtent l="0" t="0" r="1905" b="1270"/>
            <wp:docPr id="114754799" name="Picture 28"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54799" name="Picture 28" descr="A collage of images of cell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79976" cy="4990338"/>
                    </a:xfrm>
                    <a:prstGeom prst="rect">
                      <a:avLst/>
                    </a:prstGeom>
                  </pic:spPr>
                </pic:pic>
              </a:graphicData>
            </a:graphic>
          </wp:inline>
        </w:drawing>
      </w:r>
    </w:p>
    <w:p w14:paraId="3F64DEFE" w14:textId="77777777" w:rsidR="00762FD1" w:rsidRPr="00E63973" w:rsidRDefault="00762FD1" w:rsidP="00762FD1">
      <w:pPr>
        <w:jc w:val="both"/>
        <w:rPr>
          <w:rFonts w:ascii="Calibri" w:hAnsi="Calibri" w:cs="Calibri"/>
          <w:b/>
          <w:bCs/>
          <w:sz w:val="22"/>
          <w:szCs w:val="22"/>
        </w:rPr>
      </w:pPr>
      <w:r w:rsidRPr="00E63973">
        <w:rPr>
          <w:rFonts w:ascii="Calibri" w:hAnsi="Calibri" w:cs="Calibri"/>
          <w:b/>
          <w:bCs/>
          <w:sz w:val="22"/>
          <w:szCs w:val="22"/>
        </w:rPr>
        <w:t xml:space="preserve">Fig.S1: Crol is expressed in the adult </w:t>
      </w:r>
      <w:r w:rsidRPr="00E63973">
        <w:rPr>
          <w:rFonts w:ascii="Calibri" w:hAnsi="Calibri" w:cs="Calibri"/>
          <w:b/>
          <w:bCs/>
          <w:i/>
          <w:iCs/>
          <w:sz w:val="22"/>
          <w:szCs w:val="22"/>
        </w:rPr>
        <w:t>Drosophila</w:t>
      </w:r>
      <w:r w:rsidRPr="00E63973">
        <w:rPr>
          <w:rFonts w:ascii="Calibri" w:hAnsi="Calibri" w:cs="Calibri"/>
          <w:b/>
          <w:bCs/>
          <w:sz w:val="22"/>
          <w:szCs w:val="22"/>
        </w:rPr>
        <w:t xml:space="preserve"> midgut</w:t>
      </w:r>
    </w:p>
    <w:p w14:paraId="1BCB8D0B" w14:textId="77777777" w:rsidR="00762FD1" w:rsidRPr="00E63973" w:rsidRDefault="00762FD1" w:rsidP="00762FD1">
      <w:pPr>
        <w:jc w:val="both"/>
        <w:rPr>
          <w:rFonts w:ascii="Calibri" w:hAnsi="Calibri" w:cs="Calibri"/>
          <w:sz w:val="22"/>
          <w:szCs w:val="22"/>
        </w:rPr>
      </w:pPr>
      <w:r w:rsidRPr="00E63973">
        <w:rPr>
          <w:rFonts w:ascii="Calibri" w:hAnsi="Calibri" w:cs="Calibri"/>
          <w:sz w:val="22"/>
          <w:szCs w:val="22"/>
        </w:rPr>
        <w:t>(A-A’’) Confocal images of Crol::GFP in adult midguts of MF showing localization of Crol in nuclei of ISC positive for antibody staining against the ISC marker Delta (aDl). Scale bar is 5µm. (B-C’’) Confocal images of Crol::GFP combined with the EB marker Gbe+Su(H)-dsRed showing Crol localization in (B-B’’) dsRed positive EC, and (C-C’’) in epithelial EC stained with antibody against the septate junction marker discs large 1 (aDlg1) and enteroendocrine cells (EE) stained by anti-prospero (Pros). Scale bar is 10µm.</w:t>
      </w:r>
    </w:p>
    <w:p w14:paraId="6AEE9F82" w14:textId="77777777" w:rsidR="00762FD1" w:rsidRPr="00E63973" w:rsidRDefault="00762FD1" w:rsidP="00762FD1">
      <w:pPr>
        <w:rPr>
          <w:rFonts w:ascii="Calibri" w:hAnsi="Calibri" w:cs="Calibri"/>
          <w:sz w:val="22"/>
          <w:szCs w:val="22"/>
        </w:rPr>
      </w:pPr>
      <w:r w:rsidRPr="00E63973">
        <w:rPr>
          <w:rFonts w:ascii="Calibri" w:hAnsi="Calibri" w:cs="Calibri"/>
          <w:sz w:val="22"/>
          <w:szCs w:val="22"/>
        </w:rPr>
        <w:br w:type="page"/>
      </w:r>
    </w:p>
    <w:p w14:paraId="5F6A2720" w14:textId="77777777" w:rsidR="00762FD1" w:rsidRPr="00E63973" w:rsidRDefault="00762FD1" w:rsidP="00762FD1">
      <w:pPr>
        <w:jc w:val="both"/>
        <w:rPr>
          <w:rFonts w:ascii="Calibri" w:hAnsi="Calibri" w:cs="Calibri"/>
          <w:sz w:val="22"/>
          <w:szCs w:val="22"/>
        </w:rPr>
      </w:pPr>
      <w:r w:rsidRPr="00E63973">
        <w:rPr>
          <w:rFonts w:ascii="Calibri" w:hAnsi="Calibri" w:cs="Calibri"/>
          <w:noProof/>
          <w:sz w:val="22"/>
          <w:szCs w:val="22"/>
        </w:rPr>
        <w:lastRenderedPageBreak/>
        <w:drawing>
          <wp:inline distT="0" distB="0" distL="0" distR="0" wp14:anchorId="12C2E227" wp14:editId="596AAA83">
            <wp:extent cx="5054645" cy="5125926"/>
            <wp:effectExtent l="0" t="0" r="0" b="0"/>
            <wp:docPr id="39531170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311709" name="Picture 13"/>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54645" cy="5125926"/>
                    </a:xfrm>
                    <a:prstGeom prst="rect">
                      <a:avLst/>
                    </a:prstGeom>
                  </pic:spPr>
                </pic:pic>
              </a:graphicData>
            </a:graphic>
          </wp:inline>
        </w:drawing>
      </w:r>
    </w:p>
    <w:p w14:paraId="066BDBDB" w14:textId="77777777" w:rsidR="00762FD1" w:rsidRPr="00E63973" w:rsidRDefault="00762FD1" w:rsidP="00762FD1">
      <w:pPr>
        <w:jc w:val="both"/>
        <w:rPr>
          <w:rFonts w:ascii="Calibri" w:hAnsi="Calibri" w:cs="Calibri"/>
          <w:b/>
          <w:bCs/>
          <w:sz w:val="22"/>
          <w:szCs w:val="22"/>
        </w:rPr>
      </w:pPr>
      <w:r w:rsidRPr="00E63973">
        <w:rPr>
          <w:rFonts w:ascii="Calibri" w:hAnsi="Calibri" w:cs="Calibri"/>
          <w:b/>
          <w:bCs/>
          <w:sz w:val="22"/>
          <w:szCs w:val="22"/>
        </w:rPr>
        <w:t>Fig.S2: Crol controls ISC proliferation and intestinal homeostasis</w:t>
      </w:r>
    </w:p>
    <w:p w14:paraId="72DE233E" w14:textId="77777777" w:rsidR="00762FD1" w:rsidRPr="00E63973" w:rsidRDefault="00762FD1" w:rsidP="00762FD1">
      <w:pPr>
        <w:jc w:val="both"/>
        <w:rPr>
          <w:rFonts w:ascii="Calibri" w:hAnsi="Calibri" w:cs="Calibri"/>
          <w:sz w:val="22"/>
          <w:szCs w:val="22"/>
        </w:rPr>
      </w:pPr>
      <w:r w:rsidRPr="00E63973">
        <w:rPr>
          <w:rFonts w:ascii="Calibri" w:hAnsi="Calibri" w:cs="Calibri"/>
          <w:sz w:val="22"/>
          <w:szCs w:val="22"/>
        </w:rPr>
        <w:t xml:space="preserve">(A) Schematic of </w:t>
      </w:r>
      <w:r w:rsidRPr="00E63973">
        <w:rPr>
          <w:rFonts w:ascii="Calibri" w:hAnsi="Calibri" w:cs="Calibri"/>
          <w:i/>
          <w:iCs/>
          <w:sz w:val="22"/>
          <w:szCs w:val="22"/>
        </w:rPr>
        <w:t>esg</w:t>
      </w:r>
      <w:r w:rsidRPr="00E63973">
        <w:rPr>
          <w:rFonts w:ascii="Calibri" w:hAnsi="Calibri" w:cs="Calibri"/>
          <w:i/>
          <w:iCs/>
          <w:sz w:val="22"/>
          <w:szCs w:val="22"/>
          <w:vertAlign w:val="superscript"/>
        </w:rPr>
        <w:t>ReDDM</w:t>
      </w:r>
      <w:r w:rsidRPr="00E63973">
        <w:rPr>
          <w:rFonts w:ascii="Calibri" w:hAnsi="Calibri" w:cs="Calibri"/>
          <w:sz w:val="22"/>
          <w:szCs w:val="22"/>
        </w:rPr>
        <w:t xml:space="preserve"> tracing. </w:t>
      </w:r>
      <w:r w:rsidRPr="00E63973">
        <w:rPr>
          <w:rFonts w:ascii="Calibri" w:hAnsi="Calibri" w:cs="Calibri"/>
          <w:i/>
          <w:iCs/>
          <w:sz w:val="22"/>
          <w:szCs w:val="22"/>
        </w:rPr>
        <w:t>esg-Gal4</w:t>
      </w:r>
      <w:r w:rsidRPr="00E63973">
        <w:rPr>
          <w:rFonts w:ascii="Calibri" w:hAnsi="Calibri" w:cs="Calibri"/>
          <w:sz w:val="22"/>
          <w:szCs w:val="22"/>
        </w:rPr>
        <w:t xml:space="preserve">, active in progenitor cells, double marks ISC/EB driving expression of </w:t>
      </w:r>
      <w:r w:rsidRPr="00E63973">
        <w:rPr>
          <w:rFonts w:ascii="Calibri" w:hAnsi="Calibri" w:cs="Calibri"/>
          <w:i/>
          <w:iCs/>
          <w:sz w:val="22"/>
          <w:szCs w:val="22"/>
        </w:rPr>
        <w:t>&gt;CD8::GFP</w:t>
      </w:r>
      <w:r w:rsidRPr="00E63973">
        <w:rPr>
          <w:rFonts w:ascii="Calibri" w:hAnsi="Calibri" w:cs="Calibri"/>
          <w:sz w:val="22"/>
          <w:szCs w:val="22"/>
        </w:rPr>
        <w:t xml:space="preserve"> (membrane, green) and </w:t>
      </w:r>
      <w:r w:rsidRPr="00E63973">
        <w:rPr>
          <w:rFonts w:ascii="Calibri" w:hAnsi="Calibri" w:cs="Calibri"/>
          <w:i/>
          <w:iCs/>
          <w:sz w:val="22"/>
          <w:szCs w:val="22"/>
        </w:rPr>
        <w:t>&gt;H2B::RFP</w:t>
      </w:r>
      <w:r w:rsidRPr="00E63973">
        <w:rPr>
          <w:rFonts w:ascii="Calibri" w:hAnsi="Calibri" w:cs="Calibri"/>
          <w:sz w:val="22"/>
          <w:szCs w:val="22"/>
        </w:rPr>
        <w:t xml:space="preserve"> (nuclei, red). Upon differentiation new epithelial EC and EE lose CD8::GFP signal, whereas nuclear H2B::RFP persists due to its long half-life enabling tracing of ISC/EB progeny. Transgene expression is timely controlled by an ubiquitously expressed temperature sensitive Gal80 repressor (</w:t>
      </w:r>
      <w:r w:rsidRPr="00E63973">
        <w:rPr>
          <w:rFonts w:ascii="Calibri" w:hAnsi="Calibri" w:cs="Calibri"/>
          <w:i/>
          <w:iCs/>
          <w:sz w:val="22"/>
          <w:szCs w:val="22"/>
        </w:rPr>
        <w:t>tub-Gal80</w:t>
      </w:r>
      <w:r w:rsidRPr="00E63973">
        <w:rPr>
          <w:rFonts w:ascii="Calibri" w:hAnsi="Calibri" w:cs="Calibri"/>
          <w:i/>
          <w:iCs/>
          <w:sz w:val="22"/>
          <w:szCs w:val="22"/>
          <w:vertAlign w:val="superscript"/>
        </w:rPr>
        <w:t>ts</w:t>
      </w:r>
      <w:r w:rsidRPr="00E63973">
        <w:rPr>
          <w:rFonts w:ascii="Calibri" w:hAnsi="Calibri" w:cs="Calibri"/>
          <w:sz w:val="22"/>
          <w:szCs w:val="22"/>
        </w:rPr>
        <w:t xml:space="preserve">). (B-F) Confocal images of adult midguts after seven days of </w:t>
      </w:r>
      <w:r w:rsidRPr="00E63973">
        <w:rPr>
          <w:rFonts w:ascii="Calibri" w:hAnsi="Calibri" w:cs="Calibri"/>
          <w:i/>
          <w:iCs/>
          <w:sz w:val="22"/>
          <w:szCs w:val="22"/>
        </w:rPr>
        <w:t>esg</w:t>
      </w:r>
      <w:r w:rsidRPr="00E63973">
        <w:rPr>
          <w:rFonts w:ascii="Calibri" w:hAnsi="Calibri" w:cs="Calibri"/>
          <w:i/>
          <w:iCs/>
          <w:sz w:val="22"/>
          <w:szCs w:val="22"/>
          <w:vertAlign w:val="superscript"/>
        </w:rPr>
        <w:t>ReDDM</w:t>
      </w:r>
      <w:r w:rsidRPr="00E63973">
        <w:rPr>
          <w:rFonts w:ascii="Calibri" w:hAnsi="Calibri" w:cs="Calibri"/>
          <w:sz w:val="22"/>
          <w:szCs w:val="22"/>
        </w:rPr>
        <w:t xml:space="preserve"> tracing in (B) controls, OE of </w:t>
      </w:r>
      <w:r w:rsidRPr="00E63973">
        <w:rPr>
          <w:rFonts w:ascii="Calibri" w:hAnsi="Calibri" w:cs="Calibri"/>
          <w:i/>
          <w:iCs/>
          <w:sz w:val="22"/>
          <w:szCs w:val="22"/>
        </w:rPr>
        <w:t>crol</w:t>
      </w:r>
      <w:r w:rsidRPr="00E63973">
        <w:rPr>
          <w:rFonts w:ascii="Calibri" w:hAnsi="Calibri" w:cs="Calibri"/>
          <w:sz w:val="22"/>
          <w:szCs w:val="22"/>
        </w:rPr>
        <w:t xml:space="preserve"> using two other overexpression lines: (C) Bloomington line BL58359 and (D) BL56762, (E) KD of </w:t>
      </w:r>
      <w:r w:rsidRPr="00E63973">
        <w:rPr>
          <w:rFonts w:ascii="Calibri" w:hAnsi="Calibri" w:cs="Calibri"/>
          <w:i/>
          <w:iCs/>
          <w:sz w:val="22"/>
          <w:szCs w:val="22"/>
        </w:rPr>
        <w:t>crol</w:t>
      </w:r>
      <w:r w:rsidRPr="00E63973">
        <w:rPr>
          <w:rFonts w:ascii="Calibri" w:hAnsi="Calibri" w:cs="Calibri"/>
          <w:sz w:val="22"/>
          <w:szCs w:val="22"/>
        </w:rPr>
        <w:t xml:space="preserve"> using another RNAi-line: BL44643, and (F) knockout (KO) of </w:t>
      </w:r>
      <w:r w:rsidRPr="00E63973">
        <w:rPr>
          <w:rFonts w:ascii="Calibri" w:hAnsi="Calibri" w:cs="Calibri"/>
          <w:i/>
          <w:iCs/>
          <w:sz w:val="22"/>
          <w:szCs w:val="22"/>
        </w:rPr>
        <w:t>crol</w:t>
      </w:r>
      <w:r w:rsidRPr="00E63973">
        <w:rPr>
          <w:rFonts w:ascii="Calibri" w:hAnsi="Calibri" w:cs="Calibri"/>
          <w:sz w:val="22"/>
          <w:szCs w:val="22"/>
        </w:rPr>
        <w:t xml:space="preserve"> induced by a </w:t>
      </w:r>
      <w:r w:rsidRPr="00E63973">
        <w:rPr>
          <w:rFonts w:ascii="Calibri" w:hAnsi="Calibri" w:cs="Calibri"/>
          <w:i/>
          <w:iCs/>
          <w:sz w:val="22"/>
          <w:szCs w:val="22"/>
        </w:rPr>
        <w:t>crol</w:t>
      </w:r>
      <w:r w:rsidRPr="00E63973">
        <w:rPr>
          <w:rFonts w:ascii="Calibri" w:hAnsi="Calibri" w:cs="Calibri"/>
          <w:sz w:val="22"/>
          <w:szCs w:val="22"/>
        </w:rPr>
        <w:t xml:space="preserve"> guide RNA transgene (</w:t>
      </w:r>
      <w:r w:rsidRPr="00E63973">
        <w:rPr>
          <w:rFonts w:ascii="Calibri" w:hAnsi="Calibri" w:cs="Calibri"/>
          <w:i/>
          <w:iCs/>
          <w:sz w:val="22"/>
          <w:szCs w:val="22"/>
        </w:rPr>
        <w:t>&gt;crol</w:t>
      </w:r>
      <w:r w:rsidRPr="00E63973">
        <w:rPr>
          <w:rFonts w:ascii="Calibri" w:hAnsi="Calibri" w:cs="Calibri"/>
          <w:i/>
          <w:iCs/>
          <w:sz w:val="22"/>
          <w:szCs w:val="22"/>
          <w:vertAlign w:val="superscript"/>
        </w:rPr>
        <w:t>gRNA</w:t>
      </w:r>
      <w:r w:rsidRPr="00E63973">
        <w:rPr>
          <w:rFonts w:ascii="Calibri" w:hAnsi="Calibri" w:cs="Calibri"/>
          <w:sz w:val="22"/>
          <w:szCs w:val="22"/>
        </w:rPr>
        <w:t xml:space="preserve">) consisting of two single gRNAs binding </w:t>
      </w:r>
      <w:r w:rsidRPr="00E63973">
        <w:rPr>
          <w:rFonts w:ascii="Calibri" w:hAnsi="Calibri" w:cs="Calibri"/>
          <w:i/>
          <w:iCs/>
          <w:sz w:val="22"/>
          <w:szCs w:val="22"/>
        </w:rPr>
        <w:t>crol</w:t>
      </w:r>
      <w:r w:rsidRPr="00E63973">
        <w:rPr>
          <w:rFonts w:ascii="Calibri" w:hAnsi="Calibri" w:cs="Calibri"/>
          <w:sz w:val="22"/>
          <w:szCs w:val="22"/>
        </w:rPr>
        <w:t xml:space="preserve"> cDNA for CRISPR/Cas9 induced KO by </w:t>
      </w:r>
      <w:r w:rsidRPr="00E63973">
        <w:rPr>
          <w:rFonts w:ascii="Calibri" w:hAnsi="Calibri" w:cs="Calibri"/>
          <w:i/>
          <w:iCs/>
          <w:sz w:val="22"/>
          <w:szCs w:val="22"/>
        </w:rPr>
        <w:t>&gt;Cas9</w:t>
      </w:r>
      <w:r w:rsidRPr="00E63973">
        <w:rPr>
          <w:rFonts w:ascii="Calibri" w:hAnsi="Calibri" w:cs="Calibri"/>
          <w:sz w:val="22"/>
          <w:szCs w:val="22"/>
        </w:rPr>
        <w:t xml:space="preserve">. Scale bar is 50µm. (G-I) Quantifications of (G) progenitor cell numbers (n=15,11,15,12,8), (H) progeny (n=15,11,15,12,8), and (I) ISC proliferation encompassing number of mitotically active ISC positive for aPH3 staining (n=8,9,5). Mean is indicated by (+) and asterisks denote significances from student’s t-test (*p&lt;0.05, **p&lt;0.01, ***p&lt;0.001, ****p&lt;0.0001). (J) Schematic of a model for functional validation of </w:t>
      </w:r>
      <w:r w:rsidRPr="00E63973">
        <w:rPr>
          <w:rFonts w:ascii="Calibri" w:hAnsi="Calibri" w:cs="Calibri"/>
          <w:i/>
          <w:iCs/>
          <w:sz w:val="22"/>
          <w:szCs w:val="22"/>
        </w:rPr>
        <w:t>&gt;crol-RNAi</w:t>
      </w:r>
      <w:r w:rsidRPr="00E63973">
        <w:rPr>
          <w:rFonts w:ascii="Calibri" w:hAnsi="Calibri" w:cs="Calibri"/>
          <w:sz w:val="22"/>
          <w:szCs w:val="22"/>
        </w:rPr>
        <w:t xml:space="preserve"> and </w:t>
      </w:r>
      <w:r w:rsidRPr="00E63973">
        <w:rPr>
          <w:rFonts w:ascii="Calibri" w:hAnsi="Calibri" w:cs="Calibri"/>
          <w:i/>
          <w:iCs/>
          <w:sz w:val="22"/>
          <w:szCs w:val="22"/>
        </w:rPr>
        <w:t>crol::GFP</w:t>
      </w:r>
      <w:r w:rsidRPr="00E63973">
        <w:rPr>
          <w:rFonts w:ascii="Calibri" w:hAnsi="Calibri" w:cs="Calibri"/>
          <w:sz w:val="22"/>
          <w:szCs w:val="22"/>
        </w:rPr>
        <w:t xml:space="preserve"> transgenes. Crol::GFP shows presence of Crol protein in all cell types and is combined with </w:t>
      </w:r>
      <w:r w:rsidRPr="00E63973">
        <w:rPr>
          <w:rFonts w:ascii="Calibri" w:hAnsi="Calibri" w:cs="Calibri"/>
          <w:i/>
          <w:iCs/>
          <w:sz w:val="22"/>
          <w:szCs w:val="22"/>
        </w:rPr>
        <w:t>esg-Gal4</w:t>
      </w:r>
      <w:r w:rsidRPr="00E63973">
        <w:rPr>
          <w:rFonts w:ascii="Calibri" w:hAnsi="Calibri" w:cs="Calibri"/>
          <w:sz w:val="22"/>
          <w:szCs w:val="22"/>
        </w:rPr>
        <w:t xml:space="preserve"> driving expression of </w:t>
      </w:r>
      <w:r w:rsidRPr="00E63973">
        <w:rPr>
          <w:rFonts w:ascii="Calibri" w:hAnsi="Calibri" w:cs="Calibri"/>
          <w:i/>
          <w:iCs/>
          <w:sz w:val="22"/>
          <w:szCs w:val="22"/>
        </w:rPr>
        <w:t>&gt;RFP</w:t>
      </w:r>
      <w:r w:rsidRPr="00E63973">
        <w:rPr>
          <w:rFonts w:ascii="Calibri" w:hAnsi="Calibri" w:cs="Calibri"/>
          <w:sz w:val="22"/>
          <w:szCs w:val="22"/>
        </w:rPr>
        <w:t xml:space="preserve"> and </w:t>
      </w:r>
      <w:r w:rsidRPr="00E63973">
        <w:rPr>
          <w:rFonts w:ascii="Calibri" w:hAnsi="Calibri" w:cs="Calibri"/>
          <w:i/>
          <w:iCs/>
          <w:sz w:val="22"/>
          <w:szCs w:val="22"/>
        </w:rPr>
        <w:t>&gt;crol-RNAi</w:t>
      </w:r>
      <w:r w:rsidRPr="00E63973">
        <w:rPr>
          <w:rFonts w:ascii="Calibri" w:hAnsi="Calibri" w:cs="Calibri"/>
          <w:sz w:val="22"/>
          <w:szCs w:val="22"/>
        </w:rPr>
        <w:t xml:space="preserve"> in ISC/EB. Expression of </w:t>
      </w:r>
      <w:r w:rsidRPr="00E63973">
        <w:rPr>
          <w:rFonts w:ascii="Calibri" w:hAnsi="Calibri" w:cs="Calibri"/>
          <w:i/>
          <w:iCs/>
          <w:sz w:val="22"/>
          <w:szCs w:val="22"/>
        </w:rPr>
        <w:t>&gt;crol-RNAi</w:t>
      </w:r>
      <w:r w:rsidRPr="00E63973">
        <w:rPr>
          <w:rFonts w:ascii="Calibri" w:hAnsi="Calibri" w:cs="Calibri"/>
          <w:sz w:val="22"/>
          <w:szCs w:val="22"/>
        </w:rPr>
        <w:t xml:space="preserve"> leads to mRNA degradation within ISC/EB resulting in the subsequent loss of Crol::GFP signal. (K-L’’) Confocal images of adult midguts with </w:t>
      </w:r>
      <w:r w:rsidRPr="00E63973">
        <w:rPr>
          <w:rFonts w:ascii="Calibri" w:hAnsi="Calibri" w:cs="Calibri"/>
          <w:i/>
          <w:iCs/>
          <w:sz w:val="22"/>
          <w:szCs w:val="22"/>
        </w:rPr>
        <w:t>crol::GFP</w:t>
      </w:r>
      <w:r w:rsidRPr="00E63973">
        <w:rPr>
          <w:rFonts w:ascii="Calibri" w:hAnsi="Calibri" w:cs="Calibri"/>
          <w:sz w:val="22"/>
          <w:szCs w:val="22"/>
        </w:rPr>
        <w:t xml:space="preserve"> and </w:t>
      </w:r>
      <w:r w:rsidRPr="00E63973">
        <w:rPr>
          <w:rFonts w:ascii="Calibri" w:hAnsi="Calibri" w:cs="Calibri"/>
          <w:i/>
          <w:iCs/>
          <w:sz w:val="22"/>
          <w:szCs w:val="22"/>
        </w:rPr>
        <w:t>esg&gt;RFP</w:t>
      </w:r>
      <w:r w:rsidRPr="00E63973">
        <w:rPr>
          <w:rFonts w:ascii="Calibri" w:hAnsi="Calibri" w:cs="Calibri"/>
          <w:sz w:val="22"/>
          <w:szCs w:val="22"/>
        </w:rPr>
        <w:t xml:space="preserve"> in (K-K’’) controls and (L-L’’) combined with </w:t>
      </w:r>
      <w:r w:rsidRPr="00E63973">
        <w:rPr>
          <w:rFonts w:ascii="Calibri" w:hAnsi="Calibri" w:cs="Calibri"/>
          <w:i/>
          <w:iCs/>
          <w:sz w:val="22"/>
          <w:szCs w:val="22"/>
        </w:rPr>
        <w:t>&gt;crol-RNAi</w:t>
      </w:r>
      <w:r w:rsidRPr="00E63973">
        <w:rPr>
          <w:rFonts w:ascii="Calibri" w:hAnsi="Calibri" w:cs="Calibri"/>
          <w:sz w:val="22"/>
          <w:szCs w:val="22"/>
        </w:rPr>
        <w:t xml:space="preserve"> resulting in visible loss of Crol::GFP signal within ISC/EB (outlined with white ellipses). White arrowheads point to EC that are positive for Crol::GFP signal in both conditions. Scale bar is 10µm.</w:t>
      </w:r>
    </w:p>
    <w:p w14:paraId="4EFAF4B0" w14:textId="77777777" w:rsidR="00762FD1" w:rsidRPr="00E63973" w:rsidRDefault="00762FD1" w:rsidP="00762FD1">
      <w:pPr>
        <w:jc w:val="both"/>
        <w:rPr>
          <w:rFonts w:ascii="Calibri" w:hAnsi="Calibri" w:cs="Calibri"/>
          <w:sz w:val="22"/>
          <w:szCs w:val="22"/>
        </w:rPr>
      </w:pPr>
      <w:r w:rsidRPr="00E63973">
        <w:rPr>
          <w:rFonts w:ascii="Calibri" w:hAnsi="Calibri" w:cs="Calibri"/>
          <w:noProof/>
          <w:sz w:val="22"/>
          <w:szCs w:val="22"/>
        </w:rPr>
        <w:lastRenderedPageBreak/>
        <w:drawing>
          <wp:inline distT="0" distB="0" distL="0" distR="0" wp14:anchorId="6C1C5434" wp14:editId="15D74F52">
            <wp:extent cx="5760720" cy="7822565"/>
            <wp:effectExtent l="0" t="0" r="0" b="6985"/>
            <wp:docPr id="1308408403" name="Picture 29" descr="A close-up of a microsc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08403" name="Picture 29" descr="A close-up of a microscop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7822565"/>
                    </a:xfrm>
                    <a:prstGeom prst="rect">
                      <a:avLst/>
                    </a:prstGeom>
                  </pic:spPr>
                </pic:pic>
              </a:graphicData>
            </a:graphic>
          </wp:inline>
        </w:drawing>
      </w:r>
    </w:p>
    <w:p w14:paraId="0C89E4D3" w14:textId="77777777" w:rsidR="00762FD1" w:rsidRPr="00E63973" w:rsidRDefault="00762FD1" w:rsidP="00762FD1">
      <w:pPr>
        <w:jc w:val="both"/>
        <w:rPr>
          <w:rFonts w:ascii="Calibri" w:hAnsi="Calibri" w:cs="Calibri"/>
          <w:b/>
          <w:bCs/>
          <w:sz w:val="22"/>
          <w:szCs w:val="22"/>
        </w:rPr>
      </w:pPr>
      <w:r w:rsidRPr="00E63973">
        <w:rPr>
          <w:rFonts w:ascii="Calibri" w:hAnsi="Calibri" w:cs="Calibri"/>
          <w:b/>
          <w:bCs/>
          <w:sz w:val="22"/>
          <w:szCs w:val="22"/>
        </w:rPr>
        <w:t>Fig.S3: Crol controls proliferation in ISC and EB by regulating CycB</w:t>
      </w:r>
    </w:p>
    <w:p w14:paraId="211C20CF" w14:textId="77777777" w:rsidR="00762FD1" w:rsidRPr="00E63973" w:rsidRDefault="00762FD1" w:rsidP="00762FD1">
      <w:pPr>
        <w:jc w:val="both"/>
        <w:rPr>
          <w:rFonts w:ascii="Calibri" w:hAnsi="Calibri" w:cs="Calibri"/>
          <w:sz w:val="22"/>
          <w:szCs w:val="22"/>
        </w:rPr>
      </w:pPr>
      <w:r w:rsidRPr="00E63973">
        <w:rPr>
          <w:rFonts w:ascii="Calibri" w:hAnsi="Calibri" w:cs="Calibri"/>
          <w:sz w:val="22"/>
          <w:szCs w:val="22"/>
        </w:rPr>
        <w:t xml:space="preserve">(A) Quantification of mitotic ISC upon KD of </w:t>
      </w:r>
      <w:r w:rsidRPr="00E63973">
        <w:rPr>
          <w:rFonts w:ascii="Calibri" w:hAnsi="Calibri" w:cs="Calibri"/>
          <w:i/>
          <w:iCs/>
          <w:sz w:val="22"/>
          <w:szCs w:val="22"/>
        </w:rPr>
        <w:t>stg</w:t>
      </w:r>
      <w:r w:rsidRPr="00E63973">
        <w:rPr>
          <w:rFonts w:ascii="Calibri" w:hAnsi="Calibri" w:cs="Calibri"/>
          <w:sz w:val="22"/>
          <w:szCs w:val="22"/>
        </w:rPr>
        <w:t xml:space="preserve"> and </w:t>
      </w:r>
      <w:r w:rsidRPr="00E63973">
        <w:rPr>
          <w:rFonts w:ascii="Calibri" w:hAnsi="Calibri" w:cs="Calibri"/>
          <w:i/>
          <w:iCs/>
          <w:sz w:val="22"/>
          <w:szCs w:val="22"/>
        </w:rPr>
        <w:t>crol</w:t>
      </w:r>
      <w:r w:rsidRPr="00E63973">
        <w:rPr>
          <w:rFonts w:ascii="Calibri" w:hAnsi="Calibri" w:cs="Calibri"/>
          <w:sz w:val="22"/>
          <w:szCs w:val="22"/>
        </w:rPr>
        <w:t xml:space="preserve"> in </w:t>
      </w:r>
      <w:r w:rsidRPr="00E63973">
        <w:rPr>
          <w:rFonts w:ascii="Calibri" w:hAnsi="Calibri" w:cs="Calibri"/>
          <w:i/>
          <w:sz w:val="22"/>
          <w:szCs w:val="22"/>
        </w:rPr>
        <w:t>esg</w:t>
      </w:r>
      <w:r w:rsidRPr="00E63973">
        <w:rPr>
          <w:rFonts w:ascii="Calibri" w:hAnsi="Calibri" w:cs="Calibri"/>
          <w:i/>
          <w:sz w:val="22"/>
          <w:szCs w:val="22"/>
          <w:vertAlign w:val="superscript"/>
        </w:rPr>
        <w:t>ReDDM</w:t>
      </w:r>
      <w:r w:rsidRPr="00E63973">
        <w:rPr>
          <w:rFonts w:ascii="Calibri" w:hAnsi="Calibri" w:cs="Calibri"/>
          <w:sz w:val="22"/>
          <w:szCs w:val="22"/>
        </w:rPr>
        <w:t xml:space="preserve"> traced for seven days (n=8,15,5,9). (B-F) Confocal images of adult midguts after seven days of </w:t>
      </w:r>
      <w:r w:rsidRPr="00E63973">
        <w:rPr>
          <w:rFonts w:ascii="Calibri" w:hAnsi="Calibri" w:cs="Calibri"/>
          <w:i/>
          <w:sz w:val="22"/>
          <w:szCs w:val="22"/>
        </w:rPr>
        <w:t>esg</w:t>
      </w:r>
      <w:r w:rsidRPr="00E63973">
        <w:rPr>
          <w:rFonts w:ascii="Calibri" w:hAnsi="Calibri" w:cs="Calibri"/>
          <w:i/>
          <w:sz w:val="22"/>
          <w:szCs w:val="22"/>
          <w:vertAlign w:val="superscript"/>
        </w:rPr>
        <w:t>ReDDM</w:t>
      </w:r>
      <w:r w:rsidRPr="00E63973">
        <w:rPr>
          <w:rFonts w:ascii="Calibri" w:hAnsi="Calibri" w:cs="Calibri"/>
          <w:sz w:val="22"/>
          <w:szCs w:val="22"/>
        </w:rPr>
        <w:t xml:space="preserve"> tracing in (B) controls, (C) upon expression of </w:t>
      </w:r>
      <w:r w:rsidRPr="00E63973">
        <w:rPr>
          <w:rFonts w:ascii="Calibri" w:hAnsi="Calibri" w:cs="Calibri"/>
          <w:i/>
          <w:iCs/>
          <w:sz w:val="22"/>
          <w:szCs w:val="22"/>
        </w:rPr>
        <w:t>&gt;crol-RNAi</w:t>
      </w:r>
      <w:r w:rsidRPr="00E63973">
        <w:rPr>
          <w:rFonts w:ascii="Calibri" w:hAnsi="Calibri" w:cs="Calibri"/>
          <w:sz w:val="22"/>
          <w:szCs w:val="22"/>
        </w:rPr>
        <w:t xml:space="preserve"> (D) combined with </w:t>
      </w:r>
      <w:r w:rsidRPr="00E63973">
        <w:rPr>
          <w:rFonts w:ascii="Calibri" w:hAnsi="Calibri" w:cs="Calibri"/>
          <w:i/>
          <w:sz w:val="22"/>
          <w:szCs w:val="22"/>
        </w:rPr>
        <w:t>&gt;CycB-RNAi</w:t>
      </w:r>
      <w:r w:rsidRPr="00E63973">
        <w:rPr>
          <w:rFonts w:ascii="Calibri" w:hAnsi="Calibri" w:cs="Calibri"/>
          <w:sz w:val="22"/>
          <w:szCs w:val="22"/>
        </w:rPr>
        <w:t xml:space="preserve">, and (E) </w:t>
      </w:r>
      <w:r w:rsidRPr="00E63973">
        <w:rPr>
          <w:rFonts w:ascii="Calibri" w:hAnsi="Calibri" w:cs="Calibri"/>
          <w:i/>
          <w:sz w:val="22"/>
          <w:szCs w:val="22"/>
        </w:rPr>
        <w:t>&gt;crol-RNAi</w:t>
      </w:r>
      <w:r w:rsidRPr="00E63973">
        <w:rPr>
          <w:rFonts w:ascii="Calibri" w:hAnsi="Calibri" w:cs="Calibri"/>
          <w:sz w:val="22"/>
          <w:szCs w:val="22"/>
        </w:rPr>
        <w:t xml:space="preserve"> (F) combined with </w:t>
      </w:r>
      <w:r w:rsidRPr="00E63973">
        <w:rPr>
          <w:rFonts w:ascii="Calibri" w:hAnsi="Calibri" w:cs="Calibri"/>
          <w:i/>
          <w:sz w:val="22"/>
          <w:szCs w:val="22"/>
        </w:rPr>
        <w:t>&gt;CycB</w:t>
      </w:r>
      <w:r w:rsidRPr="00E63973">
        <w:rPr>
          <w:rFonts w:ascii="Calibri" w:hAnsi="Calibri" w:cs="Calibri"/>
          <w:i/>
          <w:sz w:val="22"/>
          <w:szCs w:val="22"/>
          <w:vertAlign w:val="superscript"/>
        </w:rPr>
        <w:t>sgRNA</w:t>
      </w:r>
      <w:r w:rsidRPr="00E63973">
        <w:rPr>
          <w:rFonts w:ascii="Calibri" w:hAnsi="Calibri" w:cs="Calibri"/>
          <w:sz w:val="22"/>
          <w:szCs w:val="22"/>
        </w:rPr>
        <w:t xml:space="preserve"> and </w:t>
      </w:r>
      <w:r w:rsidRPr="00E63973">
        <w:rPr>
          <w:rFonts w:ascii="Calibri" w:hAnsi="Calibri" w:cs="Calibri"/>
          <w:i/>
          <w:iCs/>
          <w:sz w:val="22"/>
          <w:szCs w:val="22"/>
        </w:rPr>
        <w:t>&gt;Cas9</w:t>
      </w:r>
      <w:r w:rsidRPr="00E63973">
        <w:rPr>
          <w:rFonts w:ascii="Calibri" w:hAnsi="Calibri" w:cs="Calibri"/>
          <w:sz w:val="22"/>
          <w:szCs w:val="22"/>
        </w:rPr>
        <w:t xml:space="preserve"> for CRISPR/Cas9 induced KO. Scale bar is 50µm. (G) Quantification of progenitor cell numbers in </w:t>
      </w:r>
      <w:r w:rsidRPr="00E63973">
        <w:rPr>
          <w:rFonts w:ascii="Calibri" w:hAnsi="Calibri" w:cs="Calibri"/>
          <w:i/>
          <w:sz w:val="22"/>
          <w:szCs w:val="22"/>
        </w:rPr>
        <w:t>esg</w:t>
      </w:r>
      <w:r w:rsidRPr="00E63973">
        <w:rPr>
          <w:rFonts w:ascii="Calibri" w:hAnsi="Calibri" w:cs="Calibri"/>
          <w:i/>
          <w:sz w:val="22"/>
          <w:szCs w:val="22"/>
          <w:vertAlign w:val="superscript"/>
        </w:rPr>
        <w:t>ReDDM</w:t>
      </w:r>
      <w:r w:rsidRPr="00E63973">
        <w:rPr>
          <w:rFonts w:ascii="Calibri" w:hAnsi="Calibri" w:cs="Calibri"/>
          <w:sz w:val="22"/>
          <w:szCs w:val="22"/>
        </w:rPr>
        <w:t xml:space="preserve"> specific manipulations traced for seven days (n=13,8,4,10,6). (H) </w:t>
      </w:r>
      <w:r w:rsidRPr="00E63973">
        <w:rPr>
          <w:rFonts w:ascii="Calibri" w:hAnsi="Calibri" w:cs="Calibri"/>
          <w:sz w:val="22"/>
          <w:szCs w:val="22"/>
        </w:rPr>
        <w:lastRenderedPageBreak/>
        <w:t xml:space="preserve">Quantification of Crol protein levels within different cell types of adult midguts indicated by Crol::GFP intensities (n=63,77,115,40). Means and standard deviations are visualized by vertical lines and asterisks denote significances from student’s t-test (****p&lt;0.0001). (I) Schematic of </w:t>
      </w:r>
      <w:r w:rsidRPr="00E63973">
        <w:rPr>
          <w:rFonts w:ascii="Calibri" w:hAnsi="Calibri" w:cs="Calibri"/>
          <w:i/>
          <w:sz w:val="22"/>
          <w:szCs w:val="22"/>
        </w:rPr>
        <w:t>klu</w:t>
      </w:r>
      <w:r w:rsidRPr="00E63973">
        <w:rPr>
          <w:rFonts w:ascii="Calibri" w:hAnsi="Calibri" w:cs="Calibri"/>
          <w:i/>
          <w:sz w:val="22"/>
          <w:szCs w:val="22"/>
          <w:vertAlign w:val="superscript"/>
        </w:rPr>
        <w:t>ReDDM</w:t>
      </w:r>
      <w:r w:rsidRPr="00E63973">
        <w:rPr>
          <w:rFonts w:ascii="Calibri" w:hAnsi="Calibri" w:cs="Calibri"/>
          <w:sz w:val="22"/>
          <w:szCs w:val="22"/>
        </w:rPr>
        <w:t xml:space="preserve"> tracing. </w:t>
      </w:r>
      <w:r w:rsidRPr="00E63973">
        <w:rPr>
          <w:rFonts w:ascii="Calibri" w:hAnsi="Calibri" w:cs="Calibri"/>
          <w:i/>
          <w:sz w:val="22"/>
          <w:szCs w:val="22"/>
        </w:rPr>
        <w:t>Klu-Gal4</w:t>
      </w:r>
      <w:r w:rsidRPr="00E63973">
        <w:rPr>
          <w:rFonts w:ascii="Calibri" w:hAnsi="Calibri" w:cs="Calibri"/>
          <w:sz w:val="22"/>
          <w:szCs w:val="22"/>
        </w:rPr>
        <w:t xml:space="preserve">, active in EB, double marks EB driving expression of </w:t>
      </w:r>
      <w:r w:rsidRPr="00E63973">
        <w:rPr>
          <w:rFonts w:ascii="Calibri" w:hAnsi="Calibri" w:cs="Calibri"/>
          <w:i/>
          <w:iCs/>
          <w:sz w:val="22"/>
          <w:szCs w:val="22"/>
        </w:rPr>
        <w:t>&gt;CD8::GFP</w:t>
      </w:r>
      <w:r w:rsidRPr="00E63973">
        <w:rPr>
          <w:rFonts w:ascii="Calibri" w:hAnsi="Calibri" w:cs="Calibri"/>
          <w:sz w:val="22"/>
          <w:szCs w:val="22"/>
        </w:rPr>
        <w:t xml:space="preserve"> (membrane, green) and </w:t>
      </w:r>
      <w:r w:rsidRPr="00E63973">
        <w:rPr>
          <w:rFonts w:ascii="Calibri" w:hAnsi="Calibri" w:cs="Calibri"/>
          <w:i/>
          <w:iCs/>
          <w:sz w:val="22"/>
          <w:szCs w:val="22"/>
        </w:rPr>
        <w:t>&gt;H2B::RFP</w:t>
      </w:r>
      <w:r w:rsidRPr="00E63973">
        <w:rPr>
          <w:rFonts w:ascii="Calibri" w:hAnsi="Calibri" w:cs="Calibri"/>
          <w:sz w:val="22"/>
          <w:szCs w:val="22"/>
        </w:rPr>
        <w:t xml:space="preserve"> (nuclei, red). Upon differentiation new epithelial EC lose CD8::GFP signal, whereas nuclear H2B::RFP persists due to its long half-life enabling tracing of EB progeny. ISC and EE are not labelled/traced by fluorophores. Transgene expression is timely controlled by an ubiquitously expressed temperature sensitive Gal80 repressor (</w:t>
      </w:r>
      <w:r w:rsidRPr="00E63973">
        <w:rPr>
          <w:rFonts w:ascii="Calibri" w:hAnsi="Calibri" w:cs="Calibri"/>
          <w:i/>
          <w:sz w:val="22"/>
          <w:szCs w:val="22"/>
        </w:rPr>
        <w:t>tub-Gal80</w:t>
      </w:r>
      <w:r w:rsidRPr="00E63973">
        <w:rPr>
          <w:rFonts w:ascii="Calibri" w:hAnsi="Calibri" w:cs="Calibri"/>
          <w:i/>
          <w:sz w:val="22"/>
          <w:szCs w:val="22"/>
          <w:vertAlign w:val="superscript"/>
        </w:rPr>
        <w:t>ts</w:t>
      </w:r>
      <w:r w:rsidRPr="00E63973">
        <w:rPr>
          <w:rFonts w:ascii="Calibri" w:hAnsi="Calibri" w:cs="Calibri"/>
          <w:sz w:val="22"/>
          <w:szCs w:val="22"/>
        </w:rPr>
        <w:t xml:space="preserve">). (J-L) Confocal images of adult midguts after seven days of </w:t>
      </w:r>
      <w:r w:rsidRPr="00E63973">
        <w:rPr>
          <w:rFonts w:ascii="Calibri" w:hAnsi="Calibri" w:cs="Calibri"/>
          <w:i/>
          <w:sz w:val="22"/>
          <w:szCs w:val="22"/>
        </w:rPr>
        <w:t>klu</w:t>
      </w:r>
      <w:r w:rsidRPr="00E63973">
        <w:rPr>
          <w:rFonts w:ascii="Calibri" w:hAnsi="Calibri" w:cs="Calibri"/>
          <w:i/>
          <w:sz w:val="22"/>
          <w:szCs w:val="22"/>
          <w:vertAlign w:val="superscript"/>
        </w:rPr>
        <w:t>ReDDM</w:t>
      </w:r>
      <w:r w:rsidRPr="00E63973">
        <w:rPr>
          <w:rFonts w:ascii="Calibri" w:hAnsi="Calibri" w:cs="Calibri"/>
          <w:sz w:val="22"/>
          <w:szCs w:val="22"/>
        </w:rPr>
        <w:t xml:space="preserve"> tracing in (J) controls, (K) </w:t>
      </w:r>
      <w:r w:rsidRPr="00E63973">
        <w:rPr>
          <w:rFonts w:ascii="Calibri" w:hAnsi="Calibri" w:cs="Calibri"/>
          <w:i/>
          <w:sz w:val="22"/>
          <w:szCs w:val="22"/>
        </w:rPr>
        <w:t>&gt;crol</w:t>
      </w:r>
      <w:r w:rsidRPr="00E63973">
        <w:rPr>
          <w:rFonts w:ascii="Calibri" w:hAnsi="Calibri" w:cs="Calibri"/>
          <w:sz w:val="22"/>
          <w:szCs w:val="22"/>
        </w:rPr>
        <w:t xml:space="preserve">, and </w:t>
      </w:r>
      <w:r w:rsidRPr="00E63973">
        <w:rPr>
          <w:rFonts w:ascii="Calibri" w:hAnsi="Calibri" w:cs="Calibri"/>
          <w:i/>
          <w:sz w:val="22"/>
          <w:szCs w:val="22"/>
        </w:rPr>
        <w:t>&gt;crol-RNAi</w:t>
      </w:r>
      <w:r w:rsidRPr="00E63973">
        <w:rPr>
          <w:rFonts w:ascii="Calibri" w:hAnsi="Calibri" w:cs="Calibri"/>
          <w:sz w:val="22"/>
          <w:szCs w:val="22"/>
        </w:rPr>
        <w:t xml:space="preserve">. Scale bar is 50µm. (M-N) Quantifications of (M) EB numbers and (N) progeny upon seven days of </w:t>
      </w:r>
      <w:r w:rsidRPr="00E63973">
        <w:rPr>
          <w:rFonts w:ascii="Calibri" w:hAnsi="Calibri" w:cs="Calibri"/>
          <w:i/>
          <w:sz w:val="22"/>
          <w:szCs w:val="22"/>
        </w:rPr>
        <w:t>klu</w:t>
      </w:r>
      <w:r w:rsidRPr="00E63973">
        <w:rPr>
          <w:rFonts w:ascii="Calibri" w:hAnsi="Calibri" w:cs="Calibri"/>
          <w:i/>
          <w:sz w:val="22"/>
          <w:szCs w:val="22"/>
          <w:vertAlign w:val="superscript"/>
        </w:rPr>
        <w:t>ReDDM</w:t>
      </w:r>
      <w:r w:rsidRPr="00E63973">
        <w:rPr>
          <w:rFonts w:ascii="Calibri" w:hAnsi="Calibri" w:cs="Calibri"/>
          <w:sz w:val="22"/>
          <w:szCs w:val="22"/>
        </w:rPr>
        <w:t xml:space="preserve"> specific manipulation and tracing (n=7,6,9/7,6,9). Means are indicated by (+) and asterisks denote significances from student’s t-test (*p&lt;0.05). (O-P) Confocal images of midguts after seven days of </w:t>
      </w:r>
      <w:r w:rsidRPr="00E63973">
        <w:rPr>
          <w:rFonts w:ascii="Calibri" w:hAnsi="Calibri" w:cs="Calibri"/>
          <w:i/>
          <w:sz w:val="22"/>
          <w:szCs w:val="22"/>
        </w:rPr>
        <w:t>klu</w:t>
      </w:r>
      <w:r w:rsidRPr="00E63973">
        <w:rPr>
          <w:rFonts w:ascii="Calibri" w:hAnsi="Calibri" w:cs="Calibri"/>
          <w:i/>
          <w:sz w:val="22"/>
          <w:szCs w:val="22"/>
          <w:vertAlign w:val="superscript"/>
        </w:rPr>
        <w:t>ReDDM</w:t>
      </w:r>
      <w:r w:rsidRPr="00E63973">
        <w:rPr>
          <w:rFonts w:ascii="Calibri" w:hAnsi="Calibri" w:cs="Calibri"/>
          <w:sz w:val="22"/>
          <w:szCs w:val="22"/>
        </w:rPr>
        <w:t xml:space="preserve"> tracing driving expression of (O) </w:t>
      </w:r>
      <w:r w:rsidRPr="00E63973">
        <w:rPr>
          <w:rFonts w:ascii="Calibri" w:hAnsi="Calibri" w:cs="Calibri"/>
          <w:i/>
          <w:sz w:val="22"/>
          <w:szCs w:val="22"/>
        </w:rPr>
        <w:t>&gt;crol-RNAi</w:t>
      </w:r>
      <w:r w:rsidRPr="00E63973">
        <w:rPr>
          <w:rFonts w:ascii="Calibri" w:hAnsi="Calibri" w:cs="Calibri"/>
          <w:sz w:val="22"/>
          <w:szCs w:val="22"/>
        </w:rPr>
        <w:t xml:space="preserve"> and (P) </w:t>
      </w:r>
      <w:r w:rsidRPr="00E63973">
        <w:rPr>
          <w:rFonts w:ascii="Calibri" w:hAnsi="Calibri" w:cs="Calibri"/>
          <w:i/>
          <w:sz w:val="22"/>
          <w:szCs w:val="22"/>
        </w:rPr>
        <w:t>&gt;CycB</w:t>
      </w:r>
      <w:r w:rsidRPr="00E63973">
        <w:rPr>
          <w:rFonts w:ascii="Calibri" w:hAnsi="Calibri" w:cs="Calibri"/>
          <w:sz w:val="22"/>
          <w:szCs w:val="22"/>
        </w:rPr>
        <w:t xml:space="preserve">. Mitotically active EB are visualized by aPH3 staining. Scale bar is 20µm. </w:t>
      </w:r>
    </w:p>
    <w:p w14:paraId="4F237AD7" w14:textId="77777777" w:rsidR="00762FD1" w:rsidRPr="00E63973" w:rsidRDefault="00762FD1" w:rsidP="00762FD1">
      <w:pPr>
        <w:rPr>
          <w:rFonts w:ascii="Calibri" w:hAnsi="Calibri" w:cs="Calibri"/>
          <w:sz w:val="22"/>
          <w:szCs w:val="22"/>
        </w:rPr>
      </w:pPr>
      <w:r w:rsidRPr="00E63973">
        <w:rPr>
          <w:rFonts w:ascii="Calibri" w:hAnsi="Calibri" w:cs="Calibri"/>
          <w:sz w:val="22"/>
          <w:szCs w:val="22"/>
        </w:rPr>
        <w:br w:type="page"/>
      </w:r>
    </w:p>
    <w:p w14:paraId="1F2C7B8D" w14:textId="77777777" w:rsidR="00762FD1" w:rsidRPr="00E63973" w:rsidRDefault="00762FD1" w:rsidP="00762FD1">
      <w:pPr>
        <w:jc w:val="both"/>
        <w:rPr>
          <w:rFonts w:ascii="Calibri" w:hAnsi="Calibri" w:cs="Calibri"/>
          <w:sz w:val="22"/>
          <w:szCs w:val="22"/>
        </w:rPr>
      </w:pPr>
      <w:r w:rsidRPr="00E63973">
        <w:rPr>
          <w:rFonts w:ascii="Calibri" w:hAnsi="Calibri" w:cs="Calibri"/>
          <w:noProof/>
          <w:sz w:val="22"/>
          <w:szCs w:val="22"/>
        </w:rPr>
        <w:lastRenderedPageBreak/>
        <w:drawing>
          <wp:inline distT="0" distB="0" distL="0" distR="0" wp14:anchorId="000ABD28" wp14:editId="37075C22">
            <wp:extent cx="5760720" cy="1939290"/>
            <wp:effectExtent l="0" t="0" r="0" b="3810"/>
            <wp:docPr id="854558743" name="Picture 30" descr="A close-up of a green l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558743" name="Picture 30" descr="A close-up of a green ligh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1939290"/>
                    </a:xfrm>
                    <a:prstGeom prst="rect">
                      <a:avLst/>
                    </a:prstGeom>
                  </pic:spPr>
                </pic:pic>
              </a:graphicData>
            </a:graphic>
          </wp:inline>
        </w:drawing>
      </w:r>
    </w:p>
    <w:p w14:paraId="088C83DA" w14:textId="77777777" w:rsidR="00762FD1" w:rsidRPr="00E63973" w:rsidRDefault="00762FD1" w:rsidP="00762FD1">
      <w:pPr>
        <w:jc w:val="both"/>
        <w:rPr>
          <w:rFonts w:ascii="Calibri" w:hAnsi="Calibri" w:cs="Calibri"/>
          <w:b/>
          <w:bCs/>
          <w:sz w:val="22"/>
          <w:szCs w:val="22"/>
        </w:rPr>
      </w:pPr>
      <w:r w:rsidRPr="00E63973">
        <w:rPr>
          <w:rFonts w:ascii="Calibri" w:hAnsi="Calibri" w:cs="Calibri"/>
          <w:b/>
          <w:bCs/>
          <w:sz w:val="22"/>
          <w:szCs w:val="22"/>
        </w:rPr>
        <w:t>Fig.S4: Wnt/Wg activity in ISC/EB responds to mating dependent 20HE release</w:t>
      </w:r>
    </w:p>
    <w:p w14:paraId="11AAFB72" w14:textId="77777777" w:rsidR="00762FD1" w:rsidRPr="00E63973" w:rsidRDefault="00762FD1" w:rsidP="00762FD1">
      <w:pPr>
        <w:jc w:val="both"/>
        <w:rPr>
          <w:rFonts w:ascii="Calibri" w:hAnsi="Calibri" w:cs="Calibri"/>
          <w:sz w:val="22"/>
          <w:szCs w:val="22"/>
        </w:rPr>
      </w:pPr>
      <w:r w:rsidRPr="00E63973">
        <w:rPr>
          <w:rFonts w:ascii="Calibri" w:hAnsi="Calibri" w:cs="Calibri"/>
          <w:sz w:val="22"/>
          <w:szCs w:val="22"/>
        </w:rPr>
        <w:t xml:space="preserve">(A) Confocal image of </w:t>
      </w:r>
      <w:r w:rsidRPr="00E63973">
        <w:rPr>
          <w:rFonts w:ascii="Calibri" w:hAnsi="Calibri" w:cs="Calibri"/>
          <w:i/>
          <w:sz w:val="22"/>
          <w:szCs w:val="22"/>
        </w:rPr>
        <w:t>wg::GFP</w:t>
      </w:r>
      <w:r w:rsidRPr="00E63973">
        <w:rPr>
          <w:rFonts w:ascii="Calibri" w:hAnsi="Calibri" w:cs="Calibri"/>
          <w:sz w:val="22"/>
          <w:szCs w:val="22"/>
        </w:rPr>
        <w:t xml:space="preserve"> combined with </w:t>
      </w:r>
      <w:r w:rsidRPr="00E63973">
        <w:rPr>
          <w:rFonts w:ascii="Calibri" w:hAnsi="Calibri" w:cs="Calibri"/>
          <w:i/>
          <w:iCs/>
          <w:sz w:val="22"/>
          <w:szCs w:val="22"/>
        </w:rPr>
        <w:t>fz3-RFP</w:t>
      </w:r>
      <w:r w:rsidRPr="00E63973">
        <w:rPr>
          <w:rFonts w:ascii="Calibri" w:hAnsi="Calibri" w:cs="Calibri"/>
          <w:sz w:val="22"/>
          <w:szCs w:val="22"/>
        </w:rPr>
        <w:t xml:space="preserve"> in adult midgut showing Wg::GFP signal in EC marked by aDlg1 staining (white arrow) and fz3-RFP signal in surrounding ISC/EB stained by aArm and outlined by white ellipse. Scale bar is 10µm. (B-C) Confocal images of Wg::GFP in midgut-hindgut boundaries (MHB) of (B) VF and (C) MF. Scale bar is 50µm. (D-E) Confocal images of fz3-RFP in midguts of (D) VF and (E) MF flies. Scale bar is 20µm. (F) Quantifications of Wg::GFP levels in MHB and fz3-RFP levels in ISC/EB upon mating (n=5229,5660/150,129). Fold changes are shown in percentages, means and standard deviations are indicated by vertical lines and asterisks denote significances from student’s t-test (****p&lt;0.0001). </w:t>
      </w:r>
    </w:p>
    <w:p w14:paraId="677CEF32" w14:textId="77777777" w:rsidR="00762FD1" w:rsidRPr="00E63973" w:rsidRDefault="00762FD1" w:rsidP="00762FD1">
      <w:pPr>
        <w:rPr>
          <w:rFonts w:ascii="Calibri" w:hAnsi="Calibri" w:cs="Calibri"/>
          <w:sz w:val="22"/>
          <w:szCs w:val="22"/>
        </w:rPr>
      </w:pPr>
      <w:r w:rsidRPr="00E63973">
        <w:rPr>
          <w:rFonts w:ascii="Calibri" w:hAnsi="Calibri" w:cs="Calibri"/>
          <w:sz w:val="22"/>
          <w:szCs w:val="22"/>
        </w:rPr>
        <w:br w:type="page"/>
      </w:r>
    </w:p>
    <w:p w14:paraId="3EF14681" w14:textId="77777777" w:rsidR="00762FD1" w:rsidRPr="00E63973" w:rsidRDefault="00762FD1" w:rsidP="00762FD1">
      <w:pPr>
        <w:rPr>
          <w:rFonts w:ascii="Calibri" w:hAnsi="Calibri" w:cs="Calibri"/>
          <w:sz w:val="22"/>
          <w:szCs w:val="22"/>
        </w:rPr>
      </w:pPr>
      <w:r w:rsidRPr="00E63973">
        <w:rPr>
          <w:rFonts w:ascii="Calibri" w:hAnsi="Calibri" w:cs="Calibri"/>
          <w:noProof/>
          <w:sz w:val="22"/>
          <w:szCs w:val="22"/>
        </w:rPr>
        <w:lastRenderedPageBreak/>
        <w:drawing>
          <wp:inline distT="0" distB="0" distL="0" distR="0" wp14:anchorId="30664B76" wp14:editId="5F69BD70">
            <wp:extent cx="5760720" cy="8089265"/>
            <wp:effectExtent l="0" t="0" r="0" b="6985"/>
            <wp:docPr id="1977653239" name="Picture 31" descr="A close-up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653239" name="Picture 31" descr="A close-up of a char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8089265"/>
                    </a:xfrm>
                    <a:prstGeom prst="rect">
                      <a:avLst/>
                    </a:prstGeom>
                  </pic:spPr>
                </pic:pic>
              </a:graphicData>
            </a:graphic>
          </wp:inline>
        </w:drawing>
      </w:r>
    </w:p>
    <w:p w14:paraId="492A8793" w14:textId="77777777" w:rsidR="00762FD1" w:rsidRPr="00E63973" w:rsidRDefault="00762FD1" w:rsidP="00762FD1">
      <w:pPr>
        <w:jc w:val="both"/>
        <w:rPr>
          <w:rFonts w:ascii="Calibri" w:hAnsi="Calibri" w:cs="Calibri"/>
          <w:b/>
          <w:sz w:val="22"/>
          <w:szCs w:val="22"/>
        </w:rPr>
      </w:pPr>
      <w:r w:rsidRPr="00E63973">
        <w:rPr>
          <w:rFonts w:ascii="Calibri" w:hAnsi="Calibri" w:cs="Calibri"/>
          <w:b/>
          <w:sz w:val="22"/>
          <w:szCs w:val="22"/>
        </w:rPr>
        <w:t>Fig.S5: Epithelial EC derived Wg-ligands activate Wnt/wg signalling in ISC</w:t>
      </w:r>
    </w:p>
    <w:p w14:paraId="7F9FDB87" w14:textId="77777777" w:rsidR="00762FD1" w:rsidRPr="00E63973" w:rsidRDefault="00762FD1" w:rsidP="00762FD1">
      <w:pPr>
        <w:jc w:val="both"/>
        <w:rPr>
          <w:rFonts w:ascii="Calibri" w:hAnsi="Calibri" w:cs="Calibri"/>
          <w:sz w:val="22"/>
          <w:szCs w:val="22"/>
        </w:rPr>
      </w:pPr>
      <w:r w:rsidRPr="00E63973">
        <w:rPr>
          <w:rFonts w:ascii="Calibri" w:hAnsi="Calibri" w:cs="Calibri"/>
          <w:sz w:val="22"/>
          <w:szCs w:val="22"/>
        </w:rPr>
        <w:t xml:space="preserve">(A-C) Confocal images of adult midguts after seven days of </w:t>
      </w:r>
      <w:r w:rsidRPr="00E63973">
        <w:rPr>
          <w:rFonts w:ascii="Calibri" w:hAnsi="Calibri" w:cs="Calibri"/>
          <w:i/>
          <w:sz w:val="22"/>
          <w:szCs w:val="22"/>
        </w:rPr>
        <w:t>esg</w:t>
      </w:r>
      <w:r w:rsidRPr="00E63973">
        <w:rPr>
          <w:rFonts w:ascii="Calibri" w:hAnsi="Calibri" w:cs="Calibri"/>
          <w:i/>
          <w:sz w:val="22"/>
          <w:szCs w:val="22"/>
          <w:vertAlign w:val="superscript"/>
        </w:rPr>
        <w:t>ReDDM</w:t>
      </w:r>
      <w:r w:rsidRPr="00E63973">
        <w:rPr>
          <w:rFonts w:ascii="Calibri" w:hAnsi="Calibri" w:cs="Calibri"/>
          <w:sz w:val="22"/>
          <w:szCs w:val="22"/>
        </w:rPr>
        <w:t xml:space="preserve"> tracing in (A) controls, upon (B) OE, and (C) KD of </w:t>
      </w:r>
      <w:r w:rsidRPr="00E63973">
        <w:rPr>
          <w:rFonts w:ascii="Calibri" w:hAnsi="Calibri" w:cs="Calibri"/>
          <w:i/>
          <w:sz w:val="22"/>
          <w:szCs w:val="22"/>
        </w:rPr>
        <w:t>wg</w:t>
      </w:r>
      <w:r w:rsidRPr="00E63973">
        <w:rPr>
          <w:rFonts w:ascii="Calibri" w:hAnsi="Calibri" w:cs="Calibri"/>
          <w:sz w:val="22"/>
          <w:szCs w:val="22"/>
        </w:rPr>
        <w:t xml:space="preserve">. Scale bar is 50µm. (D-E) Quantifications of (D) progenitor cell number and (E) progeny upon ISC/EB specific manipulations of </w:t>
      </w:r>
      <w:r w:rsidRPr="00E63973">
        <w:rPr>
          <w:rFonts w:ascii="Calibri" w:hAnsi="Calibri" w:cs="Calibri"/>
          <w:i/>
          <w:sz w:val="22"/>
          <w:szCs w:val="22"/>
        </w:rPr>
        <w:t>wg</w:t>
      </w:r>
      <w:r w:rsidRPr="00E63973">
        <w:rPr>
          <w:rFonts w:ascii="Calibri" w:hAnsi="Calibri" w:cs="Calibri"/>
          <w:sz w:val="22"/>
          <w:szCs w:val="22"/>
        </w:rPr>
        <w:t xml:space="preserve"> (n= 15,7,5/15,7,5). Means are indicated by (+) and </w:t>
      </w:r>
      <w:r w:rsidRPr="00E63973">
        <w:rPr>
          <w:rFonts w:ascii="Calibri" w:hAnsi="Calibri" w:cs="Calibri"/>
          <w:sz w:val="22"/>
          <w:szCs w:val="22"/>
        </w:rPr>
        <w:lastRenderedPageBreak/>
        <w:t xml:space="preserve">asterisks denote significances from student’s t-test (**p&lt;0.001). (F-H’) Confocal images of </w:t>
      </w:r>
      <w:r w:rsidRPr="00E63973">
        <w:rPr>
          <w:rFonts w:ascii="Calibri" w:hAnsi="Calibri" w:cs="Calibri"/>
          <w:i/>
          <w:sz w:val="22"/>
          <w:szCs w:val="22"/>
        </w:rPr>
        <w:t>fz3-RFP</w:t>
      </w:r>
      <w:r w:rsidRPr="00E63973">
        <w:rPr>
          <w:rFonts w:ascii="Calibri" w:hAnsi="Calibri" w:cs="Calibri"/>
          <w:sz w:val="22"/>
          <w:szCs w:val="22"/>
        </w:rPr>
        <w:t xml:space="preserve"> combined with </w:t>
      </w:r>
      <w:r w:rsidRPr="00E63973">
        <w:rPr>
          <w:rFonts w:ascii="Calibri" w:hAnsi="Calibri" w:cs="Calibri"/>
          <w:i/>
          <w:sz w:val="22"/>
          <w:szCs w:val="22"/>
        </w:rPr>
        <w:t>esg-Gal4</w:t>
      </w:r>
      <w:r w:rsidRPr="00E63973">
        <w:rPr>
          <w:rFonts w:ascii="Calibri" w:hAnsi="Calibri" w:cs="Calibri"/>
          <w:sz w:val="22"/>
          <w:szCs w:val="22"/>
        </w:rPr>
        <w:t xml:space="preserve"> and </w:t>
      </w:r>
      <w:r w:rsidRPr="00E63973">
        <w:rPr>
          <w:rFonts w:ascii="Calibri" w:hAnsi="Calibri" w:cs="Calibri"/>
          <w:i/>
          <w:sz w:val="22"/>
          <w:szCs w:val="22"/>
        </w:rPr>
        <w:t>tub-Gal80</w:t>
      </w:r>
      <w:r w:rsidRPr="00E63973">
        <w:rPr>
          <w:rFonts w:ascii="Calibri" w:hAnsi="Calibri" w:cs="Calibri"/>
          <w:i/>
          <w:sz w:val="22"/>
          <w:szCs w:val="22"/>
          <w:vertAlign w:val="superscript"/>
        </w:rPr>
        <w:t>ts</w:t>
      </w:r>
      <w:r w:rsidRPr="00E63973">
        <w:rPr>
          <w:rFonts w:ascii="Calibri" w:hAnsi="Calibri" w:cs="Calibri"/>
          <w:sz w:val="22"/>
          <w:szCs w:val="22"/>
        </w:rPr>
        <w:t xml:space="preserve"> in adult midguts after three days of shifting in (F-F’) controls, combined with ISC/EB specific (G-G’) OE, and (H-H’) KD of </w:t>
      </w:r>
      <w:r w:rsidRPr="00E63973">
        <w:rPr>
          <w:rFonts w:ascii="Calibri" w:hAnsi="Calibri" w:cs="Calibri"/>
          <w:i/>
          <w:sz w:val="22"/>
          <w:szCs w:val="22"/>
        </w:rPr>
        <w:t>wg</w:t>
      </w:r>
      <w:r w:rsidRPr="00E63973">
        <w:rPr>
          <w:rFonts w:ascii="Calibri" w:hAnsi="Calibri" w:cs="Calibri"/>
          <w:sz w:val="22"/>
          <w:szCs w:val="22"/>
        </w:rPr>
        <w:t xml:space="preserve">. EC and EE are marked by antibody staining against Dlg1 and Pros. Scale bar is 20µm. (I) Quantification of fz3-RFP levels in ISC/EB upon </w:t>
      </w:r>
      <w:r w:rsidRPr="00E63973">
        <w:rPr>
          <w:rFonts w:ascii="Calibri" w:hAnsi="Calibri" w:cs="Calibri"/>
          <w:i/>
          <w:sz w:val="22"/>
          <w:szCs w:val="22"/>
        </w:rPr>
        <w:t>esg-Gal4</w:t>
      </w:r>
      <w:r w:rsidRPr="00E63973">
        <w:rPr>
          <w:rFonts w:ascii="Calibri" w:hAnsi="Calibri" w:cs="Calibri"/>
          <w:sz w:val="22"/>
          <w:szCs w:val="22"/>
        </w:rPr>
        <w:t xml:space="preserve"> specific </w:t>
      </w:r>
      <w:r w:rsidRPr="00E63973">
        <w:rPr>
          <w:rFonts w:ascii="Calibri" w:hAnsi="Calibri" w:cs="Calibri"/>
          <w:i/>
          <w:sz w:val="22"/>
          <w:szCs w:val="22"/>
        </w:rPr>
        <w:t>&gt;wg</w:t>
      </w:r>
      <w:r w:rsidRPr="00E63973">
        <w:rPr>
          <w:rFonts w:ascii="Calibri" w:hAnsi="Calibri" w:cs="Calibri"/>
          <w:sz w:val="22"/>
          <w:szCs w:val="22"/>
        </w:rPr>
        <w:t xml:space="preserve"> and </w:t>
      </w:r>
      <w:r w:rsidRPr="00E63973">
        <w:rPr>
          <w:rFonts w:ascii="Calibri" w:hAnsi="Calibri" w:cs="Calibri"/>
          <w:i/>
          <w:sz w:val="22"/>
          <w:szCs w:val="22"/>
        </w:rPr>
        <w:t>&gt;wg-RNAi</w:t>
      </w:r>
      <w:r w:rsidRPr="00E63973">
        <w:rPr>
          <w:rFonts w:ascii="Calibri" w:hAnsi="Calibri" w:cs="Calibri"/>
          <w:sz w:val="22"/>
          <w:szCs w:val="22"/>
        </w:rPr>
        <w:t xml:space="preserve"> (n=90,90,90). Means and standard deviations are indicated by vertical lines and asterisks denote significances from student’s t-test (****p&lt;0.0001). (J-R’) Confocal images of </w:t>
      </w:r>
      <w:r w:rsidRPr="00E63973">
        <w:rPr>
          <w:rFonts w:ascii="Calibri" w:hAnsi="Calibri" w:cs="Calibri"/>
          <w:i/>
          <w:sz w:val="22"/>
          <w:szCs w:val="22"/>
        </w:rPr>
        <w:t>fz3-RFP</w:t>
      </w:r>
      <w:r w:rsidRPr="00E63973">
        <w:rPr>
          <w:rFonts w:ascii="Calibri" w:hAnsi="Calibri" w:cs="Calibri"/>
          <w:sz w:val="22"/>
          <w:szCs w:val="22"/>
        </w:rPr>
        <w:t xml:space="preserve"> combined with </w:t>
      </w:r>
      <w:r w:rsidRPr="00E63973">
        <w:rPr>
          <w:rFonts w:ascii="Calibri" w:hAnsi="Calibri" w:cs="Calibri"/>
          <w:i/>
          <w:sz w:val="22"/>
          <w:szCs w:val="22"/>
        </w:rPr>
        <w:t>mex-Gal4</w:t>
      </w:r>
      <w:r w:rsidRPr="00E63973">
        <w:rPr>
          <w:rFonts w:ascii="Calibri" w:hAnsi="Calibri" w:cs="Calibri"/>
          <w:sz w:val="22"/>
          <w:szCs w:val="22"/>
        </w:rPr>
        <w:t xml:space="preserve"> and </w:t>
      </w:r>
      <w:r w:rsidRPr="00E63973">
        <w:rPr>
          <w:rFonts w:ascii="Calibri" w:hAnsi="Calibri" w:cs="Calibri"/>
          <w:i/>
          <w:sz w:val="22"/>
          <w:szCs w:val="22"/>
        </w:rPr>
        <w:t>tub-Gal80</w:t>
      </w:r>
      <w:r w:rsidRPr="00E63973">
        <w:rPr>
          <w:rFonts w:ascii="Calibri" w:hAnsi="Calibri" w:cs="Calibri"/>
          <w:i/>
          <w:sz w:val="22"/>
          <w:szCs w:val="22"/>
          <w:vertAlign w:val="superscript"/>
        </w:rPr>
        <w:t>ts</w:t>
      </w:r>
      <w:r w:rsidRPr="00E63973">
        <w:rPr>
          <w:rFonts w:ascii="Calibri" w:hAnsi="Calibri" w:cs="Calibri"/>
          <w:sz w:val="22"/>
          <w:szCs w:val="22"/>
        </w:rPr>
        <w:t xml:space="preserve"> in adult midguts after one day of shifting in (J-J’) controls, EC specific OE of (K-K’) </w:t>
      </w:r>
      <w:r w:rsidRPr="00E63973">
        <w:rPr>
          <w:rFonts w:ascii="Calibri" w:hAnsi="Calibri" w:cs="Calibri"/>
          <w:i/>
          <w:sz w:val="22"/>
          <w:szCs w:val="22"/>
        </w:rPr>
        <w:t>EcI</w:t>
      </w:r>
      <w:r w:rsidRPr="00E63973">
        <w:rPr>
          <w:rFonts w:ascii="Calibri" w:hAnsi="Calibri" w:cs="Calibri"/>
          <w:sz w:val="22"/>
          <w:szCs w:val="22"/>
        </w:rPr>
        <w:t xml:space="preserve">, (L-L’) </w:t>
      </w:r>
      <w:r w:rsidRPr="00E63973">
        <w:rPr>
          <w:rFonts w:ascii="Calibri" w:hAnsi="Calibri" w:cs="Calibri"/>
          <w:i/>
          <w:sz w:val="22"/>
          <w:szCs w:val="22"/>
        </w:rPr>
        <w:t>crol</w:t>
      </w:r>
      <w:r w:rsidRPr="00E63973">
        <w:rPr>
          <w:rFonts w:ascii="Calibri" w:hAnsi="Calibri" w:cs="Calibri"/>
          <w:sz w:val="22"/>
          <w:szCs w:val="22"/>
        </w:rPr>
        <w:t xml:space="preserve"> (M-M’) with simultaneous KD of </w:t>
      </w:r>
      <w:r w:rsidRPr="00E63973">
        <w:rPr>
          <w:rFonts w:ascii="Calibri" w:hAnsi="Calibri" w:cs="Calibri"/>
          <w:i/>
          <w:sz w:val="22"/>
          <w:szCs w:val="22"/>
        </w:rPr>
        <w:t>wg</w:t>
      </w:r>
      <w:r w:rsidRPr="00E63973">
        <w:rPr>
          <w:rFonts w:ascii="Calibri" w:hAnsi="Calibri" w:cs="Calibri"/>
          <w:sz w:val="22"/>
          <w:szCs w:val="22"/>
        </w:rPr>
        <w:t xml:space="preserve">, and (N-N’) </w:t>
      </w:r>
      <w:r w:rsidRPr="00E63973">
        <w:rPr>
          <w:rFonts w:ascii="Calibri" w:hAnsi="Calibri" w:cs="Calibri"/>
          <w:i/>
          <w:iCs/>
          <w:sz w:val="22"/>
          <w:szCs w:val="22"/>
        </w:rPr>
        <w:t>wg</w:t>
      </w:r>
      <w:r w:rsidRPr="00E63973">
        <w:rPr>
          <w:rFonts w:ascii="Calibri" w:hAnsi="Calibri" w:cs="Calibri"/>
          <w:sz w:val="22"/>
          <w:szCs w:val="22"/>
        </w:rPr>
        <w:t xml:space="preserve">, and KD of (O-O’) </w:t>
      </w:r>
      <w:r w:rsidRPr="00E63973">
        <w:rPr>
          <w:rFonts w:ascii="Calibri" w:hAnsi="Calibri" w:cs="Calibri"/>
          <w:i/>
          <w:sz w:val="22"/>
          <w:szCs w:val="22"/>
        </w:rPr>
        <w:t>EcI</w:t>
      </w:r>
      <w:r w:rsidRPr="00E63973">
        <w:rPr>
          <w:rFonts w:ascii="Calibri" w:hAnsi="Calibri" w:cs="Calibri"/>
          <w:sz w:val="22"/>
          <w:szCs w:val="22"/>
        </w:rPr>
        <w:t xml:space="preserve">, (P-P’) </w:t>
      </w:r>
      <w:r w:rsidRPr="00E63973">
        <w:rPr>
          <w:rFonts w:ascii="Calibri" w:hAnsi="Calibri" w:cs="Calibri"/>
          <w:i/>
          <w:sz w:val="22"/>
          <w:szCs w:val="22"/>
        </w:rPr>
        <w:t>crol</w:t>
      </w:r>
      <w:r w:rsidRPr="00E63973">
        <w:rPr>
          <w:rFonts w:ascii="Calibri" w:hAnsi="Calibri" w:cs="Calibri"/>
          <w:sz w:val="22"/>
          <w:szCs w:val="22"/>
        </w:rPr>
        <w:t xml:space="preserve"> (Q-Q’) with simultaneous expression of </w:t>
      </w:r>
      <w:r w:rsidRPr="00E63973">
        <w:rPr>
          <w:rFonts w:ascii="Calibri" w:hAnsi="Calibri" w:cs="Calibri"/>
          <w:i/>
          <w:sz w:val="22"/>
          <w:szCs w:val="22"/>
        </w:rPr>
        <w:t>&gt;hZNF267</w:t>
      </w:r>
      <w:r w:rsidRPr="00E63973">
        <w:rPr>
          <w:rFonts w:ascii="Calibri" w:hAnsi="Calibri" w:cs="Calibri"/>
          <w:sz w:val="22"/>
          <w:szCs w:val="22"/>
        </w:rPr>
        <w:t xml:space="preserve">, and (R-R’) </w:t>
      </w:r>
      <w:r w:rsidRPr="00E63973">
        <w:rPr>
          <w:rFonts w:ascii="Calibri" w:hAnsi="Calibri" w:cs="Calibri"/>
          <w:i/>
          <w:sz w:val="22"/>
          <w:szCs w:val="22"/>
        </w:rPr>
        <w:t>wg</w:t>
      </w:r>
      <w:r w:rsidRPr="00E63973">
        <w:rPr>
          <w:rFonts w:ascii="Calibri" w:hAnsi="Calibri" w:cs="Calibri"/>
          <w:sz w:val="22"/>
          <w:szCs w:val="22"/>
        </w:rPr>
        <w:t xml:space="preserve"> in EC. ISC/EB are marked with anti-Armadillo (aArm) staining. Scale bar is 20µm.</w:t>
      </w:r>
    </w:p>
    <w:p w14:paraId="32B5D509" w14:textId="77777777" w:rsidR="00762FD1" w:rsidRPr="00E63973" w:rsidRDefault="00762FD1" w:rsidP="00762FD1">
      <w:pPr>
        <w:rPr>
          <w:rFonts w:ascii="Calibri" w:hAnsi="Calibri" w:cs="Calibri"/>
          <w:sz w:val="22"/>
          <w:szCs w:val="22"/>
        </w:rPr>
      </w:pPr>
      <w:r w:rsidRPr="00E63973">
        <w:rPr>
          <w:rFonts w:ascii="Calibri" w:hAnsi="Calibri" w:cs="Calibri"/>
          <w:sz w:val="22"/>
          <w:szCs w:val="22"/>
        </w:rPr>
        <w:br w:type="page"/>
      </w:r>
    </w:p>
    <w:p w14:paraId="04BA9204" w14:textId="77777777" w:rsidR="00762FD1" w:rsidRPr="00E63973" w:rsidRDefault="00762FD1" w:rsidP="00762FD1">
      <w:pPr>
        <w:rPr>
          <w:rFonts w:ascii="Calibri" w:hAnsi="Calibri" w:cs="Calibri"/>
          <w:sz w:val="22"/>
          <w:szCs w:val="22"/>
        </w:rPr>
      </w:pPr>
      <w:r w:rsidRPr="00E63973">
        <w:rPr>
          <w:rFonts w:ascii="Calibri" w:hAnsi="Calibri" w:cs="Calibri"/>
          <w:noProof/>
          <w:sz w:val="22"/>
          <w:szCs w:val="22"/>
        </w:rPr>
        <w:lastRenderedPageBreak/>
        <w:drawing>
          <wp:inline distT="0" distB="0" distL="0" distR="0" wp14:anchorId="76956E24" wp14:editId="5DAF4FF7">
            <wp:extent cx="5760720" cy="2861310"/>
            <wp:effectExtent l="0" t="0" r="0" b="0"/>
            <wp:docPr id="1169743" name="Picture 32" descr="A close-up of a microscope sli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743" name="Picture 32" descr="A close-up of a microscope slid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2861310"/>
                    </a:xfrm>
                    <a:prstGeom prst="rect">
                      <a:avLst/>
                    </a:prstGeom>
                  </pic:spPr>
                </pic:pic>
              </a:graphicData>
            </a:graphic>
          </wp:inline>
        </w:drawing>
      </w:r>
    </w:p>
    <w:p w14:paraId="04804B78" w14:textId="77777777" w:rsidR="00762FD1" w:rsidRPr="00E63973" w:rsidRDefault="00762FD1" w:rsidP="00762FD1">
      <w:pPr>
        <w:jc w:val="both"/>
        <w:rPr>
          <w:rFonts w:ascii="Calibri" w:hAnsi="Calibri" w:cs="Calibri"/>
          <w:b/>
          <w:sz w:val="22"/>
          <w:szCs w:val="22"/>
        </w:rPr>
      </w:pPr>
      <w:r w:rsidRPr="00E63973">
        <w:rPr>
          <w:rFonts w:ascii="Calibri" w:hAnsi="Calibri" w:cs="Calibri"/>
          <w:b/>
          <w:sz w:val="22"/>
          <w:szCs w:val="22"/>
        </w:rPr>
        <w:t>Fig.S6: Rapport tracing shows incremental tissue renewal over three weeks</w:t>
      </w:r>
    </w:p>
    <w:p w14:paraId="48DBEDEB" w14:textId="77777777" w:rsidR="00762FD1" w:rsidRPr="00E63973" w:rsidRDefault="00762FD1" w:rsidP="00762FD1">
      <w:pPr>
        <w:jc w:val="both"/>
        <w:rPr>
          <w:rFonts w:ascii="Calibri" w:hAnsi="Calibri" w:cs="Calibri"/>
          <w:sz w:val="22"/>
          <w:szCs w:val="22"/>
        </w:rPr>
      </w:pPr>
      <w:r w:rsidRPr="00E63973">
        <w:rPr>
          <w:rFonts w:ascii="Calibri" w:hAnsi="Calibri" w:cs="Calibri"/>
          <w:sz w:val="22"/>
          <w:szCs w:val="22"/>
        </w:rPr>
        <w:t>(A-C) Confocal images of adult midguts with Rapport expression system in controls after (A) seven, (B) 14, and (C) 21 days of tracing showing GFP</w:t>
      </w:r>
      <w:r w:rsidRPr="00E63973">
        <w:rPr>
          <w:rFonts w:ascii="Calibri" w:hAnsi="Calibri" w:cs="Calibri"/>
          <w:sz w:val="22"/>
          <w:szCs w:val="22"/>
          <w:vertAlign w:val="superscript"/>
        </w:rPr>
        <w:t>+</w:t>
      </w:r>
      <w:r w:rsidRPr="00E63973">
        <w:rPr>
          <w:rFonts w:ascii="Calibri" w:hAnsi="Calibri" w:cs="Calibri"/>
          <w:sz w:val="22"/>
          <w:szCs w:val="22"/>
        </w:rPr>
        <w:t>RFP</w:t>
      </w:r>
      <w:r w:rsidRPr="00E63973">
        <w:rPr>
          <w:rFonts w:ascii="Calibri" w:hAnsi="Calibri" w:cs="Calibri"/>
          <w:sz w:val="22"/>
          <w:szCs w:val="22"/>
          <w:vertAlign w:val="superscript"/>
        </w:rPr>
        <w:t>+</w:t>
      </w:r>
      <w:r w:rsidRPr="00E63973">
        <w:rPr>
          <w:rFonts w:ascii="Calibri" w:hAnsi="Calibri" w:cs="Calibri"/>
          <w:sz w:val="22"/>
          <w:szCs w:val="22"/>
        </w:rPr>
        <w:t xml:space="preserve"> ISC/EB and their RFP</w:t>
      </w:r>
      <w:r w:rsidRPr="00E63973">
        <w:rPr>
          <w:rFonts w:ascii="Calibri" w:hAnsi="Calibri" w:cs="Calibri"/>
          <w:sz w:val="22"/>
          <w:szCs w:val="22"/>
          <w:vertAlign w:val="superscript"/>
        </w:rPr>
        <w:t>+</w:t>
      </w:r>
      <w:r w:rsidRPr="00E63973">
        <w:rPr>
          <w:rFonts w:ascii="Calibri" w:hAnsi="Calibri" w:cs="Calibri"/>
          <w:sz w:val="22"/>
          <w:szCs w:val="22"/>
        </w:rPr>
        <w:t xml:space="preserve"> progeny. EC and EE are marked by anti-Dlg1 and aPros staining. Scale bar is 20µm. (D-E) Quantifications of (D) progenitor cell number and (E) progeny in control midguts upon seven, 14 and 21 days (7d, 14d, 21d) of tracing (n=5,7,7/5,7,7). Means are indicated by (+) and asterisks denote significances from student’s t-test (*p&lt;0.05). (F) Confocal image of an adult midgut after three days of Rapport tracing and EC specific OE of </w:t>
      </w:r>
      <w:r w:rsidRPr="00E63973">
        <w:rPr>
          <w:rFonts w:ascii="Calibri" w:hAnsi="Calibri" w:cs="Calibri"/>
          <w:i/>
          <w:sz w:val="22"/>
          <w:szCs w:val="22"/>
        </w:rPr>
        <w:t>spitz</w:t>
      </w:r>
      <w:r w:rsidRPr="00E63973">
        <w:rPr>
          <w:rFonts w:ascii="Calibri" w:hAnsi="Calibri" w:cs="Calibri"/>
          <w:sz w:val="22"/>
          <w:szCs w:val="22"/>
        </w:rPr>
        <w:t xml:space="preserve"> (</w:t>
      </w:r>
      <w:r w:rsidRPr="00E63973">
        <w:rPr>
          <w:rFonts w:ascii="Calibri" w:hAnsi="Calibri" w:cs="Calibri"/>
          <w:i/>
          <w:sz w:val="22"/>
          <w:szCs w:val="22"/>
        </w:rPr>
        <w:t>&gt;spi</w:t>
      </w:r>
      <w:r w:rsidRPr="00E63973">
        <w:rPr>
          <w:rFonts w:ascii="Calibri" w:hAnsi="Calibri" w:cs="Calibri"/>
          <w:sz w:val="22"/>
          <w:szCs w:val="22"/>
        </w:rPr>
        <w:t>).</w:t>
      </w:r>
    </w:p>
    <w:p w14:paraId="38433A78" w14:textId="77777777" w:rsidR="00762FD1" w:rsidRPr="00E63973" w:rsidRDefault="00762FD1" w:rsidP="00762FD1">
      <w:pPr>
        <w:rPr>
          <w:rFonts w:ascii="Calibri" w:hAnsi="Calibri" w:cs="Calibri"/>
          <w:sz w:val="22"/>
          <w:szCs w:val="22"/>
        </w:rPr>
      </w:pPr>
      <w:r w:rsidRPr="00E63973">
        <w:rPr>
          <w:rFonts w:ascii="Calibri" w:hAnsi="Calibri" w:cs="Calibri"/>
          <w:sz w:val="22"/>
          <w:szCs w:val="22"/>
        </w:rPr>
        <w:br w:type="page"/>
      </w:r>
    </w:p>
    <w:p w14:paraId="0626EF3B" w14:textId="77777777" w:rsidR="00762FD1" w:rsidRPr="00E63973" w:rsidRDefault="00762FD1" w:rsidP="00762FD1">
      <w:pPr>
        <w:rPr>
          <w:rFonts w:ascii="Calibri" w:hAnsi="Calibri" w:cs="Calibri"/>
          <w:sz w:val="22"/>
          <w:szCs w:val="22"/>
        </w:rPr>
      </w:pPr>
      <w:r w:rsidRPr="00E63973">
        <w:rPr>
          <w:rFonts w:ascii="Calibri" w:hAnsi="Calibri" w:cs="Calibri"/>
          <w:noProof/>
          <w:sz w:val="22"/>
          <w:szCs w:val="22"/>
        </w:rPr>
        <w:lastRenderedPageBreak/>
        <w:drawing>
          <wp:inline distT="0" distB="0" distL="0" distR="0" wp14:anchorId="299B9E5C" wp14:editId="5216EAEA">
            <wp:extent cx="5760720" cy="4036695"/>
            <wp:effectExtent l="0" t="0" r="0" b="1905"/>
            <wp:docPr id="247183381" name="Picture 20" descr="A diagram of a diagram of an ec&#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183381" name="Picture 20" descr="A diagram of a diagram of an ec&#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4036695"/>
                    </a:xfrm>
                    <a:prstGeom prst="rect">
                      <a:avLst/>
                    </a:prstGeom>
                  </pic:spPr>
                </pic:pic>
              </a:graphicData>
            </a:graphic>
          </wp:inline>
        </w:drawing>
      </w:r>
    </w:p>
    <w:p w14:paraId="1EB4518C" w14:textId="77777777" w:rsidR="00762FD1" w:rsidRPr="00E63973" w:rsidRDefault="00762FD1" w:rsidP="00762FD1">
      <w:pPr>
        <w:jc w:val="both"/>
        <w:rPr>
          <w:rFonts w:ascii="Calibri" w:hAnsi="Calibri" w:cs="Calibri"/>
          <w:b/>
          <w:bCs/>
          <w:sz w:val="22"/>
          <w:szCs w:val="22"/>
        </w:rPr>
      </w:pPr>
      <w:r w:rsidRPr="00E63973">
        <w:rPr>
          <w:rFonts w:ascii="Calibri" w:hAnsi="Calibri" w:cs="Calibri"/>
          <w:b/>
          <w:bCs/>
          <w:sz w:val="22"/>
          <w:szCs w:val="22"/>
        </w:rPr>
        <w:t>Fig.S7: Additional data for tumour and mathematical modelling</w:t>
      </w:r>
    </w:p>
    <w:p w14:paraId="06A93AA9" w14:textId="77777777" w:rsidR="00762FD1" w:rsidRPr="00E63973" w:rsidRDefault="00762FD1" w:rsidP="00762FD1">
      <w:pPr>
        <w:jc w:val="both"/>
        <w:rPr>
          <w:rFonts w:ascii="Calibri" w:hAnsi="Calibri" w:cs="Calibri"/>
          <w:sz w:val="22"/>
          <w:szCs w:val="22"/>
        </w:rPr>
      </w:pPr>
      <w:r w:rsidRPr="00E63973">
        <w:rPr>
          <w:rFonts w:ascii="Calibri" w:hAnsi="Calibri" w:cs="Calibri"/>
          <w:sz w:val="22"/>
          <w:szCs w:val="22"/>
        </w:rPr>
        <w:t xml:space="preserve">(A) Schematic of the involvement of ZNF267 and Wnt signalling in CRC. Wnt ligand is bound by secreted frizzled related proteins (SFRP) preventing binding to the frizzled receptor (FZD) and its co-receptors LDL receptor related protein 5 and 6 (LRP5/6). Dishevelled segment polarity protein 1 (DVL) forms a complex with both receptors and recruits the destruction complex consisting of APC and axin 1 (AXIN) </w:t>
      </w:r>
      <w:r>
        <w:rPr>
          <w:rFonts w:ascii="Calibri" w:hAnsi="Calibri" w:cs="Calibri"/>
          <w:sz w:val="22"/>
          <w:szCs w:val="22"/>
        </w:rPr>
        <w:t>w</w:t>
      </w:r>
      <w:r w:rsidRPr="00E63973">
        <w:rPr>
          <w:rFonts w:ascii="Calibri" w:hAnsi="Calibri" w:cs="Calibri"/>
          <w:sz w:val="22"/>
          <w:szCs w:val="22"/>
        </w:rPr>
        <w:t>hich degrade cytoplasmic ß-Catenin thereby preventing its translocation to the nucl</w:t>
      </w:r>
      <w:r>
        <w:rPr>
          <w:rFonts w:ascii="Calibri" w:hAnsi="Calibri" w:cs="Calibri"/>
          <w:sz w:val="22"/>
          <w:szCs w:val="22"/>
        </w:rPr>
        <w:t>e</w:t>
      </w:r>
      <w:r w:rsidRPr="00E63973">
        <w:rPr>
          <w:rFonts w:ascii="Calibri" w:hAnsi="Calibri" w:cs="Calibri"/>
          <w:sz w:val="22"/>
          <w:szCs w:val="22"/>
        </w:rPr>
        <w:t>us and binding to transcription factors of the TCF/LEF family. Marked with green arrows are components that positively correlate with enhanced ZNF267 expression in CRC, whereas components with negative correlation of expression are marked with red arrows. (B) Schematic of the N</w:t>
      </w:r>
      <w:r w:rsidRPr="00E63973">
        <w:rPr>
          <w:rFonts w:ascii="Calibri" w:hAnsi="Calibri" w:cs="Calibri"/>
          <w:sz w:val="22"/>
          <w:szCs w:val="22"/>
          <w:vertAlign w:val="superscript"/>
        </w:rPr>
        <w:t>LOF</w:t>
      </w:r>
      <w:r w:rsidRPr="00E63973">
        <w:rPr>
          <w:rFonts w:ascii="Calibri" w:hAnsi="Calibri" w:cs="Calibri"/>
          <w:sz w:val="22"/>
          <w:szCs w:val="22"/>
        </w:rPr>
        <w:t>tumour model. N</w:t>
      </w:r>
      <w:r w:rsidRPr="00E63973">
        <w:rPr>
          <w:rFonts w:ascii="Calibri" w:hAnsi="Calibri" w:cs="Calibri"/>
          <w:sz w:val="22"/>
          <w:szCs w:val="22"/>
          <w:vertAlign w:val="superscript"/>
        </w:rPr>
        <w:t>LOF</w:t>
      </w:r>
      <w:r w:rsidRPr="00E63973">
        <w:rPr>
          <w:rFonts w:ascii="Calibri" w:hAnsi="Calibri" w:cs="Calibri"/>
          <w:sz w:val="22"/>
          <w:szCs w:val="22"/>
        </w:rPr>
        <w:t xml:space="preserve"> in ISC blocks differentiation into EC inducing the formation of ISC and EE tumours. (C) Schematic of the combination of </w:t>
      </w:r>
      <w:r w:rsidRPr="00E63973">
        <w:rPr>
          <w:rFonts w:ascii="Calibri" w:hAnsi="Calibri" w:cs="Calibri"/>
          <w:i/>
          <w:sz w:val="22"/>
          <w:szCs w:val="22"/>
        </w:rPr>
        <w:t>Rapport</w:t>
      </w:r>
      <w:r w:rsidRPr="00E63973">
        <w:rPr>
          <w:rFonts w:ascii="Calibri" w:hAnsi="Calibri" w:cs="Calibri"/>
          <w:sz w:val="22"/>
          <w:szCs w:val="22"/>
        </w:rPr>
        <w:t xml:space="preserve"> with a N</w:t>
      </w:r>
      <w:r w:rsidRPr="00E63973">
        <w:rPr>
          <w:rFonts w:ascii="Calibri" w:hAnsi="Calibri" w:cs="Calibri"/>
          <w:sz w:val="22"/>
          <w:szCs w:val="22"/>
          <w:vertAlign w:val="superscript"/>
        </w:rPr>
        <w:t>LOF</w:t>
      </w:r>
      <w:r w:rsidRPr="00E63973">
        <w:rPr>
          <w:rFonts w:ascii="Calibri" w:hAnsi="Calibri" w:cs="Calibri"/>
          <w:sz w:val="22"/>
          <w:szCs w:val="22"/>
        </w:rPr>
        <w:t xml:space="preserve">-tumour model. </w:t>
      </w:r>
      <w:r w:rsidRPr="00E63973">
        <w:rPr>
          <w:rFonts w:ascii="Calibri" w:hAnsi="Calibri" w:cs="Calibri"/>
          <w:i/>
          <w:iCs/>
          <w:sz w:val="22"/>
          <w:szCs w:val="22"/>
        </w:rPr>
        <w:t>Rapport</w:t>
      </w:r>
      <w:r w:rsidRPr="00E63973">
        <w:rPr>
          <w:rFonts w:ascii="Calibri" w:hAnsi="Calibri" w:cs="Calibri"/>
          <w:sz w:val="22"/>
          <w:szCs w:val="22"/>
        </w:rPr>
        <w:t xml:space="preserve"> consist of a </w:t>
      </w:r>
      <w:r w:rsidRPr="00E63973">
        <w:rPr>
          <w:rFonts w:ascii="Calibri" w:hAnsi="Calibri" w:cs="Calibri"/>
          <w:i/>
          <w:iCs/>
          <w:sz w:val="22"/>
          <w:szCs w:val="22"/>
        </w:rPr>
        <w:t>mex-Gal4</w:t>
      </w:r>
      <w:r w:rsidRPr="00E63973">
        <w:rPr>
          <w:rFonts w:ascii="Calibri" w:hAnsi="Calibri" w:cs="Calibri"/>
          <w:sz w:val="22"/>
          <w:szCs w:val="22"/>
        </w:rPr>
        <w:t xml:space="preserve"> driver enabling EC specific expression of UAS-driven cDNAs or RNAi constructs and an</w:t>
      </w:r>
      <w:r w:rsidRPr="00E63973">
        <w:rPr>
          <w:rFonts w:ascii="Calibri" w:hAnsi="Calibri" w:cs="Calibri"/>
          <w:i/>
          <w:iCs/>
          <w:sz w:val="22"/>
          <w:szCs w:val="22"/>
        </w:rPr>
        <w:t xml:space="preserve"> esg</w:t>
      </w:r>
      <w:r w:rsidRPr="00E63973">
        <w:rPr>
          <w:rFonts w:ascii="Calibri" w:hAnsi="Calibri" w:cs="Calibri"/>
          <w:i/>
          <w:iCs/>
          <w:sz w:val="22"/>
          <w:szCs w:val="22"/>
          <w:vertAlign w:val="superscript"/>
        </w:rPr>
        <w:t>lexReDDM</w:t>
      </w:r>
      <w:r w:rsidRPr="00E63973">
        <w:rPr>
          <w:rFonts w:ascii="Calibri" w:hAnsi="Calibri" w:cs="Calibri"/>
          <w:sz w:val="22"/>
          <w:szCs w:val="22"/>
        </w:rPr>
        <w:t xml:space="preserve"> system based on lexA/Aop allowing Gal4/UAS independent labelling and tracing of ISC/EB by </w:t>
      </w:r>
      <w:r w:rsidRPr="00E63973">
        <w:rPr>
          <w:rFonts w:ascii="Calibri" w:hAnsi="Calibri" w:cs="Calibri"/>
          <w:i/>
          <w:iCs/>
          <w:sz w:val="22"/>
          <w:szCs w:val="22"/>
        </w:rPr>
        <w:t>esg-lexA</w:t>
      </w:r>
      <w:r w:rsidRPr="00E63973">
        <w:rPr>
          <w:rFonts w:ascii="Calibri" w:hAnsi="Calibri" w:cs="Calibri"/>
          <w:sz w:val="22"/>
          <w:szCs w:val="22"/>
        </w:rPr>
        <w:t xml:space="preserve"> driven expression of </w:t>
      </w:r>
      <w:r w:rsidRPr="00E63973">
        <w:rPr>
          <w:rFonts w:ascii="Calibri" w:hAnsi="Calibri" w:cs="Calibri"/>
          <w:i/>
          <w:iCs/>
          <w:sz w:val="22"/>
          <w:szCs w:val="22"/>
        </w:rPr>
        <w:t>Aop-CD8::GFP</w:t>
      </w:r>
      <w:r w:rsidRPr="00E63973">
        <w:rPr>
          <w:rFonts w:ascii="Calibri" w:hAnsi="Calibri" w:cs="Calibri"/>
          <w:sz w:val="22"/>
          <w:szCs w:val="22"/>
        </w:rPr>
        <w:t xml:space="preserve"> and </w:t>
      </w:r>
      <w:r w:rsidRPr="00E63973">
        <w:rPr>
          <w:rFonts w:ascii="Calibri" w:hAnsi="Calibri" w:cs="Calibri"/>
          <w:i/>
          <w:iCs/>
          <w:sz w:val="22"/>
          <w:szCs w:val="22"/>
        </w:rPr>
        <w:t>Aop-H2B::mCherry</w:t>
      </w:r>
      <w:r w:rsidRPr="00E63973">
        <w:rPr>
          <w:rFonts w:ascii="Calibri" w:hAnsi="Calibri" w:cs="Calibri"/>
          <w:sz w:val="22"/>
          <w:szCs w:val="22"/>
        </w:rPr>
        <w:t xml:space="preserve"> and additional expression of </w:t>
      </w:r>
      <w:r w:rsidRPr="00E63973">
        <w:rPr>
          <w:rFonts w:ascii="Calibri" w:hAnsi="Calibri" w:cs="Calibri"/>
          <w:i/>
          <w:sz w:val="22"/>
          <w:szCs w:val="22"/>
        </w:rPr>
        <w:t>Aop-N-RNAi</w:t>
      </w:r>
      <w:r w:rsidRPr="00E63973">
        <w:rPr>
          <w:rFonts w:ascii="Calibri" w:hAnsi="Calibri" w:cs="Calibri"/>
          <w:sz w:val="22"/>
          <w:szCs w:val="22"/>
        </w:rPr>
        <w:t xml:space="preserve"> for induction of N</w:t>
      </w:r>
      <w:r w:rsidRPr="00E63973">
        <w:rPr>
          <w:rFonts w:ascii="Calibri" w:hAnsi="Calibri" w:cs="Calibri"/>
          <w:sz w:val="22"/>
          <w:szCs w:val="22"/>
          <w:vertAlign w:val="superscript"/>
        </w:rPr>
        <w:t>LOF</w:t>
      </w:r>
      <w:r w:rsidRPr="00E63973">
        <w:rPr>
          <w:rFonts w:ascii="Calibri" w:hAnsi="Calibri" w:cs="Calibri"/>
          <w:sz w:val="22"/>
          <w:szCs w:val="22"/>
        </w:rPr>
        <w:t xml:space="preserve"> within ISC (lexA/Aop abbreviated as ‘&gt;&gt;’ hereafter), both expression systems are timely controlled by a </w:t>
      </w:r>
      <w:r w:rsidRPr="00E63973">
        <w:rPr>
          <w:rFonts w:ascii="Calibri" w:hAnsi="Calibri" w:cs="Calibri"/>
          <w:i/>
          <w:sz w:val="22"/>
          <w:szCs w:val="22"/>
        </w:rPr>
        <w:t>tub-Gal80</w:t>
      </w:r>
      <w:r w:rsidRPr="00E63973">
        <w:rPr>
          <w:rFonts w:ascii="Calibri" w:hAnsi="Calibri" w:cs="Calibri"/>
          <w:i/>
          <w:sz w:val="22"/>
          <w:szCs w:val="22"/>
          <w:vertAlign w:val="superscript"/>
        </w:rPr>
        <w:t>ts</w:t>
      </w:r>
      <w:r w:rsidRPr="00E63973">
        <w:rPr>
          <w:rFonts w:ascii="Calibri" w:hAnsi="Calibri" w:cs="Calibri"/>
          <w:sz w:val="22"/>
          <w:szCs w:val="22"/>
        </w:rPr>
        <w:t xml:space="preserve"> repressor. (D) Quantification of midgut length as a readout for epithelial deterioration in a CRC model combined with ISC/EB specific manipulations of </w:t>
      </w:r>
      <w:r w:rsidRPr="00E63973">
        <w:rPr>
          <w:rFonts w:ascii="Calibri" w:hAnsi="Calibri" w:cs="Calibri"/>
          <w:i/>
          <w:sz w:val="22"/>
          <w:szCs w:val="22"/>
        </w:rPr>
        <w:t>crol</w:t>
      </w:r>
      <w:r w:rsidRPr="00E63973">
        <w:rPr>
          <w:rFonts w:ascii="Calibri" w:hAnsi="Calibri" w:cs="Calibri"/>
          <w:sz w:val="22"/>
          <w:szCs w:val="22"/>
        </w:rPr>
        <w:t xml:space="preserve">/ZNF267 (n=14,7,8,5,5). Column bars show means with standard deviations and asterisks denote significances from student’s t-test (**p&lt;0.01, ****p&lt;0.0001). (E) Quantification of ISC numbers in VF compared to MF (n=4,4). Mean is indicated by (+). (F-H) Function showing ISC dynamics with constant epithelial size. (F) Function visualizing constant EC number resulting in constant intestinal size depicted by gut sections. (G) Schematic for equation </w:t>
      </w:r>
      <w:r w:rsidRPr="00E63973">
        <w:rPr>
          <w:rFonts w:ascii="Calibri" w:eastAsiaTheme="minorEastAsia" w:hAnsi="Calibri" w:cs="Calibri"/>
          <w:sz w:val="22"/>
          <w:szCs w:val="22"/>
        </w:rPr>
        <w:t>visualizing</w:t>
      </w:r>
      <w:r w:rsidRPr="00E63973">
        <w:rPr>
          <w:rFonts w:ascii="Calibri" w:hAnsi="Calibri" w:cs="Calibri"/>
          <w:sz w:val="22"/>
          <w:szCs w:val="22"/>
        </w:rPr>
        <w:t xml:space="preserve"> the divergent effect of 20HE hormone on </w:t>
      </w:r>
      <w:r w:rsidRPr="00E63973">
        <w:rPr>
          <w:rFonts w:ascii="Calibri" w:eastAsiaTheme="minorEastAsia" w:hAnsi="Calibri" w:cs="Calibri"/>
          <w:sz w:val="22"/>
          <w:szCs w:val="22"/>
        </w:rPr>
        <w:t>ISC (</w:t>
      </w:r>
      <m:oMath>
        <m:r>
          <w:rPr>
            <w:rFonts w:ascii="Cambria Math" w:eastAsiaTheme="minorEastAsia" w:hAnsi="Cambria Math" w:cs="Calibri"/>
            <w:sz w:val="22"/>
            <w:szCs w:val="22"/>
          </w:rPr>
          <m:t>I</m:t>
        </m:r>
      </m:oMath>
      <w:r w:rsidRPr="00E63973">
        <w:rPr>
          <w:rFonts w:ascii="Calibri" w:eastAsiaTheme="minorEastAsia" w:hAnsi="Calibri" w:cs="Calibri"/>
          <w:sz w:val="22"/>
          <w:szCs w:val="22"/>
        </w:rPr>
        <w:t xml:space="preserve">) inhibiting ISC proliferation </w:t>
      </w:r>
      <w:r w:rsidRPr="00E63973">
        <w:rPr>
          <w:rFonts w:ascii="Calibri" w:hAnsi="Calibri" w:cs="Calibri"/>
          <w:sz w:val="22"/>
          <w:szCs w:val="22"/>
        </w:rPr>
        <w:t>and on EC (</w:t>
      </w:r>
      <m:oMath>
        <m:r>
          <w:rPr>
            <w:rFonts w:ascii="Cambria Math" w:hAnsi="Cambria Math" w:cs="Calibri"/>
            <w:sz w:val="22"/>
            <w:szCs w:val="22"/>
          </w:rPr>
          <m:t>E)</m:t>
        </m:r>
      </m:oMath>
      <w:r w:rsidRPr="00E63973">
        <w:rPr>
          <w:rFonts w:ascii="Calibri" w:eastAsiaTheme="minorEastAsia" w:hAnsi="Calibri" w:cs="Calibri"/>
          <w:sz w:val="22"/>
          <w:szCs w:val="22"/>
        </w:rPr>
        <w:t xml:space="preserve"> </w:t>
      </w:r>
      <w:r w:rsidRPr="00E63973">
        <w:rPr>
          <w:rFonts w:ascii="Calibri" w:hAnsi="Calibri" w:cs="Calibri"/>
          <w:sz w:val="22"/>
          <w:szCs w:val="22"/>
        </w:rPr>
        <w:t xml:space="preserve">stimulating Wg production </w:t>
      </w:r>
      <m:oMath>
        <m:r>
          <w:rPr>
            <w:rFonts w:ascii="Cambria Math" w:hAnsi="Cambria Math" w:cs="Calibri"/>
            <w:sz w:val="22"/>
            <w:szCs w:val="22"/>
          </w:rPr>
          <m:t>βC</m:t>
        </m:r>
        <m:f>
          <m:fPr>
            <m:ctrlPr>
              <w:rPr>
                <w:rFonts w:ascii="Cambria Math" w:hAnsi="Cambria Math" w:cs="Calibri"/>
                <w:i/>
                <w:sz w:val="22"/>
                <w:szCs w:val="22"/>
              </w:rPr>
            </m:ctrlPr>
          </m:fPr>
          <m:num>
            <m:r>
              <w:rPr>
                <w:rFonts w:ascii="Cambria Math" w:hAnsi="Cambria Math" w:cs="Calibri"/>
                <w:sz w:val="22"/>
                <w:szCs w:val="22"/>
              </w:rPr>
              <m:t>γ</m:t>
            </m:r>
          </m:num>
          <m:den>
            <m:r>
              <w:rPr>
                <w:rFonts w:ascii="Cambria Math" w:hAnsi="Cambria Math" w:cs="Calibri"/>
                <w:sz w:val="22"/>
                <w:szCs w:val="22"/>
              </w:rPr>
              <m:t>E</m:t>
            </m:r>
          </m:den>
        </m:f>
      </m:oMath>
      <w:r w:rsidRPr="00E63973">
        <w:rPr>
          <w:rFonts w:ascii="Calibri" w:eastAsiaTheme="minorEastAsia" w:hAnsi="Calibri" w:cs="Calibri"/>
          <w:sz w:val="22"/>
          <w:szCs w:val="22"/>
        </w:rPr>
        <w:t xml:space="preserve">. In a situation with blocked EC differentiation ISC proliferation increases with </w:t>
      </w:r>
      <m:oMath>
        <m:r>
          <w:rPr>
            <w:rFonts w:ascii="Cambria Math" w:eastAsiaTheme="minorEastAsia" w:hAnsi="Cambria Math" w:cs="Calibri"/>
            <w:sz w:val="22"/>
            <w:szCs w:val="22"/>
          </w:rPr>
          <m:t>βc</m:t>
        </m:r>
        <m:f>
          <m:fPr>
            <m:ctrlPr>
              <w:rPr>
                <w:rFonts w:ascii="Cambria Math" w:eastAsiaTheme="minorEastAsia" w:hAnsi="Cambria Math" w:cs="Calibri"/>
                <w:i/>
                <w:sz w:val="22"/>
                <w:szCs w:val="22"/>
              </w:rPr>
            </m:ctrlPr>
          </m:fPr>
          <m:num>
            <m:r>
              <w:rPr>
                <w:rFonts w:ascii="Cambria Math" w:eastAsiaTheme="minorEastAsia" w:hAnsi="Cambria Math" w:cs="Calibri"/>
                <w:sz w:val="22"/>
                <w:szCs w:val="22"/>
              </w:rPr>
              <m:t>γ</m:t>
            </m:r>
          </m:num>
          <m:den>
            <m:r>
              <w:rPr>
                <w:rFonts w:ascii="Cambria Math" w:eastAsiaTheme="minorEastAsia" w:hAnsi="Cambria Math" w:cs="Calibri"/>
                <w:sz w:val="22"/>
                <w:szCs w:val="22"/>
              </w:rPr>
              <m:t>EI</m:t>
            </m:r>
          </m:den>
        </m:f>
        <m:r>
          <w:rPr>
            <w:rFonts w:ascii="Cambria Math" w:eastAsiaTheme="minorEastAsia" w:hAnsi="Cambria Math" w:cs="Calibri"/>
            <w:sz w:val="22"/>
            <w:szCs w:val="22"/>
          </w:rPr>
          <m:t>-</m:t>
        </m:r>
        <m:f>
          <m:fPr>
            <m:ctrlPr>
              <w:rPr>
                <w:rFonts w:ascii="Cambria Math" w:eastAsiaTheme="minorEastAsia" w:hAnsi="Cambria Math" w:cs="Calibri"/>
                <w:i/>
                <w:sz w:val="22"/>
                <w:szCs w:val="22"/>
              </w:rPr>
            </m:ctrlPr>
          </m:fPr>
          <m:num>
            <m:r>
              <w:rPr>
                <w:rFonts w:ascii="Cambria Math" w:eastAsiaTheme="minorEastAsia" w:hAnsi="Cambria Math" w:cs="Calibri"/>
                <w:sz w:val="22"/>
                <w:szCs w:val="22"/>
              </w:rPr>
              <m:t>α</m:t>
            </m:r>
          </m:num>
          <m:den>
            <m:r>
              <w:rPr>
                <w:rFonts w:ascii="Cambria Math" w:eastAsiaTheme="minorEastAsia" w:hAnsi="Cambria Math" w:cs="Calibri"/>
                <w:sz w:val="22"/>
                <w:szCs w:val="22"/>
              </w:rPr>
              <m:t>I</m:t>
            </m:r>
          </m:den>
        </m:f>
      </m:oMath>
      <w:r w:rsidRPr="00E63973">
        <w:rPr>
          <w:rFonts w:ascii="Calibri" w:eastAsiaTheme="minorEastAsia" w:hAnsi="Calibri" w:cs="Calibri"/>
          <w:sz w:val="22"/>
          <w:szCs w:val="22"/>
        </w:rPr>
        <w:t xml:space="preserve">. (H) Function showing ISC proliferation </w:t>
      </w:r>
      <m:oMath>
        <m:r>
          <w:rPr>
            <w:rFonts w:ascii="Cambria Math" w:eastAsiaTheme="minorEastAsia" w:hAnsi="Cambria Math" w:cs="Calibri"/>
            <w:sz w:val="22"/>
            <w:szCs w:val="22"/>
          </w:rPr>
          <m:t>I</m:t>
        </m:r>
        <m:d>
          <m:dPr>
            <m:ctrlPr>
              <w:rPr>
                <w:rFonts w:ascii="Cambria Math" w:eastAsiaTheme="minorEastAsia" w:hAnsi="Cambria Math" w:cs="Calibri"/>
                <w:i/>
                <w:sz w:val="22"/>
                <w:szCs w:val="22"/>
              </w:rPr>
            </m:ctrlPr>
          </m:dPr>
          <m:e>
            <m:r>
              <w:rPr>
                <w:rFonts w:ascii="Cambria Math" w:eastAsiaTheme="minorEastAsia" w:hAnsi="Cambria Math" w:cs="Calibri"/>
                <w:sz w:val="22"/>
                <w:szCs w:val="22"/>
              </w:rPr>
              <m:t>t</m:t>
            </m:r>
          </m:e>
        </m:d>
      </m:oMath>
      <w:r w:rsidRPr="00E63973">
        <w:rPr>
          <w:rFonts w:ascii="Calibri" w:eastAsiaTheme="minorEastAsia" w:hAnsi="Calibri" w:cs="Calibri"/>
          <w:sz w:val="22"/>
          <w:szCs w:val="22"/>
        </w:rPr>
        <w:t>over time in a situation of constant EC number.</w:t>
      </w:r>
    </w:p>
    <w:p w14:paraId="253C0DDC" w14:textId="77777777" w:rsidR="00762FD1" w:rsidRPr="00E63973" w:rsidRDefault="00762FD1" w:rsidP="00762FD1">
      <w:pPr>
        <w:pStyle w:val="EndNoteBibliography"/>
        <w:ind w:left="720" w:hanging="720"/>
        <w:rPr>
          <w:lang w:val="en-US"/>
        </w:rPr>
      </w:pPr>
    </w:p>
    <w:p w14:paraId="2B3D1DE3" w14:textId="77777777" w:rsidR="00755780" w:rsidRDefault="00755780"/>
    <w:sectPr w:rsidR="00755780" w:rsidSect="00DE3195">
      <w:pgSz w:w="11906" w:h="16838" w:code="9"/>
      <w:pgMar w:top="1440" w:right="1440" w:bottom="1440" w:left="1440" w:header="708" w:footer="708"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FD1"/>
    <w:rsid w:val="00755780"/>
    <w:rsid w:val="00762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273BC"/>
  <w15:chartTrackingRefBased/>
  <w15:docId w15:val="{D2AE627F-2D03-4804-866D-034BC6343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2FD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rsid w:val="00762FD1"/>
    <w:pPr>
      <w:pBdr>
        <w:top w:val="nil"/>
        <w:left w:val="nil"/>
        <w:bottom w:val="nil"/>
        <w:right w:val="nil"/>
        <w:between w:val="nil"/>
        <w:bar w:val="nil"/>
      </w:pBdr>
      <w:spacing w:line="240" w:lineRule="auto"/>
    </w:pPr>
    <w:rPr>
      <w:rFonts w:ascii="Calibri" w:eastAsia="Calibri" w:hAnsi="Calibri" w:cs="Calibri"/>
      <w:color w:val="000000"/>
      <w:u w:color="000000"/>
      <w:bdr w:val="nil"/>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1454</Words>
  <Characters>8294</Characters>
  <Application>Microsoft Office Word</Application>
  <DocSecurity>0</DocSecurity>
  <Lines>69</Lines>
  <Paragraphs>19</Paragraphs>
  <ScaleCrop>false</ScaleCrop>
  <Company>Springer Nature</Company>
  <LinksUpToDate>false</LinksUpToDate>
  <CharactersWithSpaces>9729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2023-11-28T10:54:00Z</dcterms:created>
  <dcterms:modified xsi:type="dcterms:W3CDTF">2023-11-28T10:54:00Z</dcterms:modified>
</cp:coreProperties>
</file>