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kinsoku w:val="0"/>
        <w:wordWrap/>
        <w:topLinePunct w:val="0"/>
        <w:autoSpaceDE/>
        <w:autoSpaceDN/>
        <w:bidi w:val="0"/>
        <w:adjustRightInd/>
        <w:snapToGrid/>
        <w:ind w:left="-105" w:right="-105"/>
        <w:jc w:val="left"/>
        <w:textAlignment w:val="auto"/>
        <w:rPr>
          <w:rFonts w:hint="eastAsia" w:ascii="Calibri" w:hAnsi="Calibri" w:eastAsia="Times New Roman" w:cs="Times New Roman"/>
          <w:kern w:val="0"/>
          <w:sz w:val="22"/>
          <w:szCs w:val="22"/>
          <w:lang w:val="en-GB" w:eastAsia="en-GB" w:bidi="ar-SA"/>
        </w:rPr>
      </w:pPr>
      <w:r>
        <w:rPr>
          <w:rFonts w:ascii="Calibri" w:hAnsi="Calibri" w:eastAsia="Times New Roman" w:cs="Times New Roman"/>
          <w:kern w:val="0"/>
          <w:sz w:val="22"/>
          <w:szCs w:val="22"/>
          <w:lang w:val="en-GB" w:eastAsia="en-GB" w:bidi="ar-SA"/>
        </w:rPr>
        <w:t>Supplementary Figure 1: Stages of gout</w:t>
      </w:r>
      <w:r>
        <w:rPr>
          <w:rFonts w:hint="eastAsia" w:ascii="Calibri" w:hAnsi="Calibri" w:eastAsia="Times New Roman" w:cs="Times New Roman"/>
          <w:kern w:val="0"/>
          <w:sz w:val="22"/>
          <w:szCs w:val="22"/>
          <w:lang w:val="en-GB" w:eastAsia="en-GB" w:bidi="ar-SA"/>
        </w:rPr>
        <w:t xml:space="preserve"> and hyperuricemia</w:t>
      </w:r>
      <w:r>
        <w:rPr>
          <w:rFonts w:ascii="Calibri" w:hAnsi="Calibri" w:eastAsia="Times New Roman" w:cs="Times New Roman"/>
          <w:kern w:val="0"/>
          <w:sz w:val="22"/>
          <w:szCs w:val="22"/>
          <w:lang w:val="en-GB" w:eastAsia="en-GB" w:bidi="ar-SA"/>
        </w:rPr>
        <w:t>.</w:t>
      </w:r>
    </w:p>
    <w:p>
      <w:pPr>
        <w:keepNext w:val="0"/>
        <w:keepLines w:val="0"/>
        <w:pageBreakBefore w:val="0"/>
        <w:kinsoku w:val="0"/>
        <w:wordWrap/>
        <w:topLinePunct w:val="0"/>
        <w:autoSpaceDE/>
        <w:autoSpaceDN/>
        <w:bidi w:val="0"/>
        <w:adjustRightInd/>
        <w:snapToGrid/>
        <w:ind w:right="-105"/>
        <w:jc w:val="left"/>
        <w:textAlignment w:val="auto"/>
        <w:rPr>
          <w:rFonts w:hint="eastAsia" w:ascii="Calibri" w:hAnsi="Calibri" w:eastAsia="Times New Roman" w:cs="Times New Roman"/>
          <w:kern w:val="0"/>
          <w:sz w:val="22"/>
          <w:szCs w:val="22"/>
          <w:lang w:val="en-GB" w:eastAsia="en-GB" w:bidi="ar-SA"/>
        </w:rPr>
      </w:pPr>
      <w:r>
        <w:rPr>
          <w:rFonts w:hint="eastAsia" w:ascii="Calibri" w:hAnsi="Calibri" w:eastAsia="Times New Roman" w:cs="Times New Roman"/>
          <w:kern w:val="0"/>
          <w:sz w:val="16"/>
          <w:szCs w:val="16"/>
          <w:lang w:val="en-GB" w:eastAsia="en-GB" w:bidi="ar-SA"/>
        </w:rPr>
        <w:t>Various stages of gout, which are accompanied by distinct clinical symptoms. As the condition progresses, the clinical manifestations become more severe. At times, complications and advanced stages of the disease may develop without any preceding symptoms or stages (e.g., tophaceous gout without prior gout flares); however, this is an infrequent occurrence. Monosodium urate (MSU) is the primary cause of gout, and this figure is adapted from reference</w:t>
      </w:r>
      <w:r>
        <w:rPr>
          <w:rFonts w:hint="eastAsia" w:ascii="Calibri" w:hAnsi="Calibri" w:eastAsia="宋体" w:cs="Times New Roman"/>
          <w:kern w:val="0"/>
          <w:sz w:val="16"/>
          <w:szCs w:val="16"/>
          <w:lang w:val="en-US" w:eastAsia="zh-CN" w:bidi="ar-SA"/>
        </w:rPr>
        <w:t>[</w:t>
      </w:r>
      <w:r>
        <w:rPr>
          <w:rFonts w:hint="eastAsia" w:ascii="Calibri" w:hAnsi="Calibri" w:eastAsia="Times New Roman" w:cs="Times New Roman"/>
          <w:kern w:val="0"/>
          <w:sz w:val="16"/>
          <w:szCs w:val="16"/>
          <w:lang w:val="en-GB" w:eastAsia="en-GB" w:bidi="ar-SA"/>
        </w:rPr>
        <w:t>7,31</w:t>
      </w:r>
      <w:r>
        <w:rPr>
          <w:rFonts w:hint="eastAsia" w:ascii="Calibri" w:hAnsi="Calibri" w:eastAsia="宋体" w:cs="Times New Roman"/>
          <w:kern w:val="0"/>
          <w:sz w:val="16"/>
          <w:szCs w:val="16"/>
          <w:lang w:val="en-US" w:eastAsia="zh-CN" w:bidi="ar-SA"/>
        </w:rPr>
        <w:t>]</w:t>
      </w:r>
      <w:r>
        <w:rPr>
          <w:rFonts w:hint="eastAsia" w:ascii="Calibri" w:hAnsi="Calibri" w:eastAsia="Times New Roman" w:cs="Times New Roman"/>
          <w:kern w:val="0"/>
          <w:sz w:val="16"/>
          <w:szCs w:val="16"/>
          <w:lang w:val="en-GB" w:eastAsia="en-GB" w:bidi="ar-SA"/>
        </w:rPr>
        <w:t xml:space="preserve"> .</w:t>
      </w:r>
    </w:p>
    <w:p>
      <w:pPr>
        <w:keepNext w:val="0"/>
        <w:keepLines w:val="0"/>
        <w:pageBreakBefore w:val="0"/>
        <w:kinsoku w:val="0"/>
        <w:wordWrap/>
        <w:topLinePunct w:val="0"/>
        <w:autoSpaceDE/>
        <w:autoSpaceDN/>
        <w:bidi w:val="0"/>
        <w:adjustRightInd/>
        <w:snapToGrid/>
        <w:ind w:right="-105" w:rightChars="-50"/>
        <w:jc w:val="left"/>
        <w:textAlignment w:val="auto"/>
        <w:rPr>
          <w:rFonts w:ascii="Calibri" w:hAnsi="Calibri" w:eastAsia="Times New Roman" w:cs="Times New Roman"/>
          <w:kern w:val="0"/>
          <w:sz w:val="22"/>
          <w:szCs w:val="22"/>
          <w:lang w:val="en-GB" w:eastAsia="en-GB" w:bidi="ar-SA"/>
        </w:rPr>
      </w:pPr>
    </w:p>
    <w:p>
      <w:pPr>
        <w:keepNext w:val="0"/>
        <w:keepLines w:val="0"/>
        <w:pageBreakBefore w:val="0"/>
        <w:kinsoku w:val="0"/>
        <w:wordWrap/>
        <w:topLinePunct w:val="0"/>
        <w:autoSpaceDE/>
        <w:autoSpaceDN/>
        <w:bidi w:val="0"/>
        <w:adjustRightInd/>
        <w:snapToGrid/>
        <w:ind w:right="-105" w:rightChars="-50"/>
        <w:jc w:val="left"/>
        <w:textAlignment w:val="auto"/>
        <w:rPr>
          <w:rFonts w:hint="eastAsia" w:ascii="Calibri" w:hAnsi="Calibri" w:eastAsia="Times New Roman" w:cs="Times New Roman"/>
          <w:kern w:val="0"/>
          <w:sz w:val="22"/>
          <w:szCs w:val="22"/>
          <w:lang w:val="en-GB" w:eastAsia="en-GB" w:bidi="ar-SA"/>
        </w:rPr>
      </w:pPr>
      <w:bookmarkStart w:id="0" w:name="_Hlk137345780"/>
      <w:r>
        <w:rPr>
          <w:rFonts w:ascii="Calibri" w:hAnsi="Calibri" w:eastAsia="Times New Roman" w:cs="Times New Roman"/>
          <w:kern w:val="0"/>
          <w:sz w:val="22"/>
          <w:szCs w:val="22"/>
          <w:lang w:val="en-GB" w:eastAsia="en-GB" w:bidi="ar-SA"/>
        </w:rPr>
        <w:t>Supplementary Figure 2: Assessment of the methodological quality of the included studies</w:t>
      </w:r>
      <w:r>
        <w:rPr>
          <w:rFonts w:hint="eastAsia" w:ascii="Calibri" w:hAnsi="Calibri" w:eastAsia="Times New Roman" w:cs="Times New Roman"/>
          <w:kern w:val="0"/>
          <w:sz w:val="22"/>
          <w:szCs w:val="22"/>
          <w:lang w:val="en-GB" w:eastAsia="en-GB" w:bidi="ar-SA"/>
        </w:rPr>
        <w:t>.</w:t>
      </w:r>
    </w:p>
    <w:p>
      <w:pPr>
        <w:keepNext w:val="0"/>
        <w:keepLines w:val="0"/>
        <w:pageBreakBefore w:val="0"/>
        <w:kinsoku w:val="0"/>
        <w:wordWrap/>
        <w:topLinePunct w:val="0"/>
        <w:autoSpaceDE/>
        <w:autoSpaceDN/>
        <w:bidi w:val="0"/>
        <w:adjustRightInd/>
        <w:snapToGrid/>
        <w:spacing w:line="360" w:lineRule="auto"/>
        <w:ind w:left="-105" w:right="-105"/>
        <w:jc w:val="left"/>
        <w:textAlignment w:val="auto"/>
        <w:rPr>
          <w:rFonts w:ascii="Calibri" w:hAnsi="Calibri" w:eastAsia="Times New Roman" w:cs="Times New Roman"/>
          <w:kern w:val="0"/>
          <w:sz w:val="22"/>
          <w:szCs w:val="22"/>
          <w:lang w:val="en-GB" w:eastAsia="en-GB" w:bidi="ar-SA"/>
        </w:rPr>
      </w:pPr>
      <w:r>
        <w:rPr>
          <w:rFonts w:ascii="Calibri" w:hAnsi="Calibri" w:eastAsia="Times New Roman" w:cs="Times New Roman"/>
          <w:kern w:val="0"/>
          <w:sz w:val="22"/>
          <w:szCs w:val="22"/>
          <w:lang w:val="en-GB" w:eastAsia="en-GB" w:bidi="ar-SA"/>
        </w:rPr>
        <w:t xml:space="preserve"> Supplementary Figure 3: Assessment of the methodological quality of the included studies.</w:t>
      </w:r>
    </w:p>
    <w:bookmarkEnd w:id="0"/>
    <w:p>
      <w:pPr>
        <w:pStyle w:val="7"/>
        <w:keepNext w:val="0"/>
        <w:keepLines w:val="0"/>
        <w:pageBreakBefore w:val="0"/>
        <w:kinsoku w:val="0"/>
        <w:wordWrap/>
        <w:topLinePunct w:val="0"/>
        <w:autoSpaceDE/>
        <w:autoSpaceDN/>
        <w:bidi w:val="0"/>
        <w:adjustRightInd/>
        <w:snapToGrid/>
        <w:jc w:val="left"/>
        <w:textAlignment w:val="auto"/>
        <w:rPr>
          <w:rFonts w:ascii="Calibri" w:hAnsi="Calibri" w:eastAsia="Times New Roman" w:cs="Times New Roman"/>
          <w:kern w:val="0"/>
          <w:sz w:val="22"/>
          <w:szCs w:val="22"/>
          <w:lang w:val="en-GB" w:eastAsia="en-GB" w:bidi="ar-SA"/>
        </w:rPr>
      </w:pPr>
      <w:r>
        <w:rPr>
          <w:rFonts w:ascii="Calibri" w:hAnsi="Calibri" w:eastAsia="Times New Roman" w:cs="Times New Roman"/>
          <w:kern w:val="0"/>
          <w:sz w:val="22"/>
          <w:szCs w:val="22"/>
          <w:lang w:val="en-GB" w:eastAsia="en-GB" w:bidi="ar-SA"/>
        </w:rPr>
        <w:t>Supplementary Figure 4: Sensitivity analysi</w:t>
      </w:r>
      <w:r>
        <w:rPr>
          <w:rFonts w:hint="eastAsia" w:ascii="Calibri" w:hAnsi="Calibri" w:eastAsia="Times New Roman" w:cs="Times New Roman"/>
          <w:kern w:val="0"/>
          <w:sz w:val="22"/>
          <w:szCs w:val="22"/>
          <w:lang w:val="en-GB" w:eastAsia="en-GB" w:bidi="ar-SA"/>
        </w:rPr>
        <w:t xml:space="preserve">s for </w:t>
      </w:r>
      <w:r>
        <w:rPr>
          <w:rFonts w:ascii="Calibri" w:hAnsi="Calibri" w:eastAsia="Times New Roman" w:cs="Times New Roman"/>
          <w:kern w:val="0"/>
          <w:sz w:val="22"/>
          <w:szCs w:val="22"/>
          <w:lang w:val="en-GB" w:eastAsia="en-GB" w:bidi="ar-SA"/>
        </w:rPr>
        <w:t>th</w:t>
      </w:r>
      <w:r>
        <w:rPr>
          <w:rFonts w:hint="eastAsia" w:ascii="Calibri" w:hAnsi="Calibri" w:eastAsia="Times New Roman" w:cs="Times New Roman"/>
          <w:kern w:val="0"/>
          <w:sz w:val="22"/>
          <w:szCs w:val="22"/>
          <w:lang w:val="en-GB" w:eastAsia="en-GB" w:bidi="ar-SA"/>
        </w:rPr>
        <w:t>e</w:t>
      </w:r>
      <w:r>
        <w:rPr>
          <w:rFonts w:ascii="Calibri" w:hAnsi="Calibri" w:eastAsia="Times New Roman" w:cs="Times New Roman"/>
          <w:kern w:val="0"/>
          <w:sz w:val="22"/>
          <w:szCs w:val="22"/>
          <w:lang w:val="en-GB" w:eastAsia="en-GB" w:bidi="ar-SA"/>
        </w:rPr>
        <w:t xml:space="preserve"> of change in uric acid</w:t>
      </w:r>
      <w:r>
        <w:rPr>
          <w:rFonts w:hint="eastAsia" w:ascii="Calibri" w:hAnsi="Calibri" w:eastAsia="Times New Roman" w:cs="Times New Roman"/>
          <w:kern w:val="0"/>
          <w:sz w:val="22"/>
          <w:szCs w:val="22"/>
          <w:lang w:val="en-GB" w:eastAsia="en-GB" w:bidi="ar-SA"/>
        </w:rPr>
        <w:t>.</w:t>
      </w:r>
    </w:p>
    <w:p>
      <w:pPr>
        <w:pStyle w:val="8"/>
        <w:keepNext w:val="0"/>
        <w:keepLines w:val="0"/>
        <w:pageBreakBefore w:val="0"/>
        <w:kinsoku w:val="0"/>
        <w:wordWrap/>
        <w:topLinePunct w:val="0"/>
        <w:autoSpaceDE/>
        <w:autoSpaceDN/>
        <w:bidi w:val="0"/>
        <w:adjustRightInd/>
        <w:snapToGrid/>
        <w:jc w:val="left"/>
        <w:textAlignment w:val="auto"/>
        <w:rPr>
          <w:rFonts w:ascii="Calibri" w:hAnsi="Calibri" w:eastAsia="Times New Roman" w:cs="Times New Roman"/>
          <w:kern w:val="0"/>
          <w:sz w:val="22"/>
          <w:szCs w:val="22"/>
          <w:lang w:val="en-GB" w:eastAsia="en-GB" w:bidi="ar-SA"/>
        </w:rPr>
      </w:pPr>
      <w:r>
        <w:rPr>
          <w:rFonts w:ascii="Calibri" w:hAnsi="Calibri" w:eastAsia="Times New Roman" w:cs="Times New Roman"/>
          <w:kern w:val="0"/>
          <w:sz w:val="22"/>
          <w:szCs w:val="22"/>
          <w:lang w:val="en-GB" w:eastAsia="en-GB" w:bidi="ar-SA"/>
        </w:rPr>
        <w:t>Supplementary Figure 5: Sensitivity analysi</w:t>
      </w:r>
      <w:r>
        <w:rPr>
          <w:rFonts w:hint="eastAsia" w:ascii="Calibri" w:hAnsi="Calibri" w:eastAsia="Times New Roman" w:cs="Times New Roman"/>
          <w:kern w:val="0"/>
          <w:sz w:val="22"/>
          <w:szCs w:val="22"/>
          <w:lang w:val="en-GB" w:eastAsia="en-GB" w:bidi="ar-SA"/>
        </w:rPr>
        <w:t>s</w:t>
      </w:r>
      <w:r>
        <w:rPr>
          <w:rFonts w:ascii="Calibri" w:hAnsi="Calibri" w:eastAsia="Times New Roman" w:cs="Times New Roman"/>
          <w:kern w:val="0"/>
          <w:sz w:val="22"/>
          <w:szCs w:val="22"/>
          <w:lang w:val="en-GB" w:eastAsia="en-GB" w:bidi="ar-SA"/>
        </w:rPr>
        <w:t xml:space="preserve"> </w:t>
      </w:r>
      <w:r>
        <w:rPr>
          <w:rFonts w:ascii="Calibri" w:hAnsi="Calibri" w:eastAsia="Times New Roman" w:cs="Times New Roman"/>
          <w:kern w:val="0"/>
          <w:sz w:val="22"/>
          <w:szCs w:val="22"/>
          <w:lang w:val="en-GB" w:eastAsia="en-GB" w:bidi="ar-SA"/>
        </w:rPr>
        <w:t>was performed by eliminating studies one</w:t>
      </w:r>
      <w:r>
        <w:rPr>
          <w:rFonts w:ascii="Calibri" w:hAnsi="Calibri" w:eastAsia="Times New Roman" w:cs="Times New Roman"/>
          <w:kern w:val="0"/>
          <w:sz w:val="22"/>
          <w:szCs w:val="22"/>
          <w:lang w:val="en-GB" w:eastAsia="en-GB" w:bidi="ar-SA"/>
        </w:rPr>
        <w:t xml:space="preserve"> </w:t>
      </w:r>
      <w:r>
        <w:rPr>
          <w:rFonts w:ascii="Calibri" w:hAnsi="Calibri" w:eastAsia="Times New Roman" w:cs="Times New Roman"/>
          <w:kern w:val="0"/>
          <w:sz w:val="22"/>
          <w:szCs w:val="22"/>
          <w:lang w:val="en-GB" w:eastAsia="en-GB" w:bidi="ar-SA"/>
        </w:rPr>
        <w:t>by one</w:t>
      </w:r>
      <w:r>
        <w:rPr>
          <w:rFonts w:hint="eastAsia" w:ascii="Calibri" w:hAnsi="Calibri" w:eastAsia="Times New Roman" w:cs="Times New Roman"/>
          <w:kern w:val="0"/>
          <w:sz w:val="22"/>
          <w:szCs w:val="22"/>
          <w:lang w:val="en-GB" w:eastAsia="en-GB" w:bidi="ar-SA"/>
        </w:rPr>
        <w:t xml:space="preserve"> for </w:t>
      </w:r>
      <w:r>
        <w:rPr>
          <w:rFonts w:ascii="Calibri" w:hAnsi="Calibri" w:eastAsia="Times New Roman" w:cs="Times New Roman"/>
          <w:kern w:val="0"/>
          <w:sz w:val="22"/>
          <w:szCs w:val="22"/>
          <w:lang w:val="en-GB" w:eastAsia="en-GB" w:bidi="ar-SA"/>
        </w:rPr>
        <w:t>th</w:t>
      </w:r>
      <w:r>
        <w:rPr>
          <w:rFonts w:hint="eastAsia" w:ascii="Calibri" w:hAnsi="Calibri" w:eastAsia="Times New Roman" w:cs="Times New Roman"/>
          <w:kern w:val="0"/>
          <w:sz w:val="22"/>
          <w:szCs w:val="22"/>
          <w:lang w:val="en-GB" w:eastAsia="en-GB" w:bidi="ar-SA"/>
        </w:rPr>
        <w:t>e</w:t>
      </w:r>
      <w:r>
        <w:rPr>
          <w:rFonts w:ascii="Calibri" w:hAnsi="Calibri" w:eastAsia="Times New Roman" w:cs="Times New Roman"/>
          <w:kern w:val="0"/>
          <w:sz w:val="22"/>
          <w:szCs w:val="22"/>
          <w:lang w:val="en-GB" w:eastAsia="en-GB" w:bidi="ar-SA"/>
        </w:rPr>
        <w:t xml:space="preserve"> of change in </w:t>
      </w:r>
      <w:r>
        <w:rPr>
          <w:rFonts w:hint="eastAsia" w:ascii="Calibri" w:hAnsi="Calibri" w:eastAsia="Times New Roman" w:cs="Times New Roman"/>
          <w:kern w:val="0"/>
          <w:sz w:val="22"/>
          <w:szCs w:val="22"/>
          <w:lang w:val="en-GB" w:eastAsia="en-GB" w:bidi="ar-SA"/>
        </w:rPr>
        <w:t>estimated glomerular filtration rate</w:t>
      </w:r>
      <w:r>
        <w:rPr>
          <w:rFonts w:ascii="Calibri" w:hAnsi="Calibri" w:eastAsia="Times New Roman" w:cs="Times New Roman"/>
          <w:kern w:val="0"/>
          <w:sz w:val="22"/>
          <w:szCs w:val="22"/>
          <w:lang w:val="en-GB" w:eastAsia="en-GB" w:bidi="ar-SA"/>
        </w:rPr>
        <w:t xml:space="preserve"> (eGFR)</w:t>
      </w:r>
      <w:r>
        <w:rPr>
          <w:rFonts w:hint="eastAsia" w:ascii="Calibri" w:hAnsi="Calibri" w:eastAsia="Times New Roman" w:cs="Times New Roman"/>
          <w:kern w:val="0"/>
          <w:sz w:val="22"/>
          <w:szCs w:val="22"/>
          <w:lang w:val="en-GB" w:eastAsia="en-GB" w:bidi="ar-SA"/>
        </w:rPr>
        <w:t>.</w:t>
      </w:r>
    </w:p>
    <w:p>
      <w:pPr>
        <w:pStyle w:val="8"/>
        <w:keepNext w:val="0"/>
        <w:keepLines w:val="0"/>
        <w:pageBreakBefore w:val="0"/>
        <w:kinsoku w:val="0"/>
        <w:wordWrap/>
        <w:topLinePunct w:val="0"/>
        <w:autoSpaceDE/>
        <w:autoSpaceDN/>
        <w:bidi w:val="0"/>
        <w:adjustRightInd/>
        <w:snapToGrid/>
        <w:jc w:val="left"/>
        <w:textAlignment w:val="auto"/>
        <w:rPr>
          <w:rFonts w:ascii="Calibri" w:hAnsi="Calibri" w:eastAsia="Times New Roman" w:cs="Times New Roman"/>
          <w:kern w:val="0"/>
          <w:sz w:val="22"/>
          <w:szCs w:val="22"/>
          <w:lang w:val="en-GB" w:eastAsia="en-GB" w:bidi="ar-SA"/>
        </w:rPr>
      </w:pPr>
      <w:r>
        <w:rPr>
          <w:rFonts w:ascii="Calibri" w:hAnsi="Calibri" w:eastAsia="Times New Roman" w:cs="Times New Roman"/>
          <w:kern w:val="0"/>
          <w:sz w:val="22"/>
          <w:szCs w:val="22"/>
          <w:lang w:val="en-GB" w:eastAsia="en-GB" w:bidi="ar-SA"/>
        </w:rPr>
        <w:t xml:space="preserve">Supplementary Figure 6: </w:t>
      </w:r>
      <w:r>
        <w:rPr>
          <w:rFonts w:ascii="Calibri" w:hAnsi="Calibri" w:eastAsia="Times New Roman" w:cs="Times New Roman"/>
          <w:kern w:val="0"/>
          <w:sz w:val="22"/>
          <w:szCs w:val="22"/>
          <w:lang w:val="en-GB" w:eastAsia="en-GB" w:bidi="ar-SA"/>
        </w:rPr>
        <w:t>Sensitivity analysi</w:t>
      </w:r>
      <w:r>
        <w:rPr>
          <w:rFonts w:hint="eastAsia" w:ascii="Calibri" w:hAnsi="Calibri" w:eastAsia="Times New Roman" w:cs="Times New Roman"/>
          <w:kern w:val="0"/>
          <w:sz w:val="22"/>
          <w:szCs w:val="22"/>
          <w:lang w:val="en-GB" w:eastAsia="en-GB" w:bidi="ar-SA"/>
        </w:rPr>
        <w:t>s</w:t>
      </w:r>
      <w:r>
        <w:rPr>
          <w:rFonts w:ascii="Calibri" w:hAnsi="Calibri" w:eastAsia="Times New Roman" w:cs="Times New Roman"/>
          <w:kern w:val="0"/>
          <w:sz w:val="22"/>
          <w:szCs w:val="22"/>
          <w:lang w:val="en-GB" w:eastAsia="en-GB" w:bidi="ar-SA"/>
        </w:rPr>
        <w:t xml:space="preserve"> </w:t>
      </w:r>
      <w:r>
        <w:rPr>
          <w:rFonts w:ascii="Calibri" w:hAnsi="Calibri" w:eastAsia="Times New Roman" w:cs="Times New Roman"/>
          <w:kern w:val="0"/>
          <w:sz w:val="22"/>
          <w:szCs w:val="22"/>
          <w:lang w:val="en-GB" w:eastAsia="en-GB" w:bidi="ar-SA"/>
        </w:rPr>
        <w:t xml:space="preserve">was performed by only including high-quality RCTs </w:t>
      </w:r>
      <w:r>
        <w:rPr>
          <w:rFonts w:hint="eastAsia" w:ascii="Calibri" w:hAnsi="Calibri" w:eastAsia="Times New Roman" w:cs="Times New Roman"/>
          <w:kern w:val="0"/>
          <w:sz w:val="22"/>
          <w:szCs w:val="22"/>
          <w:lang w:val="en-GB" w:eastAsia="en-GB" w:bidi="ar-SA"/>
        </w:rPr>
        <w:t xml:space="preserve">for </w:t>
      </w:r>
      <w:r>
        <w:rPr>
          <w:rFonts w:ascii="Calibri" w:hAnsi="Calibri" w:eastAsia="Times New Roman" w:cs="Times New Roman"/>
          <w:kern w:val="0"/>
          <w:sz w:val="22"/>
          <w:szCs w:val="22"/>
          <w:lang w:val="en-GB" w:eastAsia="en-GB" w:bidi="ar-SA"/>
        </w:rPr>
        <w:t>th</w:t>
      </w:r>
      <w:r>
        <w:rPr>
          <w:rFonts w:hint="eastAsia" w:ascii="Calibri" w:hAnsi="Calibri" w:eastAsia="Times New Roman" w:cs="Times New Roman"/>
          <w:kern w:val="0"/>
          <w:sz w:val="22"/>
          <w:szCs w:val="22"/>
          <w:lang w:val="en-GB" w:eastAsia="en-GB" w:bidi="ar-SA"/>
        </w:rPr>
        <w:t>e</w:t>
      </w:r>
      <w:r>
        <w:rPr>
          <w:rFonts w:ascii="Calibri" w:hAnsi="Calibri" w:eastAsia="Times New Roman" w:cs="Times New Roman"/>
          <w:kern w:val="0"/>
          <w:sz w:val="22"/>
          <w:szCs w:val="22"/>
          <w:lang w:val="en-GB" w:eastAsia="en-GB" w:bidi="ar-SA"/>
        </w:rPr>
        <w:t xml:space="preserve"> of change in </w:t>
      </w:r>
      <w:r>
        <w:rPr>
          <w:rFonts w:hint="eastAsia" w:ascii="Calibri" w:hAnsi="Calibri" w:eastAsia="Times New Roman" w:cs="Times New Roman"/>
          <w:kern w:val="0"/>
          <w:sz w:val="22"/>
          <w:szCs w:val="22"/>
          <w:lang w:val="en-GB" w:eastAsia="en-GB" w:bidi="ar-SA"/>
        </w:rPr>
        <w:t>estimated glomerular filtration rate</w:t>
      </w:r>
      <w:r>
        <w:rPr>
          <w:rFonts w:ascii="Calibri" w:hAnsi="Calibri" w:eastAsia="Times New Roman" w:cs="Times New Roman"/>
          <w:kern w:val="0"/>
          <w:sz w:val="22"/>
          <w:szCs w:val="22"/>
          <w:lang w:val="en-GB" w:eastAsia="en-GB" w:bidi="ar-SA"/>
        </w:rPr>
        <w:t xml:space="preserve"> (eGFR)</w:t>
      </w:r>
      <w:r>
        <w:rPr>
          <w:rFonts w:hint="eastAsia" w:ascii="Calibri" w:hAnsi="Calibri" w:eastAsia="Times New Roman" w:cs="Times New Roman"/>
          <w:kern w:val="0"/>
          <w:sz w:val="22"/>
          <w:szCs w:val="22"/>
          <w:lang w:val="en-GB" w:eastAsia="en-GB" w:bidi="ar-SA"/>
        </w:rPr>
        <w:t>.</w:t>
      </w:r>
    </w:p>
    <w:p>
      <w:pPr>
        <w:keepNext w:val="0"/>
        <w:keepLines w:val="0"/>
        <w:pageBreakBefore w:val="0"/>
        <w:kinsoku w:val="0"/>
        <w:wordWrap/>
        <w:topLinePunct w:val="0"/>
        <w:autoSpaceDE/>
        <w:autoSpaceDN/>
        <w:bidi w:val="0"/>
        <w:adjustRightInd/>
        <w:snapToGrid/>
        <w:spacing w:line="360" w:lineRule="auto"/>
        <w:ind w:right="-105"/>
        <w:jc w:val="left"/>
        <w:textAlignment w:val="auto"/>
        <w:rPr>
          <w:rFonts w:ascii="Calibri" w:hAnsi="Calibri" w:eastAsia="Times New Roman" w:cs="Times New Roman"/>
          <w:kern w:val="0"/>
          <w:sz w:val="22"/>
          <w:szCs w:val="22"/>
          <w:lang w:val="en-GB" w:eastAsia="en-GB" w:bidi="ar-SA"/>
        </w:rPr>
      </w:pPr>
      <w:r>
        <w:rPr>
          <w:rFonts w:ascii="Calibri" w:hAnsi="Calibri" w:eastAsia="Times New Roman" w:cs="Times New Roman"/>
          <w:kern w:val="0"/>
          <w:sz w:val="22"/>
          <w:szCs w:val="22"/>
          <w:lang w:val="en-GB" w:eastAsia="en-GB" w:bidi="ar-SA"/>
        </w:rPr>
        <w:t>Supplementary Figure 7: Subgroup-analysis according to age for change in Serum creatinine (S</w:t>
      </w:r>
      <w:r>
        <w:rPr>
          <w:rFonts w:hint="eastAsia" w:ascii="Calibri" w:hAnsi="Calibri" w:eastAsia="Times New Roman" w:cs="Times New Roman"/>
          <w:kern w:val="0"/>
          <w:sz w:val="22"/>
          <w:szCs w:val="22"/>
          <w:lang w:val="en-GB" w:eastAsia="en-GB" w:bidi="ar-SA"/>
        </w:rPr>
        <w:t>cr</w:t>
      </w:r>
      <w:r>
        <w:rPr>
          <w:rFonts w:ascii="Calibri" w:hAnsi="Calibri" w:eastAsia="Times New Roman" w:cs="Times New Roman"/>
          <w:kern w:val="0"/>
          <w:sz w:val="22"/>
          <w:szCs w:val="22"/>
          <w:lang w:val="en-GB" w:eastAsia="en-GB" w:bidi="ar-SA"/>
        </w:rPr>
        <w:t>).</w:t>
      </w:r>
    </w:p>
    <w:p>
      <w:pPr>
        <w:keepNext w:val="0"/>
        <w:keepLines w:val="0"/>
        <w:pageBreakBefore w:val="0"/>
        <w:kinsoku w:val="0"/>
        <w:wordWrap/>
        <w:topLinePunct w:val="0"/>
        <w:autoSpaceDE/>
        <w:autoSpaceDN/>
        <w:bidi w:val="0"/>
        <w:adjustRightInd/>
        <w:snapToGrid/>
        <w:spacing w:line="360" w:lineRule="auto"/>
        <w:ind w:right="-105"/>
        <w:jc w:val="left"/>
        <w:textAlignment w:val="auto"/>
        <w:rPr>
          <w:rFonts w:hint="eastAsia" w:ascii="Calibri" w:hAnsi="Calibri" w:eastAsia="Times New Roman" w:cs="Times New Roman"/>
          <w:kern w:val="0"/>
          <w:sz w:val="22"/>
          <w:szCs w:val="22"/>
          <w:lang w:val="en-GB" w:eastAsia="en-GB" w:bidi="ar-SA"/>
        </w:rPr>
      </w:pPr>
      <w:r>
        <w:rPr>
          <w:rFonts w:ascii="Calibri" w:hAnsi="Calibri" w:eastAsia="Times New Roman" w:cs="Times New Roman"/>
          <w:kern w:val="0"/>
          <w:sz w:val="22"/>
          <w:szCs w:val="22"/>
          <w:lang w:val="en-GB" w:eastAsia="en-GB" w:bidi="ar-SA"/>
        </w:rPr>
        <w:t>Supplementary Figure 8: Sensitivity analysi</w:t>
      </w:r>
      <w:r>
        <w:rPr>
          <w:rFonts w:hint="eastAsia" w:ascii="Calibri" w:hAnsi="Calibri" w:eastAsia="Times New Roman" w:cs="Times New Roman"/>
          <w:kern w:val="0"/>
          <w:sz w:val="22"/>
          <w:szCs w:val="22"/>
          <w:lang w:val="en-GB" w:eastAsia="en-GB" w:bidi="ar-SA"/>
        </w:rPr>
        <w:t xml:space="preserve">s </w:t>
      </w:r>
      <w:r>
        <w:rPr>
          <w:rFonts w:ascii="Calibri" w:hAnsi="Calibri" w:eastAsia="Times New Roman" w:cs="Times New Roman"/>
          <w:kern w:val="0"/>
          <w:sz w:val="22"/>
          <w:szCs w:val="22"/>
          <w:lang w:val="en-GB" w:eastAsia="en-GB" w:bidi="ar-SA"/>
        </w:rPr>
        <w:t>was performed by eliminating studies one</w:t>
      </w:r>
      <w:r>
        <w:rPr>
          <w:rFonts w:hint="eastAsia" w:ascii="Calibri" w:hAnsi="Calibri" w:eastAsia="Times New Roman" w:cs="Times New Roman"/>
          <w:kern w:val="0"/>
          <w:sz w:val="22"/>
          <w:szCs w:val="22"/>
          <w:lang w:val="en-GB" w:eastAsia="en-GB" w:bidi="ar-SA"/>
        </w:rPr>
        <w:t xml:space="preserve"> </w:t>
      </w:r>
      <w:r>
        <w:rPr>
          <w:rFonts w:ascii="Calibri" w:hAnsi="Calibri" w:eastAsia="Times New Roman" w:cs="Times New Roman"/>
          <w:kern w:val="0"/>
          <w:sz w:val="22"/>
          <w:szCs w:val="22"/>
          <w:lang w:val="en-GB" w:eastAsia="en-GB" w:bidi="ar-SA"/>
        </w:rPr>
        <w:t xml:space="preserve">by one </w:t>
      </w:r>
      <w:r>
        <w:rPr>
          <w:rFonts w:hint="eastAsia" w:ascii="Calibri" w:hAnsi="Calibri" w:eastAsia="Times New Roman" w:cs="Times New Roman"/>
          <w:kern w:val="0"/>
          <w:sz w:val="22"/>
          <w:szCs w:val="22"/>
          <w:lang w:val="en-GB" w:eastAsia="en-GB" w:bidi="ar-SA"/>
        </w:rPr>
        <w:t xml:space="preserve">for </w:t>
      </w:r>
      <w:r>
        <w:rPr>
          <w:rFonts w:ascii="Calibri" w:hAnsi="Calibri" w:eastAsia="Times New Roman" w:cs="Times New Roman"/>
          <w:kern w:val="0"/>
          <w:sz w:val="22"/>
          <w:szCs w:val="22"/>
          <w:lang w:val="en-GB" w:eastAsia="en-GB" w:bidi="ar-SA"/>
        </w:rPr>
        <w:t>th</w:t>
      </w:r>
      <w:r>
        <w:rPr>
          <w:rFonts w:hint="eastAsia" w:ascii="Calibri" w:hAnsi="Calibri" w:eastAsia="Times New Roman" w:cs="Times New Roman"/>
          <w:kern w:val="0"/>
          <w:sz w:val="22"/>
          <w:szCs w:val="22"/>
          <w:lang w:val="en-GB" w:eastAsia="en-GB" w:bidi="ar-SA"/>
        </w:rPr>
        <w:t>e</w:t>
      </w:r>
      <w:r>
        <w:rPr>
          <w:rFonts w:ascii="Calibri" w:hAnsi="Calibri" w:eastAsia="Times New Roman" w:cs="Times New Roman"/>
          <w:kern w:val="0"/>
          <w:sz w:val="22"/>
          <w:szCs w:val="22"/>
          <w:lang w:val="en-GB" w:eastAsia="en-GB" w:bidi="ar-SA"/>
        </w:rPr>
        <w:t xml:space="preserve"> of change in Serum creatinine (S</w:t>
      </w:r>
      <w:r>
        <w:rPr>
          <w:rFonts w:hint="eastAsia" w:ascii="Calibri" w:hAnsi="Calibri" w:eastAsia="Times New Roman" w:cs="Times New Roman"/>
          <w:kern w:val="0"/>
          <w:sz w:val="22"/>
          <w:szCs w:val="22"/>
          <w:lang w:val="en-GB" w:eastAsia="en-GB" w:bidi="ar-SA"/>
        </w:rPr>
        <w:t>cr</w:t>
      </w:r>
      <w:r>
        <w:rPr>
          <w:rFonts w:ascii="Calibri" w:hAnsi="Calibri" w:eastAsia="Times New Roman" w:cs="Times New Roman"/>
          <w:kern w:val="0"/>
          <w:sz w:val="22"/>
          <w:szCs w:val="22"/>
          <w:lang w:val="en-GB" w:eastAsia="en-GB" w:bidi="ar-SA"/>
        </w:rPr>
        <w:t>).</w:t>
      </w:r>
    </w:p>
    <w:p>
      <w:pPr>
        <w:pStyle w:val="8"/>
        <w:keepNext w:val="0"/>
        <w:keepLines w:val="0"/>
        <w:pageBreakBefore w:val="0"/>
        <w:kinsoku w:val="0"/>
        <w:wordWrap/>
        <w:topLinePunct w:val="0"/>
        <w:autoSpaceDE/>
        <w:autoSpaceDN/>
        <w:bidi w:val="0"/>
        <w:adjustRightInd/>
        <w:snapToGrid/>
        <w:jc w:val="left"/>
        <w:textAlignment w:val="auto"/>
        <w:rPr>
          <w:rFonts w:ascii="Calibri" w:hAnsi="Calibri" w:eastAsia="Times New Roman" w:cs="Times New Roman"/>
          <w:kern w:val="0"/>
          <w:sz w:val="22"/>
          <w:szCs w:val="22"/>
          <w:lang w:val="en-GB" w:eastAsia="en-GB" w:bidi="ar-SA"/>
        </w:rPr>
      </w:pPr>
      <w:bookmarkStart w:id="2" w:name="_GoBack"/>
      <w:bookmarkEnd w:id="2"/>
      <w:r>
        <w:rPr>
          <w:rFonts w:ascii="Calibri" w:hAnsi="Calibri" w:eastAsia="Times New Roman" w:cs="Times New Roman"/>
          <w:kern w:val="0"/>
          <w:sz w:val="22"/>
          <w:szCs w:val="22"/>
          <w:lang w:val="en-GB" w:eastAsia="en-GB" w:bidi="ar-SA"/>
        </w:rPr>
        <w:t xml:space="preserve">Supplementary Figure 9: </w:t>
      </w:r>
      <w:r>
        <w:rPr>
          <w:rFonts w:ascii="Calibri" w:hAnsi="Calibri" w:eastAsia="Times New Roman" w:cs="Times New Roman"/>
          <w:kern w:val="0"/>
          <w:sz w:val="22"/>
          <w:szCs w:val="22"/>
          <w:lang w:val="en-GB" w:eastAsia="en-GB" w:bidi="ar-SA"/>
        </w:rPr>
        <w:t>Sensitivity analysi</w:t>
      </w:r>
      <w:r>
        <w:rPr>
          <w:rFonts w:hint="eastAsia" w:ascii="Calibri" w:hAnsi="Calibri" w:eastAsia="Times New Roman" w:cs="Times New Roman"/>
          <w:kern w:val="0"/>
          <w:sz w:val="22"/>
          <w:szCs w:val="22"/>
          <w:lang w:val="en-GB" w:eastAsia="en-GB" w:bidi="ar-SA"/>
        </w:rPr>
        <w:t>s</w:t>
      </w:r>
      <w:r>
        <w:rPr>
          <w:rFonts w:ascii="Calibri" w:hAnsi="Calibri" w:eastAsia="Times New Roman" w:cs="Times New Roman"/>
          <w:kern w:val="0"/>
          <w:sz w:val="22"/>
          <w:szCs w:val="22"/>
          <w:lang w:val="en-GB" w:eastAsia="en-GB" w:bidi="ar-SA"/>
        </w:rPr>
        <w:t xml:space="preserve"> </w:t>
      </w:r>
      <w:r>
        <w:rPr>
          <w:rFonts w:ascii="Calibri" w:hAnsi="Calibri" w:eastAsia="Times New Roman" w:cs="Times New Roman"/>
          <w:kern w:val="0"/>
          <w:sz w:val="22"/>
          <w:szCs w:val="22"/>
          <w:lang w:val="en-GB" w:eastAsia="en-GB" w:bidi="ar-SA"/>
        </w:rPr>
        <w:t xml:space="preserve">was performed by only including high-quality RCTs </w:t>
      </w:r>
      <w:r>
        <w:rPr>
          <w:rFonts w:hint="eastAsia" w:ascii="Calibri" w:hAnsi="Calibri" w:eastAsia="Times New Roman" w:cs="Times New Roman"/>
          <w:kern w:val="0"/>
          <w:sz w:val="22"/>
          <w:szCs w:val="22"/>
          <w:lang w:val="en-GB" w:eastAsia="en-GB" w:bidi="ar-SA"/>
        </w:rPr>
        <w:t xml:space="preserve">for </w:t>
      </w:r>
      <w:r>
        <w:rPr>
          <w:rFonts w:ascii="Calibri" w:hAnsi="Calibri" w:eastAsia="Times New Roman" w:cs="Times New Roman"/>
          <w:kern w:val="0"/>
          <w:sz w:val="22"/>
          <w:szCs w:val="22"/>
          <w:lang w:val="en-GB" w:eastAsia="en-GB" w:bidi="ar-SA"/>
        </w:rPr>
        <w:t>th</w:t>
      </w:r>
      <w:r>
        <w:rPr>
          <w:rFonts w:hint="eastAsia" w:ascii="Calibri" w:hAnsi="Calibri" w:eastAsia="Times New Roman" w:cs="Times New Roman"/>
          <w:kern w:val="0"/>
          <w:sz w:val="22"/>
          <w:szCs w:val="22"/>
          <w:lang w:val="en-GB" w:eastAsia="en-GB" w:bidi="ar-SA"/>
        </w:rPr>
        <w:t>e</w:t>
      </w:r>
      <w:r>
        <w:rPr>
          <w:rFonts w:ascii="Calibri" w:hAnsi="Calibri" w:eastAsia="Times New Roman" w:cs="Times New Roman"/>
          <w:kern w:val="0"/>
          <w:sz w:val="22"/>
          <w:szCs w:val="22"/>
          <w:lang w:val="en-GB" w:eastAsia="en-GB" w:bidi="ar-SA"/>
        </w:rPr>
        <w:t xml:space="preserve"> of change in </w:t>
      </w:r>
      <w:r>
        <w:rPr>
          <w:rFonts w:ascii="Calibri" w:hAnsi="Calibri" w:eastAsia="Times New Roman" w:cs="Times New Roman"/>
          <w:kern w:val="0"/>
          <w:sz w:val="22"/>
          <w:szCs w:val="22"/>
          <w:lang w:val="en-GB" w:eastAsia="en-GB" w:bidi="ar-SA"/>
        </w:rPr>
        <w:t>in Serum creatinine (S</w:t>
      </w:r>
      <w:r>
        <w:rPr>
          <w:rFonts w:hint="eastAsia" w:ascii="Calibri" w:hAnsi="Calibri" w:eastAsia="Times New Roman" w:cs="Times New Roman"/>
          <w:kern w:val="0"/>
          <w:sz w:val="22"/>
          <w:szCs w:val="22"/>
          <w:lang w:val="en-GB" w:eastAsia="en-GB" w:bidi="ar-SA"/>
        </w:rPr>
        <w:t>cr</w:t>
      </w:r>
      <w:r>
        <w:rPr>
          <w:rFonts w:ascii="Calibri" w:hAnsi="Calibri" w:eastAsia="Times New Roman" w:cs="Times New Roman"/>
          <w:kern w:val="0"/>
          <w:sz w:val="22"/>
          <w:szCs w:val="22"/>
          <w:lang w:val="en-GB" w:eastAsia="en-GB" w:bidi="ar-SA"/>
        </w:rPr>
        <w:t>).</w:t>
      </w:r>
    </w:p>
    <w:p>
      <w:pPr>
        <w:keepNext w:val="0"/>
        <w:keepLines w:val="0"/>
        <w:pageBreakBefore w:val="0"/>
        <w:kinsoku w:val="0"/>
        <w:wordWrap/>
        <w:topLinePunct w:val="0"/>
        <w:autoSpaceDE/>
        <w:autoSpaceDN/>
        <w:bidi w:val="0"/>
        <w:adjustRightInd/>
        <w:snapToGrid/>
        <w:spacing w:line="360" w:lineRule="auto"/>
        <w:ind w:left="-105" w:right="-105"/>
        <w:jc w:val="left"/>
        <w:textAlignment w:val="auto"/>
        <w:rPr>
          <w:rFonts w:ascii="Calibri" w:hAnsi="Calibri" w:eastAsia="Times New Roman" w:cs="Times New Roman"/>
          <w:kern w:val="0"/>
          <w:sz w:val="22"/>
          <w:szCs w:val="22"/>
          <w:lang w:val="en-GB" w:eastAsia="en-GB" w:bidi="ar-SA"/>
        </w:rPr>
      </w:pPr>
      <w:r>
        <w:rPr>
          <w:rFonts w:ascii="Calibri" w:hAnsi="Calibri" w:eastAsia="Times New Roman" w:cs="Times New Roman"/>
          <w:kern w:val="0"/>
          <w:sz w:val="22"/>
          <w:szCs w:val="22"/>
          <w:lang w:val="en-GB" w:eastAsia="en-GB" w:bidi="ar-SA"/>
        </w:rPr>
        <w:t xml:space="preserve">Supplementary Figure 10: </w:t>
      </w:r>
      <w:r>
        <w:rPr>
          <w:rFonts w:hint="eastAsia" w:ascii="Calibri" w:hAnsi="Calibri" w:eastAsia="Times New Roman" w:cs="Times New Roman"/>
          <w:kern w:val="0"/>
          <w:sz w:val="22"/>
          <w:szCs w:val="22"/>
          <w:lang w:val="en-GB" w:eastAsia="en-GB" w:bidi="ar-SA"/>
        </w:rPr>
        <w:t xml:space="preserve">Forest plot for the effect of </w:t>
      </w:r>
      <w:r>
        <w:rPr>
          <w:rFonts w:ascii="Calibri" w:hAnsi="Calibri" w:eastAsia="Times New Roman" w:cs="Times New Roman"/>
          <w:kern w:val="0"/>
          <w:sz w:val="22"/>
          <w:szCs w:val="22"/>
          <w:lang w:val="en-GB" w:eastAsia="en-GB" w:bidi="ar-SA"/>
        </w:rPr>
        <w:t xml:space="preserve">uric acid-lowering therapy (ULT) </w:t>
      </w:r>
      <w:r>
        <w:rPr>
          <w:rFonts w:hint="eastAsia" w:ascii="Calibri" w:hAnsi="Calibri" w:eastAsia="Times New Roman" w:cs="Times New Roman"/>
          <w:kern w:val="0"/>
          <w:sz w:val="22"/>
          <w:szCs w:val="22"/>
          <w:lang w:val="en-GB" w:eastAsia="en-GB" w:bidi="ar-SA"/>
        </w:rPr>
        <w:t xml:space="preserve">on the events of </w:t>
      </w:r>
      <w:r>
        <w:rPr>
          <w:rFonts w:ascii="Calibri" w:hAnsi="Calibri" w:eastAsia="Times New Roman" w:cs="Times New Roman"/>
          <w:kern w:val="0"/>
          <w:sz w:val="22"/>
          <w:szCs w:val="22"/>
          <w:lang w:val="en-GB" w:eastAsia="en-GB" w:bidi="ar-SA"/>
        </w:rPr>
        <w:t>Cardiovascular events.</w:t>
      </w:r>
    </w:p>
    <w:p>
      <w:pPr>
        <w:keepNext w:val="0"/>
        <w:keepLines w:val="0"/>
        <w:pageBreakBefore w:val="0"/>
        <w:kinsoku w:val="0"/>
        <w:wordWrap/>
        <w:topLinePunct w:val="0"/>
        <w:autoSpaceDE/>
        <w:autoSpaceDN/>
        <w:bidi w:val="0"/>
        <w:adjustRightInd/>
        <w:snapToGrid/>
        <w:spacing w:line="360" w:lineRule="auto"/>
        <w:ind w:right="-105"/>
        <w:jc w:val="left"/>
        <w:textAlignment w:val="auto"/>
        <w:rPr>
          <w:rFonts w:hint="eastAsia" w:ascii="Calibri" w:hAnsi="Calibri" w:eastAsia="Times New Roman" w:cs="Times New Roman"/>
          <w:kern w:val="0"/>
          <w:sz w:val="22"/>
          <w:szCs w:val="22"/>
          <w:lang w:val="en-GB" w:eastAsia="en-GB" w:bidi="ar-SA"/>
        </w:rPr>
      </w:pPr>
      <w:r>
        <w:rPr>
          <w:rFonts w:ascii="Calibri" w:hAnsi="Calibri" w:eastAsia="Times New Roman" w:cs="Times New Roman"/>
          <w:kern w:val="0"/>
          <w:sz w:val="22"/>
          <w:szCs w:val="22"/>
          <w:lang w:val="en-GB" w:eastAsia="en-GB" w:bidi="ar-SA"/>
        </w:rPr>
        <w:t xml:space="preserve">Supplementary Figure 11: Subgroup-analysis according to uric-acid lowing drug  on </w:t>
      </w:r>
      <w:r>
        <w:rPr>
          <w:rFonts w:hint="eastAsia" w:ascii="Calibri" w:hAnsi="Calibri" w:eastAsia="Times New Roman" w:cs="Times New Roman"/>
          <w:kern w:val="0"/>
          <w:sz w:val="22"/>
          <w:szCs w:val="22"/>
          <w:lang w:val="en-GB" w:eastAsia="en-GB" w:bidi="ar-SA"/>
        </w:rPr>
        <w:t xml:space="preserve">the events of </w:t>
      </w:r>
      <w:r>
        <w:rPr>
          <w:rFonts w:ascii="Calibri" w:hAnsi="Calibri" w:eastAsia="Times New Roman" w:cs="Times New Roman"/>
          <w:kern w:val="0"/>
          <w:sz w:val="22"/>
          <w:szCs w:val="22"/>
          <w:lang w:val="en-GB" w:eastAsia="en-GB" w:bidi="ar-SA"/>
        </w:rPr>
        <w:t>Cardiovascular events.</w:t>
      </w:r>
    </w:p>
    <w:p>
      <w:pPr>
        <w:pStyle w:val="8"/>
        <w:keepNext w:val="0"/>
        <w:keepLines w:val="0"/>
        <w:pageBreakBefore w:val="0"/>
        <w:kinsoku w:val="0"/>
        <w:wordWrap/>
        <w:topLinePunct w:val="0"/>
        <w:autoSpaceDE/>
        <w:autoSpaceDN/>
        <w:bidi w:val="0"/>
        <w:adjustRightInd/>
        <w:snapToGrid/>
        <w:jc w:val="left"/>
        <w:textAlignment w:val="auto"/>
        <w:rPr>
          <w:rFonts w:ascii="Calibri" w:hAnsi="Calibri" w:eastAsia="Times New Roman" w:cs="Times New Roman"/>
          <w:kern w:val="0"/>
          <w:sz w:val="22"/>
          <w:szCs w:val="22"/>
          <w:lang w:val="en-GB" w:eastAsia="en-GB" w:bidi="ar-SA"/>
        </w:rPr>
      </w:pPr>
      <w:r>
        <w:rPr>
          <w:rFonts w:ascii="Calibri" w:hAnsi="Calibri" w:eastAsia="Times New Roman" w:cs="Times New Roman"/>
          <w:kern w:val="0"/>
          <w:sz w:val="22"/>
          <w:szCs w:val="22"/>
          <w:lang w:val="en-GB" w:eastAsia="en-GB" w:bidi="ar-SA"/>
        </w:rPr>
        <w:t>Supplementary Figure 1</w:t>
      </w:r>
      <w:r>
        <w:rPr>
          <w:rFonts w:ascii="Calibri" w:hAnsi="Calibri" w:eastAsia="Times New Roman" w:cs="Times New Roman"/>
          <w:kern w:val="0"/>
          <w:sz w:val="22"/>
          <w:szCs w:val="22"/>
          <w:lang w:val="en-GB" w:eastAsia="en-GB" w:bidi="ar-SA"/>
        </w:rPr>
        <w:t>2: Sensitivity analysi</w:t>
      </w:r>
      <w:r>
        <w:rPr>
          <w:rFonts w:hint="eastAsia" w:ascii="Calibri" w:hAnsi="Calibri" w:eastAsia="Times New Roman" w:cs="Times New Roman"/>
          <w:kern w:val="0"/>
          <w:sz w:val="22"/>
          <w:szCs w:val="22"/>
          <w:lang w:val="en-GB" w:eastAsia="en-GB" w:bidi="ar-SA"/>
        </w:rPr>
        <w:t>s</w:t>
      </w:r>
      <w:r>
        <w:rPr>
          <w:rFonts w:ascii="Calibri" w:hAnsi="Calibri" w:eastAsia="Times New Roman" w:cs="Times New Roman"/>
          <w:kern w:val="0"/>
          <w:sz w:val="22"/>
          <w:szCs w:val="22"/>
          <w:lang w:val="en-GB" w:eastAsia="en-GB" w:bidi="ar-SA"/>
        </w:rPr>
        <w:t xml:space="preserve"> was performed by recalculating the pooled effect (inverse variance method) </w:t>
      </w:r>
      <w:r>
        <w:rPr>
          <w:rFonts w:hint="eastAsia" w:ascii="Calibri" w:hAnsi="Calibri" w:eastAsia="Times New Roman" w:cs="Times New Roman"/>
          <w:kern w:val="0"/>
          <w:sz w:val="22"/>
          <w:szCs w:val="22"/>
          <w:lang w:val="en-GB" w:eastAsia="en-GB" w:bidi="ar-SA"/>
        </w:rPr>
        <w:t xml:space="preserve">for </w:t>
      </w:r>
      <w:r>
        <w:rPr>
          <w:rFonts w:ascii="Calibri" w:hAnsi="Calibri" w:eastAsia="Times New Roman" w:cs="Times New Roman"/>
          <w:kern w:val="0"/>
          <w:sz w:val="22"/>
          <w:szCs w:val="22"/>
          <w:lang w:val="en-GB" w:eastAsia="en-GB" w:bidi="ar-SA"/>
        </w:rPr>
        <w:t>th</w:t>
      </w:r>
      <w:r>
        <w:rPr>
          <w:rFonts w:hint="eastAsia" w:ascii="Calibri" w:hAnsi="Calibri" w:eastAsia="Times New Roman" w:cs="Times New Roman"/>
          <w:kern w:val="0"/>
          <w:sz w:val="22"/>
          <w:szCs w:val="22"/>
          <w:lang w:val="en-GB" w:eastAsia="en-GB" w:bidi="ar-SA"/>
        </w:rPr>
        <w:t>e</w:t>
      </w:r>
      <w:r>
        <w:rPr>
          <w:rFonts w:ascii="Calibri" w:hAnsi="Calibri" w:eastAsia="Times New Roman" w:cs="Times New Roman"/>
          <w:kern w:val="0"/>
          <w:sz w:val="22"/>
          <w:szCs w:val="22"/>
          <w:lang w:val="en-GB" w:eastAsia="en-GB" w:bidi="ar-SA"/>
        </w:rPr>
        <w:t xml:space="preserve"> effect on Cardiovascular even</w:t>
      </w:r>
      <w:r>
        <w:rPr>
          <w:rFonts w:hint="eastAsia" w:ascii="Calibri" w:hAnsi="Calibri" w:eastAsia="Times New Roman" w:cs="Times New Roman"/>
          <w:kern w:val="0"/>
          <w:sz w:val="22"/>
          <w:szCs w:val="22"/>
          <w:lang w:val="en-GB" w:eastAsia="en-GB" w:bidi="ar-SA"/>
        </w:rPr>
        <w:t>t</w:t>
      </w:r>
      <w:r>
        <w:rPr>
          <w:rFonts w:ascii="Calibri" w:hAnsi="Calibri" w:eastAsia="Times New Roman" w:cs="Times New Roman"/>
          <w:kern w:val="0"/>
          <w:sz w:val="22"/>
          <w:szCs w:val="22"/>
          <w:lang w:val="en-GB" w:eastAsia="en-GB" w:bidi="ar-SA"/>
        </w:rPr>
        <w:t>s.Supplementary Figure 13: Forest plot for the effect of uric acid-lowering therapy (ULT) on the events of doubling of serum creatinine without the requirement of dialysis.</w:t>
      </w:r>
    </w:p>
    <w:p>
      <w:pPr>
        <w:keepNext w:val="0"/>
        <w:keepLines w:val="0"/>
        <w:pageBreakBefore w:val="0"/>
        <w:widowControl w:val="0"/>
        <w:kinsoku w:val="0"/>
        <w:wordWrap/>
        <w:overflowPunct w:val="0"/>
        <w:topLinePunct w:val="0"/>
        <w:autoSpaceDE/>
        <w:autoSpaceDN/>
        <w:bidi w:val="0"/>
        <w:adjustRightInd/>
        <w:snapToGrid/>
        <w:spacing w:line="360" w:lineRule="auto"/>
        <w:ind w:right="-108"/>
        <w:jc w:val="left"/>
        <w:textAlignment w:val="auto"/>
        <w:rPr>
          <w:rFonts w:ascii="Calibri" w:hAnsi="Calibri" w:eastAsia="Times New Roman" w:cs="Times New Roman"/>
          <w:kern w:val="0"/>
          <w:sz w:val="22"/>
          <w:szCs w:val="22"/>
          <w:lang w:val="en-GB" w:eastAsia="en-GB" w:bidi="ar-SA"/>
        </w:rPr>
      </w:pPr>
      <w:r>
        <w:rPr>
          <w:rFonts w:ascii="Calibri" w:hAnsi="Calibri" w:eastAsia="Times New Roman" w:cs="Times New Roman"/>
          <w:kern w:val="0"/>
          <w:sz w:val="22"/>
          <w:szCs w:val="22"/>
          <w:lang w:val="en-GB" w:eastAsia="en-GB" w:bidi="ar-SA"/>
        </w:rPr>
        <w:t>Supplementary Figure 14:</w:t>
      </w:r>
      <w:r>
        <w:rPr>
          <w:rFonts w:hint="eastAsia" w:ascii="Calibri" w:hAnsi="Calibri" w:eastAsia="Times New Roman" w:cs="Times New Roman"/>
          <w:kern w:val="0"/>
          <w:sz w:val="22"/>
          <w:szCs w:val="22"/>
          <w:lang w:val="en-GB" w:eastAsia="en-GB" w:bidi="ar-SA"/>
        </w:rPr>
        <w:t xml:space="preserve"> </w:t>
      </w:r>
      <w:r>
        <w:rPr>
          <w:rFonts w:hint="eastAsia" w:ascii="Calibri" w:hAnsi="Calibri" w:eastAsia="Times New Roman" w:cs="Times New Roman"/>
          <w:kern w:val="0"/>
          <w:sz w:val="22"/>
          <w:szCs w:val="22"/>
          <w:lang w:val="en-GB" w:eastAsia="en-GB" w:bidi="ar-SA"/>
        </w:rPr>
        <w:t xml:space="preserve">Forest plot for the effect of </w:t>
      </w:r>
      <w:r>
        <w:rPr>
          <w:rFonts w:ascii="Calibri" w:hAnsi="Calibri" w:eastAsia="Times New Roman" w:cs="Times New Roman"/>
          <w:kern w:val="0"/>
          <w:sz w:val="22"/>
          <w:szCs w:val="22"/>
          <w:lang w:val="en-GB" w:eastAsia="en-GB" w:bidi="ar-SA"/>
        </w:rPr>
        <w:t xml:space="preserve">uric acid-lowering therapy </w:t>
      </w:r>
      <w:r>
        <w:rPr>
          <w:rFonts w:hint="eastAsia" w:ascii="Calibri" w:hAnsi="Calibri" w:eastAsia="Times New Roman" w:cs="Times New Roman"/>
          <w:kern w:val="0"/>
          <w:sz w:val="22"/>
          <w:szCs w:val="22"/>
          <w:lang w:val="en-US" w:eastAsia="zh-CN" w:bidi="ar-SA"/>
        </w:rPr>
        <w:t xml:space="preserve">  </w:t>
      </w:r>
      <w:r>
        <w:rPr>
          <w:rFonts w:ascii="Calibri" w:hAnsi="Calibri" w:eastAsia="Times New Roman" w:cs="Times New Roman"/>
          <w:kern w:val="0"/>
          <w:sz w:val="22"/>
          <w:szCs w:val="22"/>
          <w:lang w:val="en-GB" w:eastAsia="en-GB" w:bidi="ar-SA"/>
        </w:rPr>
        <w:t>(ULT)</w:t>
      </w:r>
      <w:r>
        <w:rPr>
          <w:rFonts w:hint="eastAsia" w:ascii="Calibri" w:hAnsi="Calibri" w:eastAsia="Times New Roman" w:cs="Times New Roman"/>
          <w:kern w:val="0"/>
          <w:sz w:val="22"/>
          <w:szCs w:val="22"/>
          <w:lang w:val="en-GB" w:eastAsia="en-GB" w:bidi="ar-SA"/>
        </w:rPr>
        <w:t xml:space="preserve"> on </w:t>
      </w:r>
      <w:bookmarkStart w:id="1" w:name="_Hlk137344428"/>
      <w:r>
        <w:rPr>
          <w:rFonts w:hint="eastAsia" w:ascii="Calibri" w:hAnsi="Calibri" w:eastAsia="Times New Roman" w:cs="Times New Roman"/>
          <w:kern w:val="0"/>
          <w:sz w:val="22"/>
          <w:szCs w:val="22"/>
          <w:lang w:val="en-GB" w:eastAsia="en-GB" w:bidi="ar-SA"/>
        </w:rPr>
        <w:t>the events of progression to end-stage kidney disease</w:t>
      </w:r>
      <w:r>
        <w:rPr>
          <w:rFonts w:ascii="Calibri" w:hAnsi="Calibri" w:eastAsia="Times New Roman" w:cs="Times New Roman"/>
          <w:kern w:val="0"/>
          <w:sz w:val="22"/>
          <w:szCs w:val="22"/>
          <w:lang w:val="en-GB" w:eastAsia="en-GB" w:bidi="ar-SA"/>
        </w:rPr>
        <w:t xml:space="preserve"> (</w:t>
      </w:r>
      <w:r>
        <w:rPr>
          <w:rFonts w:ascii="Calibri" w:hAnsi="Calibri" w:eastAsia="Times New Roman" w:cs="Times New Roman"/>
          <w:kern w:val="0"/>
          <w:sz w:val="22"/>
          <w:szCs w:val="22"/>
          <w:lang w:val="en-GB" w:eastAsia="en-GB" w:bidi="ar-SA"/>
        </w:rPr>
        <w:t>ESKD) or requiring</w:t>
      </w:r>
      <w:r>
        <w:rPr>
          <w:rFonts w:hint="eastAsia" w:ascii="Calibri" w:hAnsi="Calibri" w:eastAsia="Times New Roman" w:cs="Times New Roman"/>
          <w:kern w:val="0"/>
          <w:sz w:val="22"/>
          <w:szCs w:val="22"/>
          <w:lang w:val="en-US" w:eastAsia="zh-CN" w:bidi="ar-SA"/>
        </w:rPr>
        <w:t xml:space="preserve"> </w:t>
      </w:r>
      <w:r>
        <w:rPr>
          <w:rFonts w:ascii="Calibri" w:hAnsi="Calibri" w:eastAsia="Times New Roman" w:cs="Times New Roman"/>
          <w:kern w:val="0"/>
          <w:sz w:val="22"/>
          <w:szCs w:val="22"/>
          <w:lang w:val="en-GB" w:eastAsia="en-GB" w:bidi="ar-SA"/>
        </w:rPr>
        <w:t>dialysis.</w:t>
      </w:r>
      <w:bookmarkEnd w:id="1"/>
    </w:p>
    <w:p>
      <w:pPr>
        <w:keepNext w:val="0"/>
        <w:keepLines w:val="0"/>
        <w:pageBreakBefore w:val="0"/>
        <w:kinsoku w:val="0"/>
        <w:wordWrap/>
        <w:topLinePunct w:val="0"/>
        <w:autoSpaceDE/>
        <w:autoSpaceDN/>
        <w:bidi w:val="0"/>
        <w:adjustRightInd/>
        <w:snapToGrid/>
        <w:spacing w:line="360" w:lineRule="auto"/>
        <w:ind w:right="-105"/>
        <w:jc w:val="left"/>
        <w:textAlignment w:val="auto"/>
        <w:rPr>
          <w:rFonts w:ascii="Calibri" w:hAnsi="Calibri" w:eastAsia="Times New Roman" w:cs="Times New Roman"/>
          <w:kern w:val="0"/>
          <w:sz w:val="22"/>
          <w:szCs w:val="22"/>
          <w:lang w:val="en-GB" w:eastAsia="en-GB" w:bidi="ar-SA"/>
        </w:rPr>
      </w:pPr>
      <w:r>
        <w:rPr>
          <w:rFonts w:ascii="Calibri" w:hAnsi="Calibri" w:eastAsia="Times New Roman" w:cs="Times New Roman"/>
          <w:kern w:val="0"/>
          <w:sz w:val="22"/>
          <w:szCs w:val="22"/>
          <w:lang w:val="en-GB" w:eastAsia="en-GB" w:bidi="ar-SA"/>
        </w:rPr>
        <w:t>Supplementary Figure 15:</w:t>
      </w:r>
      <w:r>
        <w:rPr>
          <w:rFonts w:hint="eastAsia" w:ascii="Calibri" w:hAnsi="Calibri" w:eastAsia="Times New Roman" w:cs="Times New Roman"/>
          <w:kern w:val="0"/>
          <w:sz w:val="22"/>
          <w:szCs w:val="22"/>
          <w:lang w:val="en-GB" w:eastAsia="en-GB" w:bidi="ar-SA"/>
        </w:rPr>
        <w:t xml:space="preserve"> Forest plot for the effect of </w:t>
      </w:r>
      <w:r>
        <w:rPr>
          <w:rFonts w:ascii="Calibri" w:hAnsi="Calibri" w:eastAsia="Times New Roman" w:cs="Times New Roman"/>
          <w:kern w:val="0"/>
          <w:sz w:val="22"/>
          <w:szCs w:val="22"/>
          <w:lang w:val="en-GB" w:eastAsia="en-GB" w:bidi="ar-SA"/>
        </w:rPr>
        <w:t>uric acid-lowering therapy (ULT)</w:t>
      </w:r>
      <w:r>
        <w:rPr>
          <w:rFonts w:hint="eastAsia" w:ascii="Calibri" w:hAnsi="Calibri" w:eastAsia="Times New Roman" w:cs="Times New Roman"/>
          <w:kern w:val="0"/>
          <w:sz w:val="22"/>
          <w:szCs w:val="22"/>
          <w:lang w:val="en-GB" w:eastAsia="en-GB" w:bidi="ar-SA"/>
        </w:rPr>
        <w:t xml:space="preserve"> on the events of </w:t>
      </w:r>
      <w:r>
        <w:rPr>
          <w:rFonts w:ascii="Calibri" w:hAnsi="Calibri" w:eastAsia="Times New Roman" w:cs="Times New Roman"/>
          <w:kern w:val="0"/>
          <w:sz w:val="22"/>
          <w:szCs w:val="22"/>
          <w:lang w:val="en-GB" w:eastAsia="en-GB" w:bidi="ar-SA"/>
        </w:rPr>
        <w:t>acute kidney injury (AKI).</w:t>
      </w:r>
    </w:p>
    <w:p>
      <w:pPr>
        <w:keepNext w:val="0"/>
        <w:keepLines w:val="0"/>
        <w:pageBreakBefore w:val="0"/>
        <w:kinsoku w:val="0"/>
        <w:wordWrap/>
        <w:topLinePunct w:val="0"/>
        <w:autoSpaceDE/>
        <w:autoSpaceDN/>
        <w:bidi w:val="0"/>
        <w:adjustRightInd/>
        <w:snapToGrid/>
        <w:spacing w:line="360" w:lineRule="auto"/>
        <w:ind w:right="-105"/>
        <w:jc w:val="left"/>
        <w:textAlignment w:val="auto"/>
        <w:rPr>
          <w:rFonts w:ascii="Calibri" w:hAnsi="Calibri" w:eastAsia="Times New Roman" w:cs="Times New Roman"/>
          <w:kern w:val="0"/>
          <w:sz w:val="22"/>
          <w:szCs w:val="22"/>
          <w:lang w:val="en-GB" w:eastAsia="en-GB" w:bidi="ar-SA"/>
        </w:rPr>
      </w:pPr>
      <w:r>
        <w:rPr>
          <w:rFonts w:ascii="Calibri" w:hAnsi="Calibri" w:eastAsia="Times New Roman" w:cs="Times New Roman"/>
          <w:kern w:val="0"/>
          <w:sz w:val="22"/>
          <w:szCs w:val="22"/>
          <w:lang w:val="en-GB" w:eastAsia="en-GB" w:bidi="ar-SA"/>
        </w:rPr>
        <w:t>Supplementary Figure 16:</w:t>
      </w:r>
      <w:r>
        <w:rPr>
          <w:rFonts w:ascii="Calibri" w:hAnsi="Calibri" w:eastAsia="Times New Roman" w:cs="Times New Roman"/>
          <w:kern w:val="0"/>
          <w:sz w:val="22"/>
          <w:szCs w:val="22"/>
          <w:lang w:val="en-GB" w:eastAsia="en-GB" w:bidi="ar-SA"/>
        </w:rPr>
        <w:t xml:space="preserve"> </w:t>
      </w:r>
      <w:r>
        <w:rPr>
          <w:rFonts w:hint="eastAsia" w:ascii="Calibri" w:hAnsi="Calibri" w:eastAsia="Times New Roman" w:cs="Times New Roman"/>
          <w:kern w:val="0"/>
          <w:sz w:val="22"/>
          <w:szCs w:val="22"/>
          <w:lang w:val="en-GB" w:eastAsia="en-GB" w:bidi="ar-SA"/>
        </w:rPr>
        <w:t xml:space="preserve">Forest plot for the effect of </w:t>
      </w:r>
      <w:r>
        <w:rPr>
          <w:rFonts w:ascii="Calibri" w:hAnsi="Calibri" w:eastAsia="Times New Roman" w:cs="Times New Roman"/>
          <w:kern w:val="0"/>
          <w:sz w:val="22"/>
          <w:szCs w:val="22"/>
          <w:lang w:val="en-GB" w:eastAsia="en-GB" w:bidi="ar-SA"/>
        </w:rPr>
        <w:t>uric acid-lowering therapy (ULT)</w:t>
      </w:r>
      <w:r>
        <w:rPr>
          <w:rFonts w:hint="eastAsia" w:ascii="Calibri" w:hAnsi="Calibri" w:eastAsia="Times New Roman" w:cs="Times New Roman"/>
          <w:kern w:val="0"/>
          <w:sz w:val="22"/>
          <w:szCs w:val="22"/>
          <w:lang w:val="en-GB" w:eastAsia="en-GB" w:bidi="ar-SA"/>
        </w:rPr>
        <w:t xml:space="preserve"> on the events of </w:t>
      </w:r>
      <w:r>
        <w:rPr>
          <w:rFonts w:ascii="Calibri" w:hAnsi="Calibri" w:eastAsia="Times New Roman" w:cs="Times New Roman"/>
          <w:kern w:val="0"/>
          <w:sz w:val="22"/>
          <w:szCs w:val="22"/>
          <w:lang w:val="en-GB" w:eastAsia="en-GB" w:bidi="ar-SA"/>
        </w:rPr>
        <w:t>All-cause mortality</w:t>
      </w:r>
    </w:p>
    <w:p>
      <w:pPr>
        <w:keepNext w:val="0"/>
        <w:keepLines w:val="0"/>
        <w:pageBreakBefore w:val="0"/>
        <w:kinsoku w:val="0"/>
        <w:wordWrap/>
        <w:topLinePunct w:val="0"/>
        <w:autoSpaceDE/>
        <w:autoSpaceDN/>
        <w:bidi w:val="0"/>
        <w:adjustRightInd/>
        <w:snapToGrid/>
        <w:jc w:val="left"/>
        <w:textAlignment w:val="auto"/>
        <w:rPr>
          <w:rFonts w:ascii="Calibri" w:hAnsi="Calibri" w:eastAsia="Times New Roman" w:cs="Times New Roman"/>
          <w:kern w:val="0"/>
          <w:sz w:val="22"/>
          <w:szCs w:val="22"/>
          <w:lang w:val="en-GB" w:eastAsia="en-GB" w:bidi="ar-SA"/>
        </w:rPr>
      </w:pPr>
    </w:p>
    <w:p>
      <w:pPr>
        <w:keepNext w:val="0"/>
        <w:keepLines w:val="0"/>
        <w:pageBreakBefore w:val="0"/>
        <w:kinsoku w:val="0"/>
        <w:wordWrap/>
        <w:topLinePunct w:val="0"/>
        <w:autoSpaceDE/>
        <w:autoSpaceDN/>
        <w:bidi w:val="0"/>
        <w:adjustRightInd/>
        <w:snapToGrid/>
        <w:jc w:val="left"/>
        <w:textAlignment w:val="auto"/>
        <w:rPr>
          <w:rFonts w:hint="eastAsia" w:ascii="Calibri" w:hAnsi="Calibri" w:eastAsia="Times New Roman" w:cs="Times New Roman"/>
          <w:kern w:val="0"/>
          <w:sz w:val="22"/>
          <w:szCs w:val="22"/>
          <w:lang w:val="en-GB" w:eastAsia="en-GB"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1"/>
  <w:bordersDoNotSurroundFooter w:val="1"/>
  <w:documentProtection w:enforcement="0"/>
  <w:defaultTabStop w:val="420"/>
  <w:displayHorizontalDrawingGridEvery w:val="0"/>
  <w:displayVerticalDrawingGridEvery w:val="2"/>
  <w:characterSpacingControl w:val="doNotCompress"/>
  <w:compat>
    <w:balanceSingleByteDoubleByteWidth/>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U2YTQ2MWQ2MjE0ODkzNDNmM2E5NDkxYTA3ODBhMGYifQ=="/>
  </w:docVars>
  <w:rsids>
    <w:rsidRoot w:val="0008596C"/>
    <w:rsid w:val="00075CCA"/>
    <w:rsid w:val="0008596C"/>
    <w:rsid w:val="001F78E2"/>
    <w:rsid w:val="003617AB"/>
    <w:rsid w:val="003B2C39"/>
    <w:rsid w:val="004E072A"/>
    <w:rsid w:val="007246B9"/>
    <w:rsid w:val="00791505"/>
    <w:rsid w:val="009B0169"/>
    <w:rsid w:val="00A13E41"/>
    <w:rsid w:val="00A82817"/>
    <w:rsid w:val="00BE5FB6"/>
    <w:rsid w:val="00D175CC"/>
    <w:rsid w:val="00E25024"/>
    <w:rsid w:val="00EF0344"/>
    <w:rsid w:val="158C16D3"/>
    <w:rsid w:val="1E8E096D"/>
    <w:rsid w:val="27CE7DB8"/>
    <w:rsid w:val="35E52AF5"/>
    <w:rsid w:val="45301ADC"/>
    <w:rsid w:val="47794E4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3">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Calibri" w:hAnsi="Calibri" w:eastAsia="宋体" w:cs="Times New Roman"/>
      <w:kern w:val="0"/>
      <w:sz w:val="24"/>
      <w:szCs w:val="24"/>
    </w:rPr>
  </w:style>
  <w:style w:type="table" w:styleId="4">
    <w:name w:val="Table Grid"/>
    <w:basedOn w:val="3"/>
    <w:qFormat/>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EndNote Bibliography"/>
    <w:basedOn w:val="1"/>
    <w:qFormat/>
    <w:uiPriority w:val="0"/>
    <w:pPr>
      <w:widowControl/>
      <w:jc w:val="left"/>
    </w:pPr>
    <w:rPr>
      <w:rFonts w:ascii="Calibri" w:hAnsi="Calibri" w:eastAsia="宋体" w:cs="Calibri"/>
      <w:sz w:val="20"/>
      <w:szCs w:val="20"/>
    </w:rPr>
  </w:style>
  <w:style w:type="paragraph" w:customStyle="1" w:styleId="7">
    <w:name w:val="正文4"/>
    <w:basedOn w:val="1"/>
    <w:qFormat/>
    <w:uiPriority w:val="0"/>
    <w:pPr>
      <w:widowControl/>
    </w:pPr>
    <w:rPr>
      <w:rFonts w:ascii="Times New Roman" w:hAnsi="Times New Roman" w:eastAsia="宋体" w:cs="Times New Roman"/>
      <w:szCs w:val="21"/>
    </w:rPr>
  </w:style>
  <w:style w:type="paragraph" w:customStyle="1" w:styleId="8">
    <w:name w:val="Normal"/>
    <w:qFormat/>
    <w:uiPriority w:val="0"/>
    <w:pPr>
      <w:jc w:val="both"/>
    </w:pPr>
    <w:rPr>
      <w:rFonts w:ascii="等线" w:hAnsi="等线" w:eastAsia="宋体" w:cs="宋体"/>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3.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76f521b-5f47-487e-8753-25d11eb370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档" ma:contentTypeID="0x010100EDFD6CECD934534E9804FC309B67C00F" ma:contentTypeVersion="1" ma:contentTypeDescription="新建文档。" ma:contentTypeScope="" ma:versionID="f80d0a8a368eb879e2c499209af4ab97">
  <xsd:schema xmlns:xsd="http://www.w3.org/2001/XMLSchema" xmlns:xs="http://www.w3.org/2001/XMLSchema" xmlns:p="http://schemas.microsoft.com/office/2006/metadata/properties" xmlns:ns3="c76f521b-5f47-487e-8753-25d11eb3706e" targetNamespace="http://schemas.microsoft.com/office/2006/metadata/properties" ma:root="true" ma:fieldsID="f78bb3c0446ff3d87be70e0370dec9f4" ns3:_="">
    <xsd:import namespace="c76f521b-5f47-487e-8753-25d11eb3706e"/>
    <xsd:element name="properties">
      <xsd:complexType>
        <xsd:sequence>
          <xsd:element name="documentManagement">
            <xsd:complexType>
              <xsd:all>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6f521b-5f47-487e-8753-25d11eb3706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85ABC7-8CAA-4A1B-9581-750EF92ACCB7}">
  <ds:schemaRefs/>
</ds:datastoreItem>
</file>

<file path=customXml/itemProps2.xml><?xml version="1.0" encoding="utf-8"?>
<ds:datastoreItem xmlns:ds="http://schemas.openxmlformats.org/officeDocument/2006/customXml" ds:itemID="{CBF3EEAA-1682-4A6D-9B8D-28842E4AB8E1}">
  <ds:schemaRefs/>
</ds:datastoreItem>
</file>

<file path=customXml/itemProps3.xml><?xml version="1.0" encoding="utf-8"?>
<ds:datastoreItem xmlns:ds="http://schemas.openxmlformats.org/officeDocument/2006/customXml" ds:itemID="{7EE24EA8-F7A7-4394-9509-823D2398E62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715</Words>
  <Characters>4027</Characters>
  <Lines>28</Lines>
  <Paragraphs>8</Paragraphs>
  <TotalTime>3</TotalTime>
  <ScaleCrop>false</ScaleCrop>
  <LinksUpToDate>false</LinksUpToDate>
  <CharactersWithSpaces>4663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2023-06-10T17:50:00Z</dcterms:created>
  <dc:creator>罗愉鑫</dc:creator>
  <cp:lastModifiedBy>鑫。</cp:lastModifiedBy>
  <dcterms:modified xsi:type="dcterms:W3CDTF">2023-09-05T13:22:51Z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0x010100EDFD6CECD934534E9804FC309B67C00F</vt:lpwstr>
  </property>
  <property fmtid="{D5CDD505-2E9C-101B-9397-08002B2CF9AE}" pid="3" name="KSOProductBuildVer">
    <vt:lpwstr>2052-11.1.0.14309</vt:lpwstr>
  </property>
  <property fmtid="{D5CDD505-2E9C-101B-9397-08002B2CF9AE}" pid="4" name="ICV">
    <vt:lpwstr>7F9C8953E9D8498DBC4FD7B0572BD264_13</vt:lpwstr>
  </property>
</Properties>
</file>