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860" w:rsidRPr="00535B2B" w:rsidRDefault="00F05860" w:rsidP="00F05860">
      <w:pPr>
        <w:jc w:val="both"/>
        <w:rPr>
          <w:rFonts w:ascii="Times New Roman" w:hAnsi="Times New Roman" w:cs="Times New Roman"/>
          <w:b/>
          <w:bCs/>
          <w:sz w:val="20"/>
        </w:rPr>
      </w:pPr>
      <w:r w:rsidRPr="00535B2B">
        <w:rPr>
          <w:rFonts w:ascii="Times New Roman" w:hAnsi="Times New Roman" w:cs="Times New Roman"/>
          <w:b/>
          <w:bCs/>
          <w:sz w:val="20"/>
        </w:rPr>
        <w:t>Supplementary Material:</w:t>
      </w:r>
    </w:p>
    <w:p w:rsidR="00F05860" w:rsidRPr="00B81B37" w:rsidRDefault="00F05860" w:rsidP="00F05860">
      <w:pPr>
        <w:jc w:val="both"/>
        <w:rPr>
          <w:rFonts w:ascii="Times New Roman" w:hAnsi="Times New Roman" w:cs="Times New Roman"/>
          <w:sz w:val="20"/>
        </w:rPr>
      </w:pPr>
      <w:r w:rsidRPr="006E4ECC">
        <w:rPr>
          <w:rFonts w:ascii="Times New Roman" w:hAnsi="Times New Roman" w:cs="Times New Roman"/>
          <w:sz w:val="20"/>
          <w:u w:val="single"/>
        </w:rPr>
        <w:t>Supplementary Figure 1:</w:t>
      </w:r>
      <w:r>
        <w:rPr>
          <w:rFonts w:ascii="Times New Roman" w:hAnsi="Times New Roman" w:cs="Times New Roman"/>
          <w:sz w:val="20"/>
          <w:u w:val="single"/>
        </w:rPr>
        <w:t xml:space="preserve"> </w:t>
      </w:r>
      <w:proofErr w:type="spellStart"/>
      <w:r>
        <w:rPr>
          <w:rFonts w:ascii="Times New Roman" w:hAnsi="Times New Roman" w:cs="Times New Roman"/>
          <w:sz w:val="20"/>
        </w:rPr>
        <w:t>Disconnectome</w:t>
      </w:r>
      <w:proofErr w:type="spellEnd"/>
      <w:r>
        <w:rPr>
          <w:rFonts w:ascii="Times New Roman" w:hAnsi="Times New Roman" w:cs="Times New Roman"/>
          <w:sz w:val="20"/>
        </w:rPr>
        <w:t xml:space="preserve"> associated with gesture production (</w:t>
      </w:r>
      <w:proofErr w:type="spellStart"/>
      <w:r>
        <w:rPr>
          <w:rFonts w:ascii="Times New Roman" w:hAnsi="Times New Roman" w:cs="Times New Roman"/>
          <w:sz w:val="20"/>
        </w:rPr>
        <w:t>thresholded</w:t>
      </w:r>
      <w:proofErr w:type="spellEnd"/>
      <w:r>
        <w:rPr>
          <w:rFonts w:ascii="Times New Roman" w:hAnsi="Times New Roman" w:cs="Times New Roman"/>
          <w:sz w:val="20"/>
        </w:rPr>
        <w:t xml:space="preserve"> at P&lt;0.1, min p=0.073), identifying fornix (WM pathway to hippocampus) in gesture production deficit. If confirmed in a larger patient cohort, this finding would support the suggestion of a deficits in retrieving gestures ‘from memory’ </w:t>
      </w:r>
      <w:r>
        <w:rPr>
          <w:rFonts w:ascii="Times New Roman" w:hAnsi="Times New Roman" w:cs="Times New Roman"/>
          <w:sz w:val="20"/>
        </w:rPr>
        <w:fldChar w:fldCharType="begin"/>
      </w:r>
      <w:r>
        <w:rPr>
          <w:rFonts w:ascii="Times New Roman" w:hAnsi="Times New Roman" w:cs="Times New Roman"/>
          <w:sz w:val="20"/>
        </w:rPr>
        <w:instrText xml:space="preserve"> ADDIN ZOTERO_ITEM CSL_CITATION {"citationID":"kLseGBN7","properties":{"formattedCitation":"(Cubelli et al., 2000)","plainCitation":"(Cubelli et al., 2000)","noteIndex":0},"citationItems":[{"id":"5S7JIA9O/Hbn0YvZR","uris":["http://zotero.org/users/5053862/items/RCTQWP54"],"itemData":{"id":131,"type":"article-journal","abstract":"Assessment of limb apraxia is still suffering from Liepmann's legacy and performance in gesture-processing tests is generally rendered by classifying patients' profile according to the classic clinical labels of ideomotor and ideational apraxia. At odds with other cognitive functions, interpretation of apraxia has suffered from a lack of a reliable model which does justice to its complexity. Recently such a model has been proposed (Rothi et al., 1991, 1997). In this article a modified version of this model is presented and predictions are made according to its functional architecture. Five different patterns of impairment of gesture processing are postulated. To validate the predicted performance profiles, 19 left-hemisphere-damaged patients were assessed by means of an ad hoc battery of four praxis tests. Four of the five predicted apraxia patterns were observed, the fifth being more equivocal. These results support the need to overcome the simplistic dichotomous view of apraxia and confirm the fruitfulness of a model of normal gesture processing in order to understand dissociations in apraxia.","container-title":"Brain and Cognition","DOI":"10.1006/brcg.2000.1226","ISSN":"0278-2626","issue":"2","journalAbbreviation":"Brain Cogn","language":"eng","note":"PMID: 11041987","page":"144-165","source":"PubMed","title":"Cognition in action: testing a model of limb apraxia","title-short":"Cognition in action","volume":"44","author":[{"family":"Cubelli","given":"R."},{"family":"Marchetti","given":"C."},{"family":"Boscolo","given":"G."},{"family":"Della Sala","given":"S."}],"issued":{"date-parts":[["2000",11]]}}}],"schema":"https://github.com/citation-style-language/schema/raw/master/csl-citation.json"} </w:instrText>
      </w:r>
      <w:r>
        <w:rPr>
          <w:rFonts w:ascii="Times New Roman" w:hAnsi="Times New Roman" w:cs="Times New Roman"/>
          <w:sz w:val="20"/>
        </w:rPr>
        <w:fldChar w:fldCharType="separate"/>
      </w:r>
      <w:r w:rsidRPr="00AE4DAE">
        <w:rPr>
          <w:rFonts w:ascii="Times New Roman" w:hAnsi="Times New Roman" w:cs="Times New Roman"/>
          <w:sz w:val="20"/>
        </w:rPr>
        <w:t>(</w:t>
      </w:r>
      <w:proofErr w:type="spellStart"/>
      <w:r w:rsidRPr="00AE4DAE">
        <w:rPr>
          <w:rFonts w:ascii="Times New Roman" w:hAnsi="Times New Roman" w:cs="Times New Roman"/>
          <w:sz w:val="20"/>
        </w:rPr>
        <w:t>Cubelli</w:t>
      </w:r>
      <w:proofErr w:type="spellEnd"/>
      <w:r w:rsidRPr="00AE4DAE">
        <w:rPr>
          <w:rFonts w:ascii="Times New Roman" w:hAnsi="Times New Roman" w:cs="Times New Roman"/>
          <w:sz w:val="20"/>
        </w:rPr>
        <w:t xml:space="preserve"> et al., 2000)</w:t>
      </w:r>
      <w:r>
        <w:rPr>
          <w:rFonts w:ascii="Times New Roman" w:hAnsi="Times New Roman" w:cs="Times New Roman"/>
          <w:sz w:val="20"/>
        </w:rPr>
        <w:fldChar w:fldCharType="end"/>
      </w:r>
      <w:r>
        <w:rPr>
          <w:rFonts w:ascii="Times New Roman" w:hAnsi="Times New Roman" w:cs="Times New Roman"/>
          <w:sz w:val="20"/>
        </w:rPr>
        <w:t>.</w:t>
      </w:r>
    </w:p>
    <w:p w:rsidR="00F05860" w:rsidRPr="006E4ECC" w:rsidRDefault="00F05860" w:rsidP="00F05860">
      <w:pPr>
        <w:jc w:val="both"/>
        <w:rPr>
          <w:rFonts w:ascii="Times New Roman" w:hAnsi="Times New Roman" w:cs="Times New Roman"/>
          <w:sz w:val="20"/>
          <w:u w:val="single"/>
        </w:rPr>
      </w:pPr>
      <w:r>
        <w:rPr>
          <w:rFonts w:ascii="Times New Roman" w:hAnsi="Times New Roman" w:cs="Times New Roman"/>
          <w:noProof/>
          <w:sz w:val="20"/>
          <w:u w:val="single"/>
          <w:lang w:eastAsia="en-GB"/>
        </w:rPr>
        <w:drawing>
          <wp:inline distT="0" distB="0" distL="0" distR="0" wp14:anchorId="40B5FE3F" wp14:editId="20E799A5">
            <wp:extent cx="5731510" cy="3917950"/>
            <wp:effectExtent l="0" t="0" r="254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Figure1_MFDisconnectom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917950"/>
                    </a:xfrm>
                    <a:prstGeom prst="rect">
                      <a:avLst/>
                    </a:prstGeom>
                  </pic:spPr>
                </pic:pic>
              </a:graphicData>
            </a:graphic>
          </wp:inline>
        </w:drawing>
      </w:r>
    </w:p>
    <w:p w:rsidR="00163090" w:rsidRDefault="00163090">
      <w:bookmarkStart w:id="0" w:name="_GoBack"/>
      <w:bookmarkEnd w:id="0"/>
    </w:p>
    <w:sectPr w:rsidR="001630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860"/>
    <w:rsid w:val="00163090"/>
    <w:rsid w:val="00F058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C3F20D-FB80-4520-89A7-115FA989B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58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362</Words>
  <Characters>2069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 Rounis</dc:creator>
  <cp:keywords/>
  <dc:description/>
  <cp:lastModifiedBy>Elisabeth Rounis</cp:lastModifiedBy>
  <cp:revision>1</cp:revision>
  <dcterms:created xsi:type="dcterms:W3CDTF">2023-10-27T11:07:00Z</dcterms:created>
  <dcterms:modified xsi:type="dcterms:W3CDTF">2023-10-27T11:07:00Z</dcterms:modified>
</cp:coreProperties>
</file>