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Times New Roman" w:hAnsi="Times New Roman"/>
          <w:b/>
          <w:bCs/>
          <w:color w:val="000000"/>
          <w:kern w:val="0"/>
          <w:sz w:val="24"/>
        </w:rPr>
      </w:pPr>
      <w:r>
        <w:rPr>
          <w:rFonts w:ascii="Times New Roman" w:hAnsi="Times New Roman"/>
          <w:b/>
          <w:bCs/>
          <w:color w:val="000000"/>
          <w:kern w:val="0"/>
          <w:sz w:val="24"/>
        </w:rPr>
        <w:t>S</w:t>
      </w:r>
      <w:r>
        <w:rPr>
          <w:rFonts w:hint="eastAsia" w:ascii="Times New Roman" w:hAnsi="Times New Roman"/>
          <w:b/>
          <w:bCs/>
          <w:color w:val="000000"/>
          <w:kern w:val="0"/>
          <w:sz w:val="24"/>
        </w:rPr>
        <w:t>upplemental data</w:t>
      </w:r>
    </w:p>
    <w:p>
      <w:pPr>
        <w:spacing w:line="360" w:lineRule="auto"/>
        <w:rPr>
          <w:rFonts w:hint="eastAsia" w:ascii="Times New Roman" w:hAnsi="Times New Roman" w:cs="Times New Roman"/>
          <w:b/>
          <w:bCs/>
          <w:color w:val="000000"/>
          <w:kern w:val="0"/>
          <w:sz w:val="24"/>
        </w:rPr>
      </w:pPr>
      <w:r>
        <w:drawing>
          <wp:inline distT="0" distB="0" distL="114300" distR="114300">
            <wp:extent cx="3368040" cy="1127760"/>
            <wp:effectExtent l="0" t="0" r="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4"/>
                    <a:stretch>
                      <a:fillRect/>
                    </a:stretch>
                  </pic:blipFill>
                  <pic:spPr>
                    <a:xfrm>
                      <a:off x="0" y="0"/>
                      <a:ext cx="3368040" cy="1127760"/>
                    </a:xfrm>
                    <a:prstGeom prst="rect">
                      <a:avLst/>
                    </a:prstGeom>
                    <a:noFill/>
                    <a:ln>
                      <a:noFill/>
                    </a:ln>
                  </pic:spPr>
                </pic:pic>
              </a:graphicData>
            </a:graphic>
          </wp:inline>
        </w:drawing>
      </w:r>
    </w:p>
    <w:p>
      <w:pPr>
        <w:spacing w:line="360" w:lineRule="auto"/>
        <w:rPr>
          <w:rFonts w:hint="eastAsia" w:ascii="Times New Roman" w:hAnsi="Times New Roman" w:cs="Times New Roman"/>
          <w:b/>
          <w:bCs/>
          <w:color w:val="000000"/>
          <w:kern w:val="0"/>
          <w:sz w:val="24"/>
        </w:rPr>
      </w:pPr>
      <w:r>
        <w:rPr>
          <w:rFonts w:hint="eastAsia" w:ascii="Times New Roman" w:hAnsi="Times New Roman" w:cs="Times New Roman"/>
          <w:b/>
          <w:bCs/>
          <w:color w:val="000000"/>
          <w:kern w:val="0"/>
          <w:sz w:val="24"/>
        </w:rPr>
        <w:t>Supplemental Figure 1.Schematic diagram of the CRISPR/Cas9 vector.</w:t>
      </w:r>
    </w:p>
    <w:p>
      <w:pPr>
        <w:spacing w:line="360" w:lineRule="auto"/>
        <w:rPr>
          <w:rFonts w:hint="eastAsia" w:ascii="Times New Roman" w:hAnsi="Times New Roman" w:cs="Times New Roman"/>
          <w:b/>
          <w:bCs/>
          <w:color w:val="000000"/>
          <w:kern w:val="0"/>
          <w:sz w:val="24"/>
        </w:rPr>
      </w:pPr>
      <w:r>
        <w:rPr>
          <w:rFonts w:hint="eastAsia" w:ascii="Times New Roman" w:hAnsi="Times New Roman" w:cs="Times New Roman"/>
          <w:b w:val="0"/>
          <w:bCs w:val="0"/>
          <w:color w:val="000000"/>
          <w:kern w:val="0"/>
          <w:sz w:val="24"/>
        </w:rPr>
        <w:t xml:space="preserve">Four target sequences fused with sgRNA scaffolds were driven by respective </w:t>
      </w:r>
      <w:r>
        <w:rPr>
          <w:rFonts w:hint="eastAsia" w:ascii="Times New Roman" w:hAnsi="Times New Roman" w:cs="Times New Roman"/>
          <w:b w:val="0"/>
          <w:bCs w:val="0"/>
          <w:i/>
          <w:iCs/>
          <w:color w:val="000000"/>
          <w:kern w:val="0"/>
          <w:sz w:val="24"/>
        </w:rPr>
        <w:t>U3</w:t>
      </w:r>
      <w:r>
        <w:rPr>
          <w:rFonts w:hint="eastAsia" w:ascii="Times New Roman" w:hAnsi="Times New Roman" w:cs="Times New Roman"/>
          <w:b w:val="0"/>
          <w:bCs w:val="0"/>
          <w:color w:val="000000"/>
          <w:kern w:val="0"/>
          <w:sz w:val="24"/>
        </w:rPr>
        <w:t xml:space="preserve"> or </w:t>
      </w:r>
      <w:r>
        <w:rPr>
          <w:rFonts w:hint="eastAsia" w:ascii="Times New Roman" w:hAnsi="Times New Roman" w:cs="Times New Roman"/>
          <w:b w:val="0"/>
          <w:bCs w:val="0"/>
          <w:i/>
          <w:iCs/>
          <w:color w:val="000000"/>
          <w:kern w:val="0"/>
          <w:sz w:val="24"/>
        </w:rPr>
        <w:t>U6</w:t>
      </w:r>
      <w:r>
        <w:rPr>
          <w:rFonts w:hint="eastAsia" w:ascii="Times New Roman" w:hAnsi="Times New Roman" w:cs="Times New Roman"/>
          <w:b w:val="0"/>
          <w:bCs w:val="0"/>
          <w:color w:val="000000"/>
          <w:kern w:val="0"/>
          <w:sz w:val="24"/>
        </w:rPr>
        <w:t xml:space="preserve"> promoters. The three sgRNA expression cassettes were sequentially inserted into the binary vector </w:t>
      </w:r>
      <w:r>
        <w:rPr>
          <w:rFonts w:hint="eastAsia" w:ascii="Times New Roman" w:hAnsi="Times New Roman" w:cs="Times New Roman"/>
          <w:b w:val="0"/>
          <w:bCs w:val="0"/>
          <w:i/>
          <w:iCs/>
          <w:color w:val="000000"/>
          <w:kern w:val="0"/>
          <w:sz w:val="24"/>
        </w:rPr>
        <w:t>pYLCRISPR/Cas9P</w:t>
      </w:r>
      <w:r>
        <w:rPr>
          <w:rFonts w:hint="eastAsia" w:ascii="Times New Roman" w:hAnsi="Times New Roman" w:cs="Times New Roman"/>
          <w:b w:val="0"/>
          <w:bCs w:val="0"/>
          <w:i/>
          <w:iCs/>
          <w:color w:val="000000"/>
          <w:kern w:val="0"/>
          <w:sz w:val="24"/>
          <w:vertAlign w:val="subscript"/>
        </w:rPr>
        <w:t>ubi</w:t>
      </w:r>
      <w:r>
        <w:rPr>
          <w:rFonts w:hint="eastAsia" w:ascii="Times New Roman" w:hAnsi="Times New Roman" w:cs="Times New Roman"/>
          <w:b w:val="0"/>
          <w:bCs w:val="0"/>
          <w:i/>
          <w:iCs/>
          <w:color w:val="000000"/>
          <w:kern w:val="0"/>
          <w:sz w:val="24"/>
        </w:rPr>
        <w:t>-H</w:t>
      </w:r>
      <w:r>
        <w:rPr>
          <w:rFonts w:hint="eastAsia" w:ascii="Times New Roman" w:hAnsi="Times New Roman" w:cs="Times New Roman"/>
          <w:b w:val="0"/>
          <w:bCs w:val="0"/>
          <w:color w:val="000000"/>
          <w:kern w:val="0"/>
          <w:sz w:val="24"/>
        </w:rPr>
        <w:t>. Red boxes indicate three target sequences and green boxes indicate sgRNA scaffolds. HPT, hygromycin phosphotransferase gene.</w:t>
      </w:r>
    </w:p>
    <w:p>
      <w:pPr>
        <w:spacing w:line="360" w:lineRule="auto"/>
        <w:rPr>
          <w:rFonts w:hint="eastAsia" w:ascii="Times New Roman" w:hAnsi="Times New Roman" w:eastAsia="宋体" w:cs="Times New Roman"/>
          <w:b/>
          <w:bCs/>
          <w:color w:val="000000"/>
          <w:kern w:val="0"/>
          <w:sz w:val="24"/>
          <w:lang w:eastAsia="zh-CN"/>
        </w:rPr>
      </w:pPr>
      <w:r>
        <w:drawing>
          <wp:inline distT="0" distB="0" distL="114300" distR="114300">
            <wp:extent cx="3924300" cy="1333500"/>
            <wp:effectExtent l="0" t="0" r="0" b="762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5"/>
                    <a:stretch>
                      <a:fillRect/>
                    </a:stretch>
                  </pic:blipFill>
                  <pic:spPr>
                    <a:xfrm>
                      <a:off x="0" y="0"/>
                      <a:ext cx="3924300" cy="1333500"/>
                    </a:xfrm>
                    <a:prstGeom prst="rect">
                      <a:avLst/>
                    </a:prstGeom>
                    <a:noFill/>
                    <a:ln>
                      <a:noFill/>
                    </a:ln>
                  </pic:spPr>
                </pic:pic>
              </a:graphicData>
            </a:graphic>
          </wp:inline>
        </w:drawing>
      </w:r>
    </w:p>
    <w:p>
      <w:pPr>
        <w:spacing w:line="360" w:lineRule="auto"/>
        <w:rPr>
          <w:rFonts w:hint="eastAsia" w:ascii="Times New Roman" w:hAnsi="Times New Roman" w:cs="Times New Roman"/>
          <w:b/>
          <w:bCs/>
          <w:color w:val="000000"/>
          <w:kern w:val="0"/>
          <w:sz w:val="24"/>
        </w:rPr>
      </w:pPr>
      <w:r>
        <w:rPr>
          <w:rFonts w:hint="eastAsia" w:ascii="Times New Roman" w:hAnsi="Times New Roman" w:cs="Times New Roman"/>
          <w:b/>
          <w:bCs/>
          <w:color w:val="000000"/>
          <w:kern w:val="0"/>
          <w:sz w:val="24"/>
        </w:rPr>
        <w:t>Supplemental Figure 2. Identification of transgenic plants in T</w:t>
      </w:r>
      <w:r>
        <w:rPr>
          <w:rFonts w:hint="eastAsia" w:ascii="Times New Roman" w:hAnsi="Times New Roman" w:cs="Times New Roman"/>
          <w:b/>
          <w:bCs/>
          <w:color w:val="000000"/>
          <w:kern w:val="0"/>
          <w:sz w:val="24"/>
          <w:vertAlign w:val="subscript"/>
        </w:rPr>
        <w:t>0</w:t>
      </w:r>
      <w:r>
        <w:rPr>
          <w:rFonts w:hint="eastAsia" w:ascii="Times New Roman" w:hAnsi="Times New Roman" w:cs="Times New Roman"/>
          <w:b/>
          <w:bCs/>
          <w:color w:val="000000"/>
          <w:kern w:val="0"/>
          <w:sz w:val="24"/>
        </w:rPr>
        <w:t xml:space="preserve"> generation.</w:t>
      </w:r>
    </w:p>
    <w:p>
      <w:pPr>
        <w:spacing w:line="360" w:lineRule="auto"/>
        <w:rPr>
          <w:rFonts w:hint="eastAsia" w:ascii="Times New Roman" w:hAnsi="Times New Roman" w:cs="Times New Roman"/>
          <w:b/>
          <w:bCs/>
          <w:color w:val="000000"/>
          <w:kern w:val="0"/>
          <w:sz w:val="24"/>
        </w:rPr>
      </w:pPr>
      <w:r>
        <w:rPr>
          <w:rFonts w:hint="eastAsia" w:ascii="Times New Roman" w:hAnsi="Times New Roman" w:cs="Times New Roman"/>
          <w:b w:val="0"/>
          <w:bCs w:val="0"/>
          <w:color w:val="000000"/>
          <w:kern w:val="0"/>
          <w:sz w:val="24"/>
        </w:rPr>
        <w:t>M indicates DL2000 DNA Ladder Mix; Line 1-13 are transgenic plants; Line 14 is water used as a negative control; Line 15 is WT SJ2.</w:t>
      </w:r>
    </w:p>
    <w:p>
      <w:pPr>
        <w:rPr>
          <w:rFonts w:hint="eastAsia" w:ascii="Times New Roman" w:hAnsi="Times New Roman" w:cs="Times New Roman"/>
          <w:b/>
          <w:bCs/>
          <w:color w:val="000000"/>
          <w:kern w:val="0"/>
          <w:sz w:val="24"/>
        </w:rPr>
      </w:pPr>
    </w:p>
    <w:p>
      <w:pPr>
        <w:rPr>
          <w:rFonts w:hint="eastAsia" w:ascii="Times New Roman" w:hAnsi="Times New Roman" w:cs="Times New Roman"/>
          <w:b/>
          <w:bCs/>
          <w:color w:val="000000"/>
          <w:kern w:val="0"/>
          <w:sz w:val="24"/>
        </w:rPr>
      </w:pPr>
    </w:p>
    <w:p>
      <w:pPr>
        <w:rPr>
          <w:rFonts w:hint="eastAsia" w:ascii="Times New Roman" w:hAnsi="Times New Roman" w:cs="Times New Roman"/>
          <w:b/>
          <w:bCs/>
          <w:color w:val="000000"/>
          <w:kern w:val="0"/>
          <w:sz w:val="24"/>
        </w:rPr>
      </w:pPr>
    </w:p>
    <w:p>
      <w:pPr>
        <w:spacing w:line="360" w:lineRule="auto"/>
        <w:rPr>
          <w:rFonts w:hint="eastAsia" w:ascii="Times New Roman" w:hAnsi="Times New Roman" w:cs="Times New Roman"/>
          <w:b/>
          <w:bCs/>
          <w:color w:val="000000"/>
          <w:kern w:val="0"/>
          <w:sz w:val="24"/>
        </w:rPr>
      </w:pPr>
      <w:r>
        <w:drawing>
          <wp:inline distT="0" distB="0" distL="114300" distR="114300">
            <wp:extent cx="6530340" cy="3985260"/>
            <wp:effectExtent l="0" t="0" r="0" b="7620"/>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6"/>
                    <a:stretch>
                      <a:fillRect/>
                    </a:stretch>
                  </pic:blipFill>
                  <pic:spPr>
                    <a:xfrm>
                      <a:off x="0" y="0"/>
                      <a:ext cx="6530340" cy="3985260"/>
                    </a:xfrm>
                    <a:prstGeom prst="rect">
                      <a:avLst/>
                    </a:prstGeom>
                    <a:noFill/>
                    <a:ln>
                      <a:noFill/>
                    </a:ln>
                  </pic:spPr>
                </pic:pic>
              </a:graphicData>
            </a:graphic>
          </wp:inline>
        </w:drawing>
      </w:r>
    </w:p>
    <w:p>
      <w:pPr>
        <w:spacing w:line="360" w:lineRule="auto"/>
        <w:rPr>
          <w:rFonts w:hint="eastAsia" w:ascii="Times New Roman" w:hAnsi="Times New Roman" w:cs="Times New Roman"/>
          <w:b/>
          <w:bCs/>
          <w:color w:val="000000"/>
          <w:kern w:val="0"/>
          <w:sz w:val="24"/>
        </w:rPr>
      </w:pPr>
      <w:r>
        <w:rPr>
          <w:rFonts w:hint="eastAsia" w:ascii="Times New Roman" w:hAnsi="Times New Roman" w:cs="Times New Roman"/>
          <w:b/>
          <w:bCs/>
          <w:color w:val="000000"/>
          <w:kern w:val="0"/>
          <w:sz w:val="24"/>
        </w:rPr>
        <w:t xml:space="preserve">Supplemental Figure 3. Sequencing chromatograms of six homozygous mutants of </w:t>
      </w:r>
      <w:r>
        <w:rPr>
          <w:rFonts w:hint="eastAsia" w:ascii="Times New Roman" w:hAnsi="Times New Roman" w:cs="Times New Roman"/>
          <w:b/>
          <w:bCs/>
          <w:i/>
          <w:iCs/>
          <w:color w:val="000000"/>
          <w:kern w:val="0"/>
          <w:sz w:val="24"/>
        </w:rPr>
        <w:t>rft pro-1</w:t>
      </w:r>
      <w:r>
        <w:rPr>
          <w:rFonts w:hint="eastAsia" w:ascii="Times New Roman" w:hAnsi="Times New Roman" w:cs="Times New Roman"/>
          <w:b/>
          <w:bCs/>
          <w:color w:val="000000"/>
          <w:kern w:val="0"/>
          <w:sz w:val="24"/>
        </w:rPr>
        <w:t xml:space="preserve"> to</w:t>
      </w:r>
      <w:r>
        <w:rPr>
          <w:rFonts w:hint="eastAsia" w:ascii="Times New Roman" w:hAnsi="Times New Roman" w:cs="Times New Roman"/>
          <w:b/>
          <w:bCs/>
          <w:color w:val="000000"/>
          <w:kern w:val="0"/>
          <w:sz w:val="24"/>
          <w:lang w:val="en-US" w:eastAsia="zh-CN"/>
        </w:rPr>
        <w:t xml:space="preserve"> </w:t>
      </w:r>
      <w:r>
        <w:rPr>
          <w:rFonts w:hint="eastAsia" w:ascii="Times New Roman" w:hAnsi="Times New Roman" w:cs="Times New Roman"/>
          <w:b/>
          <w:bCs/>
          <w:i/>
          <w:iCs/>
          <w:color w:val="000000"/>
          <w:kern w:val="0"/>
          <w:sz w:val="24"/>
        </w:rPr>
        <w:t xml:space="preserve">rft pro-6 </w:t>
      </w:r>
      <w:r>
        <w:rPr>
          <w:rFonts w:hint="eastAsia" w:ascii="Times New Roman" w:hAnsi="Times New Roman" w:cs="Times New Roman"/>
          <w:b/>
          <w:bCs/>
          <w:color w:val="000000"/>
          <w:kern w:val="0"/>
          <w:sz w:val="24"/>
        </w:rPr>
        <w:t xml:space="preserve">obtained by CRISPR/Cas9 editing.  </w:t>
      </w:r>
    </w:p>
    <w:p>
      <w:pPr>
        <w:spacing w:line="360" w:lineRule="auto"/>
        <w:rPr>
          <w:rFonts w:hint="eastAsia" w:ascii="Times New Roman" w:hAnsi="Times New Roman" w:cs="Times New Roman"/>
          <w:b/>
          <w:bCs/>
          <w:color w:val="000000"/>
          <w:kern w:val="0"/>
          <w:sz w:val="24"/>
        </w:rPr>
      </w:pPr>
      <w:r>
        <w:rPr>
          <w:rFonts w:hint="eastAsia" w:ascii="Times New Roman" w:hAnsi="Times New Roman" w:cs="Times New Roman"/>
          <w:b w:val="0"/>
          <w:bCs w:val="0"/>
          <w:color w:val="000000"/>
          <w:kern w:val="0"/>
          <w:sz w:val="24"/>
        </w:rPr>
        <w:t>The sequence (yellow) is shown with the sgRNA target site and the protospacer-adjacent motif shown in red. The nucleotide changes are labeled in  different shapes. Triangle and arrow denotes deletion or insertion as indicated. Square means substitution.</w:t>
      </w:r>
    </w:p>
    <w:p>
      <w:pPr>
        <w:spacing w:line="360" w:lineRule="auto"/>
        <w:rPr>
          <w:rFonts w:hint="eastAsia" w:ascii="Times New Roman" w:hAnsi="Times New Roman" w:cs="Times New Roman"/>
          <w:b/>
          <w:bCs/>
          <w:color w:val="000000"/>
          <w:kern w:val="0"/>
          <w:sz w:val="24"/>
        </w:rPr>
      </w:pPr>
    </w:p>
    <w:p>
      <w:pPr>
        <w:spacing w:line="360" w:lineRule="auto"/>
        <w:rPr>
          <w:rFonts w:ascii="Times New Roman" w:hAnsi="Times New Roman" w:cs="Times New Roman"/>
          <w:b/>
          <w:bCs/>
          <w:color w:val="000000"/>
          <w:kern w:val="0"/>
          <w:sz w:val="24"/>
        </w:rPr>
      </w:pPr>
      <w:bookmarkStart w:id="0" w:name="OLE_LINK3"/>
      <w:r>
        <w:rPr>
          <w:rFonts w:hint="eastAsia" w:ascii="Times New Roman" w:hAnsi="Times New Roman" w:eastAsia="等线" w:cs="Times New Roman"/>
          <w:b/>
          <w:bCs/>
          <w:sz w:val="24"/>
        </w:rPr>
        <w:t xml:space="preserve">Supplemental </w:t>
      </w:r>
      <w:r>
        <w:rPr>
          <w:rFonts w:ascii="Times New Roman" w:hAnsi="Times New Roman" w:eastAsia="等线" w:cs="Times New Roman"/>
          <w:b/>
          <w:bCs/>
          <w:sz w:val="24"/>
        </w:rPr>
        <w:t xml:space="preserve">Table </w:t>
      </w:r>
      <w:r>
        <w:rPr>
          <w:rFonts w:hint="eastAsia" w:ascii="Times New Roman" w:hAnsi="Times New Roman" w:eastAsia="等线" w:cs="Times New Roman"/>
          <w:b/>
          <w:bCs/>
          <w:sz w:val="24"/>
          <w:lang w:val="en-US" w:eastAsia="zh-CN"/>
        </w:rPr>
        <w:t>1</w:t>
      </w:r>
      <w:r>
        <w:rPr>
          <w:rFonts w:ascii="Times New Roman" w:hAnsi="Times New Roman" w:eastAsia="等线" w:cs="Times New Roman"/>
          <w:b/>
          <w:bCs/>
          <w:sz w:val="24"/>
        </w:rPr>
        <w:t xml:space="preserve">. </w:t>
      </w:r>
      <w:r>
        <w:rPr>
          <w:rFonts w:hint="eastAsia" w:ascii="Times New Roman" w:hAnsi="Times New Roman" w:eastAsia="等线" w:cs="Times New Roman"/>
          <w:b/>
          <w:bCs/>
          <w:sz w:val="24"/>
        </w:rPr>
        <w:t>P</w:t>
      </w:r>
      <w:r>
        <w:rPr>
          <w:rFonts w:ascii="Times New Roman" w:hAnsi="Times New Roman" w:eastAsia="等线" w:cs="Times New Roman"/>
          <w:b/>
          <w:bCs/>
          <w:sz w:val="24"/>
        </w:rPr>
        <w:t>rimers used in this study</w:t>
      </w:r>
      <w:r>
        <w:rPr>
          <w:rFonts w:hint="eastAsia" w:ascii="Times New Roman" w:hAnsi="Times New Roman" w:eastAsia="等线" w:cs="Times New Roman"/>
          <w:b/>
          <w:bCs/>
          <w:sz w:val="24"/>
        </w:rPr>
        <w:t>.</w:t>
      </w:r>
      <w:bookmarkEnd w:id="0"/>
    </w:p>
    <w:tbl>
      <w:tblPr>
        <w:tblStyle w:val="5"/>
        <w:tblW w:w="9325" w:type="dxa"/>
        <w:tblInd w:w="0" w:type="dxa"/>
        <w:tblLayout w:type="fixed"/>
        <w:tblCellMar>
          <w:top w:w="0" w:type="dxa"/>
          <w:left w:w="0" w:type="dxa"/>
          <w:bottom w:w="0" w:type="dxa"/>
          <w:right w:w="0" w:type="dxa"/>
        </w:tblCellMar>
      </w:tblPr>
      <w:tblGrid>
        <w:gridCol w:w="2316"/>
        <w:gridCol w:w="7009"/>
      </w:tblGrid>
      <w:tr>
        <w:tblPrEx>
          <w:tblLayout w:type="fixed"/>
          <w:tblCellMar>
            <w:top w:w="0" w:type="dxa"/>
            <w:left w:w="0" w:type="dxa"/>
            <w:bottom w:w="0" w:type="dxa"/>
            <w:right w:w="0" w:type="dxa"/>
          </w:tblCellMar>
        </w:tblPrEx>
        <w:trPr>
          <w:trHeight w:val="327" w:hRule="atLeast"/>
        </w:trPr>
        <w:tc>
          <w:tcPr>
            <w:tcW w:w="2316" w:type="dxa"/>
            <w:tcBorders>
              <w:top w:val="single" w:color="000000" w:sz="8" w:space="0"/>
              <w:left w:val="nil"/>
              <w:bottom w:val="single" w:color="000000" w:sz="8" w:space="0"/>
              <w:right w:val="nil"/>
            </w:tcBorders>
            <w:tcMar>
              <w:top w:w="12" w:type="dxa"/>
              <w:left w:w="12" w:type="dxa"/>
              <w:right w:w="12" w:type="dxa"/>
            </w:tcMar>
            <w:vAlign w:val="center"/>
          </w:tcPr>
          <w:p>
            <w:pPr>
              <w:widowControl/>
              <w:textAlignment w:val="center"/>
              <w:rPr>
                <w:rFonts w:ascii="Times New Roman" w:hAnsi="Times New Roman" w:cs="Times New Roman"/>
                <w:b/>
                <w:color w:val="000000"/>
                <w:sz w:val="24"/>
              </w:rPr>
            </w:pPr>
            <w:r>
              <w:rPr>
                <w:rFonts w:ascii="Times New Roman" w:hAnsi="Times New Roman" w:cs="Times New Roman"/>
                <w:b/>
                <w:color w:val="000000"/>
                <w:kern w:val="0"/>
                <w:sz w:val="24"/>
              </w:rPr>
              <w:t>Primer name</w:t>
            </w:r>
          </w:p>
        </w:tc>
        <w:tc>
          <w:tcPr>
            <w:tcW w:w="7009" w:type="dxa"/>
            <w:tcBorders>
              <w:top w:val="single" w:color="000000" w:sz="8" w:space="0"/>
              <w:left w:val="nil"/>
              <w:bottom w:val="single" w:color="000000" w:sz="8" w:space="0"/>
              <w:right w:val="nil"/>
            </w:tcBorders>
            <w:tcMar>
              <w:top w:w="12" w:type="dxa"/>
              <w:left w:w="12" w:type="dxa"/>
              <w:right w:w="12" w:type="dxa"/>
            </w:tcMar>
            <w:vAlign w:val="center"/>
          </w:tcPr>
          <w:p>
            <w:pPr>
              <w:widowControl/>
              <w:textAlignment w:val="center"/>
              <w:rPr>
                <w:rFonts w:ascii="Times New Roman" w:hAnsi="Times New Roman" w:cs="Times New Roman"/>
                <w:b/>
                <w:color w:val="000000"/>
                <w:sz w:val="24"/>
              </w:rPr>
            </w:pPr>
            <w:r>
              <w:rPr>
                <w:rFonts w:ascii="Times New Roman" w:hAnsi="Times New Roman" w:cs="Times New Roman"/>
                <w:b/>
                <w:color w:val="000000"/>
                <w:kern w:val="0"/>
                <w:sz w:val="24"/>
              </w:rPr>
              <w:t>Primer sequence (5'-3')</w:t>
            </w:r>
          </w:p>
        </w:tc>
      </w:tr>
      <w:tr>
        <w:tblPrEx>
          <w:tblLayout w:type="fixed"/>
          <w:tblCellMar>
            <w:top w:w="0" w:type="dxa"/>
            <w:left w:w="0" w:type="dxa"/>
            <w:bottom w:w="0" w:type="dxa"/>
            <w:right w:w="0" w:type="dxa"/>
          </w:tblCellMar>
        </w:tblPrEx>
        <w:trPr>
          <w:trHeight w:val="288" w:hRule="atLeast"/>
        </w:trPr>
        <w:tc>
          <w:tcPr>
            <w:tcW w:w="2316" w:type="dxa"/>
            <w:tcBorders>
              <w:top w:val="nil"/>
              <w:left w:val="nil"/>
              <w:bottom w:val="nil"/>
              <w:right w:val="nil"/>
            </w:tcBorders>
            <w:tcMar>
              <w:top w:w="12" w:type="dxa"/>
              <w:left w:w="12" w:type="dxa"/>
              <w:right w:w="12" w:type="dxa"/>
            </w:tcMar>
            <w:vAlign w:val="center"/>
          </w:tcPr>
          <w:p>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U3-pro-1-LP</w:t>
            </w:r>
          </w:p>
        </w:tc>
        <w:tc>
          <w:tcPr>
            <w:tcW w:w="7009" w:type="dxa"/>
            <w:tcBorders>
              <w:top w:val="nil"/>
              <w:left w:val="nil"/>
              <w:bottom w:val="nil"/>
              <w:right w:val="nil"/>
            </w:tcBorders>
            <w:tcMar>
              <w:top w:w="12" w:type="dxa"/>
              <w:left w:w="12" w:type="dxa"/>
              <w:right w:w="12" w:type="dxa"/>
            </w:tcMar>
            <w:vAlign w:val="center"/>
          </w:tcPr>
          <w:p>
            <w:pPr>
              <w:widowControl/>
              <w:jc w:val="left"/>
              <w:textAlignment w:val="center"/>
              <w:rPr>
                <w:rFonts w:ascii="Times New Roman" w:hAnsi="Times New Roman" w:cs="Times New Roman"/>
                <w:color w:val="000000"/>
                <w:szCs w:val="21"/>
              </w:rPr>
            </w:pPr>
            <w:r>
              <w:rPr>
                <w:rFonts w:ascii="Times New Roman" w:hAnsi="Times New Roman" w:cs="Times New Roman"/>
                <w:color w:val="000000"/>
                <w:szCs w:val="21"/>
              </w:rPr>
              <w:t>GGCACATCTATCCTCTGGATTGAA</w:t>
            </w:r>
          </w:p>
        </w:tc>
      </w:tr>
      <w:tr>
        <w:tblPrEx>
          <w:tblLayout w:type="fixed"/>
          <w:tblCellMar>
            <w:top w:w="0" w:type="dxa"/>
            <w:left w:w="0" w:type="dxa"/>
            <w:bottom w:w="0" w:type="dxa"/>
            <w:right w:w="0" w:type="dxa"/>
          </w:tblCellMar>
        </w:tblPrEx>
        <w:trPr>
          <w:trHeight w:val="288" w:hRule="atLeast"/>
        </w:trPr>
        <w:tc>
          <w:tcPr>
            <w:tcW w:w="2316" w:type="dxa"/>
            <w:tcBorders>
              <w:top w:val="nil"/>
              <w:left w:val="nil"/>
              <w:bottom w:val="nil"/>
              <w:right w:val="nil"/>
            </w:tcBorders>
            <w:tcMar>
              <w:top w:w="12" w:type="dxa"/>
              <w:left w:w="12" w:type="dxa"/>
              <w:right w:w="12" w:type="dxa"/>
            </w:tcMar>
            <w:vAlign w:val="center"/>
          </w:tcPr>
          <w:p>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U3-pro-1-RP</w:t>
            </w:r>
          </w:p>
        </w:tc>
        <w:tc>
          <w:tcPr>
            <w:tcW w:w="7009" w:type="dxa"/>
            <w:tcBorders>
              <w:top w:val="nil"/>
              <w:left w:val="nil"/>
              <w:bottom w:val="nil"/>
              <w:right w:val="nil"/>
            </w:tcBorders>
            <w:tcMar>
              <w:top w:w="12" w:type="dxa"/>
              <w:left w:w="12" w:type="dxa"/>
              <w:right w:w="12" w:type="dxa"/>
            </w:tcMar>
            <w:vAlign w:val="center"/>
          </w:tcPr>
          <w:p>
            <w:pPr>
              <w:widowControl/>
              <w:jc w:val="left"/>
              <w:textAlignment w:val="center"/>
              <w:rPr>
                <w:rFonts w:ascii="Times New Roman" w:hAnsi="Times New Roman" w:cs="Times New Roman"/>
                <w:color w:val="000000"/>
                <w:szCs w:val="21"/>
              </w:rPr>
            </w:pPr>
            <w:r>
              <w:rPr>
                <w:rFonts w:ascii="Times New Roman" w:hAnsi="Times New Roman" w:cs="Times New Roman"/>
                <w:color w:val="000000"/>
                <w:szCs w:val="21"/>
              </w:rPr>
              <w:t>AAACTTCAATCCAGAGGATAGATG</w:t>
            </w:r>
          </w:p>
        </w:tc>
      </w:tr>
      <w:tr>
        <w:tblPrEx>
          <w:tblLayout w:type="fixed"/>
          <w:tblCellMar>
            <w:top w:w="0" w:type="dxa"/>
            <w:left w:w="0" w:type="dxa"/>
            <w:bottom w:w="0" w:type="dxa"/>
            <w:right w:w="0" w:type="dxa"/>
          </w:tblCellMar>
        </w:tblPrEx>
        <w:trPr>
          <w:trHeight w:val="288" w:hRule="atLeast"/>
        </w:trPr>
        <w:tc>
          <w:tcPr>
            <w:tcW w:w="2316" w:type="dxa"/>
            <w:tcBorders>
              <w:top w:val="nil"/>
              <w:left w:val="nil"/>
              <w:bottom w:val="nil"/>
              <w:right w:val="nil"/>
            </w:tcBorders>
            <w:tcMar>
              <w:top w:w="12" w:type="dxa"/>
              <w:left w:w="12" w:type="dxa"/>
              <w:right w:w="12" w:type="dxa"/>
            </w:tcMar>
            <w:vAlign w:val="center"/>
          </w:tcPr>
          <w:p>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U6a-pro-2-LP</w:t>
            </w:r>
          </w:p>
        </w:tc>
        <w:tc>
          <w:tcPr>
            <w:tcW w:w="7009" w:type="dxa"/>
            <w:tcBorders>
              <w:top w:val="nil"/>
              <w:left w:val="nil"/>
              <w:bottom w:val="nil"/>
              <w:right w:val="nil"/>
            </w:tcBorders>
            <w:tcMar>
              <w:top w:w="12" w:type="dxa"/>
              <w:left w:w="12" w:type="dxa"/>
              <w:right w:w="12" w:type="dxa"/>
            </w:tcMar>
            <w:vAlign w:val="center"/>
          </w:tcPr>
          <w:p>
            <w:pPr>
              <w:widowControl/>
              <w:jc w:val="left"/>
              <w:textAlignment w:val="center"/>
              <w:rPr>
                <w:rFonts w:ascii="Times New Roman" w:hAnsi="Times New Roman" w:cs="Times New Roman"/>
                <w:color w:val="000000"/>
                <w:szCs w:val="21"/>
              </w:rPr>
            </w:pPr>
            <w:r>
              <w:rPr>
                <w:rFonts w:ascii="Times New Roman" w:hAnsi="Times New Roman" w:cs="Times New Roman"/>
                <w:color w:val="000000"/>
                <w:szCs w:val="21"/>
              </w:rPr>
              <w:t>GCCGTTGTTTACATGTTCAGTTAA</w:t>
            </w:r>
          </w:p>
        </w:tc>
      </w:tr>
      <w:tr>
        <w:tblPrEx>
          <w:tblLayout w:type="fixed"/>
          <w:tblCellMar>
            <w:top w:w="0" w:type="dxa"/>
            <w:left w:w="0" w:type="dxa"/>
            <w:bottom w:w="0" w:type="dxa"/>
            <w:right w:w="0" w:type="dxa"/>
          </w:tblCellMar>
        </w:tblPrEx>
        <w:trPr>
          <w:trHeight w:val="288" w:hRule="atLeast"/>
        </w:trPr>
        <w:tc>
          <w:tcPr>
            <w:tcW w:w="2316" w:type="dxa"/>
            <w:tcBorders>
              <w:top w:val="nil"/>
              <w:left w:val="nil"/>
              <w:bottom w:val="nil"/>
              <w:right w:val="nil"/>
            </w:tcBorders>
            <w:tcMar>
              <w:top w:w="12" w:type="dxa"/>
              <w:left w:w="12" w:type="dxa"/>
              <w:right w:w="12" w:type="dxa"/>
            </w:tcMar>
            <w:vAlign w:val="center"/>
          </w:tcPr>
          <w:p>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U6a-pro-2-RP</w:t>
            </w:r>
          </w:p>
        </w:tc>
        <w:tc>
          <w:tcPr>
            <w:tcW w:w="7009" w:type="dxa"/>
            <w:tcBorders>
              <w:top w:val="nil"/>
              <w:left w:val="nil"/>
              <w:bottom w:val="nil"/>
              <w:right w:val="nil"/>
            </w:tcBorders>
            <w:tcMar>
              <w:top w:w="12" w:type="dxa"/>
              <w:left w:w="12" w:type="dxa"/>
              <w:right w:w="12" w:type="dxa"/>
            </w:tcMar>
            <w:vAlign w:val="center"/>
          </w:tcPr>
          <w:p>
            <w:pPr>
              <w:widowControl/>
              <w:jc w:val="left"/>
              <w:textAlignment w:val="center"/>
              <w:rPr>
                <w:rFonts w:ascii="Times New Roman" w:hAnsi="Times New Roman" w:cs="Times New Roman"/>
                <w:color w:val="000000"/>
                <w:szCs w:val="21"/>
              </w:rPr>
            </w:pPr>
            <w:r>
              <w:rPr>
                <w:rFonts w:ascii="Times New Roman" w:hAnsi="Times New Roman" w:cs="Times New Roman"/>
                <w:color w:val="000000"/>
                <w:szCs w:val="21"/>
              </w:rPr>
              <w:t>AAACTTAACTGAACATGTAAACAA</w:t>
            </w:r>
          </w:p>
        </w:tc>
      </w:tr>
      <w:tr>
        <w:tblPrEx>
          <w:tblLayout w:type="fixed"/>
          <w:tblCellMar>
            <w:top w:w="0" w:type="dxa"/>
            <w:left w:w="0" w:type="dxa"/>
            <w:bottom w:w="0" w:type="dxa"/>
            <w:right w:w="0" w:type="dxa"/>
          </w:tblCellMar>
        </w:tblPrEx>
        <w:trPr>
          <w:trHeight w:val="288" w:hRule="atLeast"/>
        </w:trPr>
        <w:tc>
          <w:tcPr>
            <w:tcW w:w="2316" w:type="dxa"/>
            <w:tcBorders>
              <w:top w:val="nil"/>
              <w:left w:val="nil"/>
              <w:bottom w:val="nil"/>
              <w:right w:val="nil"/>
            </w:tcBorders>
            <w:tcMar>
              <w:top w:w="12" w:type="dxa"/>
              <w:left w:w="12" w:type="dxa"/>
              <w:right w:w="12" w:type="dxa"/>
            </w:tcMar>
            <w:vAlign w:val="center"/>
          </w:tcPr>
          <w:p>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U6b-pro-3-LP</w:t>
            </w:r>
          </w:p>
        </w:tc>
        <w:tc>
          <w:tcPr>
            <w:tcW w:w="7009" w:type="dxa"/>
            <w:tcBorders>
              <w:top w:val="nil"/>
              <w:left w:val="nil"/>
              <w:bottom w:val="nil"/>
              <w:right w:val="nil"/>
            </w:tcBorders>
            <w:tcMar>
              <w:top w:w="12" w:type="dxa"/>
              <w:left w:w="12" w:type="dxa"/>
              <w:right w:w="12" w:type="dxa"/>
            </w:tcMar>
            <w:vAlign w:val="center"/>
          </w:tcPr>
          <w:p>
            <w:pPr>
              <w:widowControl/>
              <w:jc w:val="left"/>
              <w:textAlignment w:val="center"/>
              <w:rPr>
                <w:rFonts w:ascii="Times New Roman" w:hAnsi="Times New Roman" w:cs="Times New Roman"/>
                <w:color w:val="000000"/>
                <w:szCs w:val="21"/>
              </w:rPr>
            </w:pPr>
            <w:r>
              <w:rPr>
                <w:rFonts w:ascii="Times New Roman" w:hAnsi="Times New Roman" w:cs="Times New Roman"/>
                <w:color w:val="000000"/>
                <w:szCs w:val="21"/>
              </w:rPr>
              <w:t>GTTGAAGCTAGCCGGAAAAACTCT</w:t>
            </w:r>
          </w:p>
        </w:tc>
      </w:tr>
      <w:tr>
        <w:tblPrEx>
          <w:tblLayout w:type="fixed"/>
          <w:tblCellMar>
            <w:top w:w="0" w:type="dxa"/>
            <w:left w:w="0" w:type="dxa"/>
            <w:bottom w:w="0" w:type="dxa"/>
            <w:right w:w="0" w:type="dxa"/>
          </w:tblCellMar>
        </w:tblPrEx>
        <w:trPr>
          <w:trHeight w:val="288" w:hRule="atLeast"/>
        </w:trPr>
        <w:tc>
          <w:tcPr>
            <w:tcW w:w="2316" w:type="dxa"/>
            <w:tcBorders>
              <w:top w:val="nil"/>
              <w:left w:val="nil"/>
              <w:bottom w:val="nil"/>
              <w:right w:val="nil"/>
            </w:tcBorders>
            <w:tcMar>
              <w:top w:w="12" w:type="dxa"/>
              <w:left w:w="12" w:type="dxa"/>
              <w:right w:w="12" w:type="dxa"/>
            </w:tcMar>
            <w:vAlign w:val="center"/>
          </w:tcPr>
          <w:p>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U6b-pro-3-RP</w:t>
            </w:r>
          </w:p>
        </w:tc>
        <w:tc>
          <w:tcPr>
            <w:tcW w:w="7009" w:type="dxa"/>
            <w:tcBorders>
              <w:top w:val="nil"/>
              <w:left w:val="nil"/>
              <w:bottom w:val="nil"/>
              <w:right w:val="nil"/>
            </w:tcBorders>
            <w:tcMar>
              <w:top w:w="12" w:type="dxa"/>
              <w:left w:w="12" w:type="dxa"/>
              <w:right w:w="12" w:type="dxa"/>
            </w:tcMar>
            <w:vAlign w:val="center"/>
          </w:tcPr>
          <w:p>
            <w:pPr>
              <w:widowControl/>
              <w:jc w:val="left"/>
              <w:textAlignment w:val="center"/>
              <w:rPr>
                <w:rFonts w:ascii="Times New Roman" w:hAnsi="Times New Roman" w:cs="Times New Roman"/>
                <w:color w:val="000000"/>
                <w:szCs w:val="21"/>
              </w:rPr>
            </w:pPr>
            <w:r>
              <w:rPr>
                <w:rFonts w:ascii="Times New Roman" w:hAnsi="Times New Roman" w:cs="Times New Roman"/>
                <w:color w:val="000000"/>
                <w:szCs w:val="21"/>
              </w:rPr>
              <w:t>AAACAGAGTTTTTCCGGCTAGCTT</w:t>
            </w:r>
          </w:p>
        </w:tc>
      </w:tr>
      <w:tr>
        <w:tblPrEx>
          <w:tblLayout w:type="fixed"/>
          <w:tblCellMar>
            <w:top w:w="0" w:type="dxa"/>
            <w:left w:w="0" w:type="dxa"/>
            <w:bottom w:w="0" w:type="dxa"/>
            <w:right w:w="0" w:type="dxa"/>
          </w:tblCellMar>
        </w:tblPrEx>
        <w:trPr>
          <w:trHeight w:val="288" w:hRule="atLeast"/>
        </w:trPr>
        <w:tc>
          <w:tcPr>
            <w:tcW w:w="2316" w:type="dxa"/>
            <w:tcBorders>
              <w:top w:val="nil"/>
              <w:left w:val="nil"/>
              <w:bottom w:val="nil"/>
              <w:right w:val="nil"/>
            </w:tcBorders>
            <w:tcMar>
              <w:top w:w="12" w:type="dxa"/>
              <w:left w:w="12" w:type="dxa"/>
              <w:right w:w="12" w:type="dxa"/>
            </w:tcMar>
            <w:vAlign w:val="center"/>
          </w:tcPr>
          <w:p>
            <w:pPr>
              <w:widowControl/>
              <w:jc w:val="left"/>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U6c-pro-4-LP</w:t>
            </w:r>
          </w:p>
        </w:tc>
        <w:tc>
          <w:tcPr>
            <w:tcW w:w="7009" w:type="dxa"/>
            <w:tcBorders>
              <w:top w:val="nil"/>
              <w:left w:val="nil"/>
              <w:bottom w:val="nil"/>
              <w:right w:val="nil"/>
            </w:tcBorders>
            <w:tcMar>
              <w:top w:w="12" w:type="dxa"/>
              <w:left w:w="12" w:type="dxa"/>
              <w:right w:w="12" w:type="dxa"/>
            </w:tcMar>
            <w:vAlign w:val="center"/>
          </w:tcPr>
          <w:p>
            <w:pPr>
              <w:widowControl/>
              <w:jc w:val="left"/>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TCAGATCCTAACGTTTTTAGTTAG</w:t>
            </w:r>
          </w:p>
        </w:tc>
      </w:tr>
      <w:tr>
        <w:tblPrEx>
          <w:tblLayout w:type="fixed"/>
          <w:tblCellMar>
            <w:top w:w="0" w:type="dxa"/>
            <w:left w:w="0" w:type="dxa"/>
            <w:bottom w:w="0" w:type="dxa"/>
            <w:right w:w="0" w:type="dxa"/>
          </w:tblCellMar>
        </w:tblPrEx>
        <w:trPr>
          <w:trHeight w:val="288" w:hRule="atLeast"/>
        </w:trPr>
        <w:tc>
          <w:tcPr>
            <w:tcW w:w="2316" w:type="dxa"/>
            <w:tcBorders>
              <w:top w:val="nil"/>
              <w:left w:val="nil"/>
              <w:bottom w:val="nil"/>
              <w:right w:val="nil"/>
            </w:tcBorders>
            <w:tcMar>
              <w:top w:w="12" w:type="dxa"/>
              <w:left w:w="12" w:type="dxa"/>
              <w:right w:w="12" w:type="dxa"/>
            </w:tcMar>
            <w:vAlign w:val="center"/>
          </w:tcPr>
          <w:p>
            <w:pPr>
              <w:widowControl/>
              <w:jc w:val="left"/>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U6c-pro-4-RP</w:t>
            </w:r>
          </w:p>
        </w:tc>
        <w:tc>
          <w:tcPr>
            <w:tcW w:w="7009" w:type="dxa"/>
            <w:tcBorders>
              <w:top w:val="nil"/>
              <w:left w:val="nil"/>
              <w:bottom w:val="nil"/>
              <w:right w:val="nil"/>
            </w:tcBorders>
            <w:tcMar>
              <w:top w:w="12" w:type="dxa"/>
              <w:left w:w="12" w:type="dxa"/>
              <w:right w:w="12" w:type="dxa"/>
            </w:tcMar>
            <w:vAlign w:val="center"/>
          </w:tcPr>
          <w:p>
            <w:pPr>
              <w:widowControl/>
              <w:jc w:val="left"/>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AAACCTAACTAAAAACGTTAGGAT</w:t>
            </w:r>
          </w:p>
        </w:tc>
      </w:tr>
      <w:tr>
        <w:tblPrEx>
          <w:tblLayout w:type="fixed"/>
          <w:tblCellMar>
            <w:top w:w="0" w:type="dxa"/>
            <w:left w:w="0" w:type="dxa"/>
            <w:bottom w:w="0" w:type="dxa"/>
            <w:right w:w="0" w:type="dxa"/>
          </w:tblCellMar>
        </w:tblPrEx>
        <w:trPr>
          <w:trHeight w:val="288" w:hRule="atLeast"/>
        </w:trPr>
        <w:tc>
          <w:tcPr>
            <w:tcW w:w="2316" w:type="dxa"/>
            <w:tcBorders>
              <w:top w:val="nil"/>
              <w:left w:val="nil"/>
              <w:bottom w:val="nil"/>
              <w:right w:val="nil"/>
            </w:tcBorders>
            <w:tcMar>
              <w:top w:w="12" w:type="dxa"/>
              <w:left w:w="12" w:type="dxa"/>
              <w:right w:w="12" w:type="dxa"/>
            </w:tcMar>
            <w:vAlign w:val="center"/>
          </w:tcPr>
          <w:p>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Sequencing-F</w:t>
            </w:r>
          </w:p>
        </w:tc>
        <w:tc>
          <w:tcPr>
            <w:tcW w:w="7009" w:type="dxa"/>
            <w:tcBorders>
              <w:top w:val="nil"/>
              <w:left w:val="nil"/>
              <w:bottom w:val="nil"/>
              <w:right w:val="nil"/>
            </w:tcBorders>
            <w:tcMar>
              <w:top w:w="12" w:type="dxa"/>
              <w:left w:w="12" w:type="dxa"/>
              <w:right w:w="12" w:type="dxa"/>
            </w:tcMar>
            <w:vAlign w:val="center"/>
          </w:tcPr>
          <w:p>
            <w:pPr>
              <w:widowControl/>
              <w:jc w:val="left"/>
              <w:textAlignment w:val="center"/>
              <w:rPr>
                <w:rFonts w:ascii="Times New Roman" w:hAnsi="Times New Roman" w:cs="Times New Roman"/>
                <w:color w:val="000000"/>
                <w:szCs w:val="21"/>
              </w:rPr>
            </w:pPr>
            <w:r>
              <w:rPr>
                <w:rFonts w:ascii="Times New Roman" w:hAnsi="Times New Roman" w:cs="Times New Roman"/>
                <w:color w:val="000000"/>
                <w:szCs w:val="21"/>
              </w:rPr>
              <w:t>AAGCTTGCACAACTAGTGCA</w:t>
            </w:r>
          </w:p>
        </w:tc>
      </w:tr>
      <w:tr>
        <w:tblPrEx>
          <w:tblLayout w:type="fixed"/>
          <w:tblCellMar>
            <w:top w:w="0" w:type="dxa"/>
            <w:left w:w="0" w:type="dxa"/>
            <w:bottom w:w="0" w:type="dxa"/>
            <w:right w:w="0" w:type="dxa"/>
          </w:tblCellMar>
        </w:tblPrEx>
        <w:trPr>
          <w:trHeight w:val="288" w:hRule="atLeast"/>
        </w:trPr>
        <w:tc>
          <w:tcPr>
            <w:tcW w:w="2316" w:type="dxa"/>
            <w:tcBorders>
              <w:top w:val="nil"/>
              <w:left w:val="nil"/>
              <w:bottom w:val="nil"/>
              <w:right w:val="nil"/>
            </w:tcBorders>
            <w:tcMar>
              <w:top w:w="12" w:type="dxa"/>
              <w:left w:w="12" w:type="dxa"/>
              <w:right w:w="12" w:type="dxa"/>
            </w:tcMar>
            <w:vAlign w:val="center"/>
          </w:tcPr>
          <w:p>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Sequencing-R</w:t>
            </w:r>
          </w:p>
        </w:tc>
        <w:tc>
          <w:tcPr>
            <w:tcW w:w="7009" w:type="dxa"/>
            <w:tcBorders>
              <w:top w:val="nil"/>
              <w:left w:val="nil"/>
              <w:bottom w:val="nil"/>
              <w:right w:val="nil"/>
            </w:tcBorders>
            <w:tcMar>
              <w:top w:w="12" w:type="dxa"/>
              <w:left w:w="12" w:type="dxa"/>
              <w:right w:w="12" w:type="dxa"/>
            </w:tcMar>
            <w:vAlign w:val="center"/>
          </w:tcPr>
          <w:p>
            <w:pPr>
              <w:widowControl/>
              <w:jc w:val="left"/>
              <w:textAlignment w:val="center"/>
              <w:rPr>
                <w:rFonts w:ascii="Times New Roman" w:hAnsi="Times New Roman" w:cs="Times New Roman"/>
                <w:color w:val="000000"/>
                <w:szCs w:val="21"/>
              </w:rPr>
            </w:pPr>
            <w:r>
              <w:rPr>
                <w:rFonts w:ascii="Times New Roman" w:hAnsi="Times New Roman" w:cs="Times New Roman"/>
                <w:color w:val="000000"/>
                <w:szCs w:val="21"/>
              </w:rPr>
              <w:t>GTCAAATTAATAACCTCTAAC</w:t>
            </w:r>
          </w:p>
        </w:tc>
      </w:tr>
      <w:tr>
        <w:tblPrEx>
          <w:tblLayout w:type="fixed"/>
          <w:tblCellMar>
            <w:top w:w="0" w:type="dxa"/>
            <w:left w:w="0" w:type="dxa"/>
            <w:bottom w:w="0" w:type="dxa"/>
            <w:right w:w="0" w:type="dxa"/>
          </w:tblCellMar>
        </w:tblPrEx>
        <w:trPr>
          <w:trHeight w:val="288" w:hRule="atLeast"/>
        </w:trPr>
        <w:tc>
          <w:tcPr>
            <w:tcW w:w="2316" w:type="dxa"/>
            <w:tcBorders>
              <w:top w:val="nil"/>
              <w:left w:val="nil"/>
              <w:bottom w:val="nil"/>
              <w:right w:val="nil"/>
            </w:tcBorders>
            <w:tcMar>
              <w:top w:w="12" w:type="dxa"/>
              <w:left w:w="12" w:type="dxa"/>
              <w:right w:w="12" w:type="dxa"/>
            </w:tcMar>
            <w:vAlign w:val="center"/>
          </w:tcPr>
          <w:p>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HPT-F</w:t>
            </w:r>
          </w:p>
        </w:tc>
        <w:tc>
          <w:tcPr>
            <w:tcW w:w="7009" w:type="dxa"/>
            <w:tcBorders>
              <w:top w:val="nil"/>
              <w:left w:val="nil"/>
              <w:bottom w:val="nil"/>
              <w:right w:val="nil"/>
            </w:tcBorders>
            <w:tcMar>
              <w:top w:w="12" w:type="dxa"/>
              <w:left w:w="12" w:type="dxa"/>
              <w:right w:w="12" w:type="dxa"/>
            </w:tcMar>
            <w:vAlign w:val="center"/>
          </w:tcPr>
          <w:p>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TGCGCCCAAGCTGCATCAT</w:t>
            </w:r>
          </w:p>
        </w:tc>
      </w:tr>
      <w:tr>
        <w:tblPrEx>
          <w:tblLayout w:type="fixed"/>
          <w:tblCellMar>
            <w:top w:w="0" w:type="dxa"/>
            <w:left w:w="0" w:type="dxa"/>
            <w:bottom w:w="0" w:type="dxa"/>
            <w:right w:w="0" w:type="dxa"/>
          </w:tblCellMar>
        </w:tblPrEx>
        <w:trPr>
          <w:trHeight w:val="288" w:hRule="atLeast"/>
        </w:trPr>
        <w:tc>
          <w:tcPr>
            <w:tcW w:w="2316" w:type="dxa"/>
            <w:tcBorders>
              <w:top w:val="nil"/>
              <w:left w:val="nil"/>
              <w:bottom w:val="nil"/>
              <w:right w:val="nil"/>
            </w:tcBorders>
            <w:tcMar>
              <w:top w:w="12" w:type="dxa"/>
              <w:left w:w="12" w:type="dxa"/>
              <w:right w:w="12" w:type="dxa"/>
            </w:tcMar>
            <w:vAlign w:val="center"/>
          </w:tcPr>
          <w:p>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HPT-R</w:t>
            </w:r>
          </w:p>
        </w:tc>
        <w:tc>
          <w:tcPr>
            <w:tcW w:w="7009" w:type="dxa"/>
            <w:tcBorders>
              <w:top w:val="nil"/>
              <w:left w:val="nil"/>
              <w:bottom w:val="nil"/>
              <w:right w:val="nil"/>
            </w:tcBorders>
            <w:tcMar>
              <w:top w:w="12" w:type="dxa"/>
              <w:left w:w="12" w:type="dxa"/>
              <w:right w:w="12" w:type="dxa"/>
            </w:tcMar>
            <w:vAlign w:val="center"/>
          </w:tcPr>
          <w:p>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TGAACTCACCGCGACGTCTGT</w:t>
            </w:r>
          </w:p>
        </w:tc>
      </w:tr>
      <w:tr>
        <w:tblPrEx>
          <w:tblLayout w:type="fixed"/>
          <w:tblCellMar>
            <w:top w:w="0" w:type="dxa"/>
            <w:left w:w="0" w:type="dxa"/>
            <w:bottom w:w="0" w:type="dxa"/>
            <w:right w:w="0" w:type="dxa"/>
          </w:tblCellMar>
        </w:tblPrEx>
        <w:trPr>
          <w:trHeight w:val="288" w:hRule="atLeast"/>
        </w:trPr>
        <w:tc>
          <w:tcPr>
            <w:tcW w:w="2316" w:type="dxa"/>
            <w:tcBorders>
              <w:top w:val="nil"/>
              <w:left w:val="nil"/>
              <w:bottom w:val="nil"/>
              <w:right w:val="nil"/>
            </w:tcBorders>
            <w:tcMar>
              <w:top w:w="12" w:type="dxa"/>
              <w:left w:w="12" w:type="dxa"/>
              <w:right w:w="12" w:type="dxa"/>
            </w:tcMar>
            <w:vAlign w:val="center"/>
          </w:tcPr>
          <w:p>
            <w:pPr>
              <w:widowControl/>
              <w:jc w:val="left"/>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RFT1pro-daba-F</w:t>
            </w:r>
          </w:p>
        </w:tc>
        <w:tc>
          <w:tcPr>
            <w:tcW w:w="7009" w:type="dxa"/>
            <w:tcBorders>
              <w:top w:val="nil"/>
              <w:left w:val="nil"/>
              <w:bottom w:val="nil"/>
              <w:right w:val="nil"/>
            </w:tcBorders>
            <w:tcMar>
              <w:top w:w="12" w:type="dxa"/>
              <w:left w:w="12" w:type="dxa"/>
              <w:right w:w="12" w:type="dxa"/>
            </w:tcMar>
            <w:vAlign w:val="center"/>
          </w:tcPr>
          <w:p>
            <w:pPr>
              <w:widowControl/>
              <w:jc w:val="left"/>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TGGGTTGGTACTGCCTAAAG</w:t>
            </w:r>
          </w:p>
        </w:tc>
      </w:tr>
      <w:tr>
        <w:tblPrEx>
          <w:tblLayout w:type="fixed"/>
          <w:tblCellMar>
            <w:top w:w="0" w:type="dxa"/>
            <w:left w:w="0" w:type="dxa"/>
            <w:bottom w:w="0" w:type="dxa"/>
            <w:right w:w="0" w:type="dxa"/>
          </w:tblCellMar>
        </w:tblPrEx>
        <w:trPr>
          <w:trHeight w:val="288" w:hRule="atLeast"/>
        </w:trPr>
        <w:tc>
          <w:tcPr>
            <w:tcW w:w="2316" w:type="dxa"/>
            <w:tcBorders>
              <w:top w:val="nil"/>
              <w:left w:val="nil"/>
              <w:bottom w:val="nil"/>
              <w:right w:val="nil"/>
            </w:tcBorders>
            <w:tcMar>
              <w:top w:w="12" w:type="dxa"/>
              <w:left w:w="12" w:type="dxa"/>
              <w:right w:w="12" w:type="dxa"/>
            </w:tcMar>
            <w:vAlign w:val="center"/>
          </w:tcPr>
          <w:p>
            <w:pPr>
              <w:widowControl/>
              <w:jc w:val="left"/>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RFT1pro-daba-R</w:t>
            </w:r>
          </w:p>
        </w:tc>
        <w:tc>
          <w:tcPr>
            <w:tcW w:w="7009" w:type="dxa"/>
            <w:tcBorders>
              <w:top w:val="nil"/>
              <w:left w:val="nil"/>
              <w:bottom w:val="nil"/>
              <w:right w:val="nil"/>
            </w:tcBorders>
            <w:tcMar>
              <w:top w:w="12" w:type="dxa"/>
              <w:left w:w="12" w:type="dxa"/>
              <w:right w:w="12" w:type="dxa"/>
            </w:tcMar>
            <w:vAlign w:val="center"/>
          </w:tcPr>
          <w:p>
            <w:pPr>
              <w:widowControl/>
              <w:jc w:val="left"/>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GAACGTCCTCATGTCATTGC</w:t>
            </w:r>
          </w:p>
        </w:tc>
      </w:tr>
      <w:tr>
        <w:tblPrEx>
          <w:tblLayout w:type="fixed"/>
          <w:tblCellMar>
            <w:top w:w="0" w:type="dxa"/>
            <w:left w:w="0" w:type="dxa"/>
            <w:bottom w:w="0" w:type="dxa"/>
            <w:right w:w="0" w:type="dxa"/>
          </w:tblCellMar>
        </w:tblPrEx>
        <w:trPr>
          <w:trHeight w:val="288" w:hRule="atLeast"/>
        </w:trPr>
        <w:tc>
          <w:tcPr>
            <w:tcW w:w="2316" w:type="dxa"/>
            <w:tcBorders>
              <w:top w:val="nil"/>
              <w:left w:val="nil"/>
              <w:bottom w:val="nil"/>
              <w:right w:val="nil"/>
            </w:tcBorders>
            <w:tcMar>
              <w:top w:w="12" w:type="dxa"/>
              <w:left w:w="12" w:type="dxa"/>
              <w:right w:w="12" w:type="dxa"/>
            </w:tcMar>
            <w:vAlign w:val="center"/>
          </w:tcPr>
          <w:p>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QRT-Hd3a-F</w:t>
            </w:r>
          </w:p>
        </w:tc>
        <w:tc>
          <w:tcPr>
            <w:tcW w:w="7009" w:type="dxa"/>
            <w:tcBorders>
              <w:top w:val="nil"/>
              <w:left w:val="nil"/>
              <w:bottom w:val="nil"/>
              <w:right w:val="nil"/>
            </w:tcBorders>
            <w:tcMar>
              <w:top w:w="12" w:type="dxa"/>
              <w:left w:w="12" w:type="dxa"/>
              <w:right w:w="12" w:type="dxa"/>
            </w:tcMar>
            <w:vAlign w:val="center"/>
          </w:tcPr>
          <w:p>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GCTCACTATCATCATCCAGCATG</w:t>
            </w:r>
          </w:p>
        </w:tc>
      </w:tr>
      <w:tr>
        <w:tblPrEx>
          <w:tblLayout w:type="fixed"/>
          <w:tblCellMar>
            <w:top w:w="0" w:type="dxa"/>
            <w:left w:w="0" w:type="dxa"/>
            <w:bottom w:w="0" w:type="dxa"/>
            <w:right w:w="0" w:type="dxa"/>
          </w:tblCellMar>
        </w:tblPrEx>
        <w:trPr>
          <w:trHeight w:val="288" w:hRule="atLeast"/>
        </w:trPr>
        <w:tc>
          <w:tcPr>
            <w:tcW w:w="2316" w:type="dxa"/>
            <w:tcBorders>
              <w:top w:val="nil"/>
              <w:left w:val="nil"/>
              <w:bottom w:val="nil"/>
              <w:right w:val="nil"/>
            </w:tcBorders>
            <w:tcMar>
              <w:top w:w="12" w:type="dxa"/>
              <w:left w:w="12" w:type="dxa"/>
              <w:right w:w="12" w:type="dxa"/>
            </w:tcMar>
            <w:vAlign w:val="center"/>
          </w:tcPr>
          <w:p>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QRT-Hd3a-R</w:t>
            </w:r>
          </w:p>
        </w:tc>
        <w:tc>
          <w:tcPr>
            <w:tcW w:w="7009" w:type="dxa"/>
            <w:tcBorders>
              <w:top w:val="nil"/>
              <w:left w:val="nil"/>
              <w:bottom w:val="nil"/>
              <w:right w:val="nil"/>
            </w:tcBorders>
            <w:tcMar>
              <w:top w:w="12" w:type="dxa"/>
              <w:left w:w="12" w:type="dxa"/>
              <w:right w:w="12" w:type="dxa"/>
            </w:tcMar>
            <w:vAlign w:val="center"/>
          </w:tcPr>
          <w:p>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CCTTGCTCAGCTATTTAATTGCATAA</w:t>
            </w:r>
          </w:p>
        </w:tc>
      </w:tr>
      <w:tr>
        <w:tblPrEx>
          <w:tblLayout w:type="fixed"/>
          <w:tblCellMar>
            <w:top w:w="0" w:type="dxa"/>
            <w:left w:w="0" w:type="dxa"/>
            <w:bottom w:w="0" w:type="dxa"/>
            <w:right w:w="0" w:type="dxa"/>
          </w:tblCellMar>
        </w:tblPrEx>
        <w:trPr>
          <w:trHeight w:val="288" w:hRule="atLeast"/>
        </w:trPr>
        <w:tc>
          <w:tcPr>
            <w:tcW w:w="2316" w:type="dxa"/>
            <w:tcBorders>
              <w:top w:val="nil"/>
              <w:left w:val="nil"/>
              <w:bottom w:val="nil"/>
              <w:right w:val="nil"/>
            </w:tcBorders>
            <w:tcMar>
              <w:top w:w="12" w:type="dxa"/>
              <w:left w:w="12" w:type="dxa"/>
              <w:right w:w="12" w:type="dxa"/>
            </w:tcMar>
            <w:vAlign w:val="center"/>
          </w:tcPr>
          <w:p>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QRT-RFT1-F</w:t>
            </w:r>
          </w:p>
        </w:tc>
        <w:tc>
          <w:tcPr>
            <w:tcW w:w="7009" w:type="dxa"/>
            <w:tcBorders>
              <w:top w:val="nil"/>
              <w:left w:val="nil"/>
              <w:bottom w:val="nil"/>
              <w:right w:val="nil"/>
            </w:tcBorders>
            <w:tcMar>
              <w:top w:w="12" w:type="dxa"/>
              <w:left w:w="12" w:type="dxa"/>
              <w:right w:w="12" w:type="dxa"/>
            </w:tcMar>
            <w:vAlign w:val="center"/>
          </w:tcPr>
          <w:p>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TGACCTAGATTCAAAGTCTAATCCTT</w:t>
            </w:r>
          </w:p>
        </w:tc>
      </w:tr>
      <w:tr>
        <w:tblPrEx>
          <w:tblLayout w:type="fixed"/>
          <w:tblCellMar>
            <w:top w:w="0" w:type="dxa"/>
            <w:left w:w="0" w:type="dxa"/>
            <w:bottom w:w="0" w:type="dxa"/>
            <w:right w:w="0" w:type="dxa"/>
          </w:tblCellMar>
        </w:tblPrEx>
        <w:trPr>
          <w:trHeight w:val="288" w:hRule="atLeast"/>
        </w:trPr>
        <w:tc>
          <w:tcPr>
            <w:tcW w:w="2316" w:type="dxa"/>
            <w:tcBorders>
              <w:top w:val="nil"/>
              <w:left w:val="nil"/>
              <w:bottom w:val="nil"/>
              <w:right w:val="nil"/>
            </w:tcBorders>
            <w:tcMar>
              <w:top w:w="12" w:type="dxa"/>
              <w:left w:w="12" w:type="dxa"/>
              <w:right w:w="12" w:type="dxa"/>
            </w:tcMar>
            <w:vAlign w:val="center"/>
          </w:tcPr>
          <w:p>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QRT-RFT1-R</w:t>
            </w:r>
          </w:p>
        </w:tc>
        <w:tc>
          <w:tcPr>
            <w:tcW w:w="7009" w:type="dxa"/>
            <w:tcBorders>
              <w:top w:val="nil"/>
              <w:left w:val="nil"/>
              <w:bottom w:val="nil"/>
              <w:right w:val="nil"/>
            </w:tcBorders>
            <w:tcMar>
              <w:top w:w="12" w:type="dxa"/>
              <w:left w:w="12" w:type="dxa"/>
              <w:right w:w="12" w:type="dxa"/>
            </w:tcMar>
            <w:vAlign w:val="center"/>
          </w:tcPr>
          <w:p>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TGCCGGCCATGTCAAATTAATAAC</w:t>
            </w:r>
          </w:p>
        </w:tc>
      </w:tr>
      <w:tr>
        <w:tblPrEx>
          <w:tblLayout w:type="fixed"/>
          <w:tblCellMar>
            <w:top w:w="0" w:type="dxa"/>
            <w:left w:w="0" w:type="dxa"/>
            <w:bottom w:w="0" w:type="dxa"/>
            <w:right w:w="0" w:type="dxa"/>
          </w:tblCellMar>
        </w:tblPrEx>
        <w:trPr>
          <w:trHeight w:val="288" w:hRule="atLeast"/>
        </w:trPr>
        <w:tc>
          <w:tcPr>
            <w:tcW w:w="2316" w:type="dxa"/>
            <w:tcBorders>
              <w:top w:val="nil"/>
              <w:left w:val="nil"/>
              <w:bottom w:val="nil"/>
              <w:right w:val="nil"/>
            </w:tcBorders>
            <w:noWrap/>
            <w:tcMar>
              <w:top w:w="12" w:type="dxa"/>
              <w:left w:w="12" w:type="dxa"/>
              <w:right w:w="12" w:type="dxa"/>
            </w:tcMar>
            <w:vAlign w:val="center"/>
          </w:tcPr>
          <w:p>
            <w:pPr>
              <w:widowControl/>
              <w:jc w:val="left"/>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QRT-</w:t>
            </w:r>
            <w:r>
              <w:rPr>
                <w:rFonts w:hint="eastAsia" w:ascii="Times New Roman" w:hAnsi="Times New Roman" w:cs="Times New Roman"/>
                <w:color w:val="000000"/>
                <w:kern w:val="0"/>
                <w:szCs w:val="21"/>
              </w:rPr>
              <w:t>LUC</w:t>
            </w:r>
            <w:r>
              <w:rPr>
                <w:rFonts w:ascii="Times New Roman" w:hAnsi="Times New Roman" w:cs="Times New Roman"/>
                <w:color w:val="000000"/>
                <w:kern w:val="0"/>
                <w:szCs w:val="21"/>
              </w:rPr>
              <w:t>-F</w:t>
            </w:r>
          </w:p>
        </w:tc>
        <w:tc>
          <w:tcPr>
            <w:tcW w:w="7009" w:type="dxa"/>
            <w:tcBorders>
              <w:top w:val="nil"/>
              <w:left w:val="nil"/>
              <w:bottom w:val="nil"/>
              <w:right w:val="nil"/>
            </w:tcBorders>
            <w:tcMar>
              <w:top w:w="12" w:type="dxa"/>
              <w:left w:w="12" w:type="dxa"/>
              <w:right w:w="12" w:type="dxa"/>
            </w:tcMar>
            <w:vAlign w:val="center"/>
          </w:tcPr>
          <w:p>
            <w:pPr>
              <w:widowControl/>
              <w:jc w:val="left"/>
              <w:textAlignment w:val="center"/>
              <w:rPr>
                <w:rFonts w:ascii="Times New Roman" w:hAnsi="Times New Roman" w:cs="Times New Roman"/>
                <w:color w:val="000000"/>
                <w:kern w:val="0"/>
                <w:szCs w:val="21"/>
              </w:rPr>
            </w:pPr>
            <w:r>
              <w:rPr>
                <w:rFonts w:hint="eastAsia" w:ascii="Times New Roman" w:hAnsi="Times New Roman" w:cs="Times New Roman"/>
                <w:color w:val="000000"/>
                <w:kern w:val="0"/>
                <w:szCs w:val="21"/>
              </w:rPr>
              <w:t>ATTACCAGGGATTTCAGTCG</w:t>
            </w:r>
          </w:p>
        </w:tc>
      </w:tr>
      <w:tr>
        <w:tblPrEx>
          <w:tblLayout w:type="fixed"/>
          <w:tblCellMar>
            <w:top w:w="0" w:type="dxa"/>
            <w:left w:w="0" w:type="dxa"/>
            <w:bottom w:w="0" w:type="dxa"/>
            <w:right w:w="0" w:type="dxa"/>
          </w:tblCellMar>
        </w:tblPrEx>
        <w:trPr>
          <w:trHeight w:val="288" w:hRule="atLeast"/>
        </w:trPr>
        <w:tc>
          <w:tcPr>
            <w:tcW w:w="2316" w:type="dxa"/>
            <w:tcBorders>
              <w:top w:val="nil"/>
              <w:left w:val="nil"/>
              <w:bottom w:val="nil"/>
              <w:right w:val="nil"/>
            </w:tcBorders>
            <w:noWrap/>
            <w:tcMar>
              <w:top w:w="12" w:type="dxa"/>
              <w:left w:w="12" w:type="dxa"/>
              <w:right w:w="12" w:type="dxa"/>
            </w:tcMar>
            <w:vAlign w:val="center"/>
          </w:tcPr>
          <w:p>
            <w:pPr>
              <w:widowControl/>
              <w:jc w:val="left"/>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QRT-</w:t>
            </w:r>
            <w:r>
              <w:rPr>
                <w:rFonts w:hint="eastAsia" w:ascii="Times New Roman" w:hAnsi="Times New Roman" w:cs="Times New Roman"/>
                <w:color w:val="000000"/>
                <w:kern w:val="0"/>
                <w:szCs w:val="21"/>
              </w:rPr>
              <w:t>LUC</w:t>
            </w:r>
            <w:r>
              <w:rPr>
                <w:rFonts w:ascii="Times New Roman" w:hAnsi="Times New Roman" w:cs="Times New Roman"/>
                <w:color w:val="000000"/>
                <w:kern w:val="0"/>
                <w:szCs w:val="21"/>
              </w:rPr>
              <w:t>-R</w:t>
            </w:r>
          </w:p>
        </w:tc>
        <w:tc>
          <w:tcPr>
            <w:tcW w:w="7009" w:type="dxa"/>
            <w:tcBorders>
              <w:top w:val="nil"/>
              <w:left w:val="nil"/>
              <w:bottom w:val="nil"/>
              <w:right w:val="nil"/>
            </w:tcBorders>
            <w:tcMar>
              <w:top w:w="12" w:type="dxa"/>
              <w:left w:w="12" w:type="dxa"/>
              <w:right w:w="12" w:type="dxa"/>
            </w:tcMar>
            <w:vAlign w:val="center"/>
          </w:tcPr>
          <w:p>
            <w:pPr>
              <w:widowControl/>
              <w:jc w:val="left"/>
              <w:textAlignment w:val="center"/>
              <w:rPr>
                <w:rFonts w:ascii="Times New Roman" w:hAnsi="Times New Roman" w:cs="Times New Roman"/>
                <w:color w:val="000000"/>
                <w:kern w:val="0"/>
                <w:szCs w:val="21"/>
              </w:rPr>
            </w:pPr>
            <w:r>
              <w:rPr>
                <w:rFonts w:hint="eastAsia" w:ascii="Times New Roman" w:hAnsi="Times New Roman" w:cs="Times New Roman"/>
                <w:color w:val="000000"/>
                <w:kern w:val="0"/>
                <w:szCs w:val="21"/>
              </w:rPr>
              <w:t>CAATTGTCTTGTCCCTATCG</w:t>
            </w:r>
          </w:p>
        </w:tc>
      </w:tr>
      <w:tr>
        <w:tblPrEx>
          <w:tblLayout w:type="fixed"/>
          <w:tblCellMar>
            <w:top w:w="0" w:type="dxa"/>
            <w:left w:w="0" w:type="dxa"/>
            <w:bottom w:w="0" w:type="dxa"/>
            <w:right w:w="0" w:type="dxa"/>
          </w:tblCellMar>
        </w:tblPrEx>
        <w:trPr>
          <w:trHeight w:val="288" w:hRule="atLeast"/>
        </w:trPr>
        <w:tc>
          <w:tcPr>
            <w:tcW w:w="2316" w:type="dxa"/>
            <w:tcBorders>
              <w:top w:val="nil"/>
              <w:left w:val="nil"/>
              <w:bottom w:val="nil"/>
              <w:right w:val="nil"/>
            </w:tcBorders>
            <w:noWrap/>
            <w:tcMar>
              <w:top w:w="12" w:type="dxa"/>
              <w:left w:w="12" w:type="dxa"/>
              <w:right w:w="12" w:type="dxa"/>
            </w:tcMar>
            <w:vAlign w:val="center"/>
          </w:tcPr>
          <w:p>
            <w:pPr>
              <w:widowControl/>
              <w:jc w:val="left"/>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QRT-</w:t>
            </w:r>
            <w:r>
              <w:rPr>
                <w:rFonts w:hint="eastAsia" w:ascii="Times New Roman" w:hAnsi="Times New Roman" w:cs="Times New Roman"/>
                <w:color w:val="000000"/>
                <w:kern w:val="0"/>
                <w:szCs w:val="21"/>
              </w:rPr>
              <w:t>REN</w:t>
            </w:r>
            <w:r>
              <w:rPr>
                <w:rFonts w:ascii="Times New Roman" w:hAnsi="Times New Roman" w:cs="Times New Roman"/>
                <w:color w:val="000000"/>
                <w:kern w:val="0"/>
                <w:szCs w:val="21"/>
              </w:rPr>
              <w:t>-F</w:t>
            </w:r>
          </w:p>
        </w:tc>
        <w:tc>
          <w:tcPr>
            <w:tcW w:w="7009" w:type="dxa"/>
            <w:tcBorders>
              <w:top w:val="nil"/>
              <w:left w:val="nil"/>
              <w:bottom w:val="nil"/>
              <w:right w:val="nil"/>
            </w:tcBorders>
            <w:tcMar>
              <w:top w:w="12" w:type="dxa"/>
              <w:left w:w="12" w:type="dxa"/>
              <w:right w:w="12" w:type="dxa"/>
            </w:tcMar>
            <w:vAlign w:val="center"/>
          </w:tcPr>
          <w:p>
            <w:pPr>
              <w:widowControl/>
              <w:jc w:val="left"/>
              <w:textAlignment w:val="center"/>
              <w:rPr>
                <w:rFonts w:ascii="Times New Roman" w:hAnsi="Times New Roman" w:cs="Times New Roman"/>
                <w:color w:val="000000"/>
                <w:kern w:val="0"/>
                <w:szCs w:val="21"/>
              </w:rPr>
            </w:pPr>
            <w:r>
              <w:rPr>
                <w:rFonts w:hint="eastAsia" w:ascii="Times New Roman" w:hAnsi="Times New Roman" w:cs="Times New Roman"/>
                <w:color w:val="000000"/>
                <w:kern w:val="0"/>
                <w:szCs w:val="21"/>
              </w:rPr>
              <w:t>GCCTCGTGAAATCCCGTTAG</w:t>
            </w:r>
          </w:p>
        </w:tc>
      </w:tr>
      <w:tr>
        <w:tblPrEx>
          <w:tblLayout w:type="fixed"/>
          <w:tblCellMar>
            <w:top w:w="0" w:type="dxa"/>
            <w:left w:w="0" w:type="dxa"/>
            <w:bottom w:w="0" w:type="dxa"/>
            <w:right w:w="0" w:type="dxa"/>
          </w:tblCellMar>
        </w:tblPrEx>
        <w:trPr>
          <w:trHeight w:val="288" w:hRule="atLeast"/>
        </w:trPr>
        <w:tc>
          <w:tcPr>
            <w:tcW w:w="2316" w:type="dxa"/>
            <w:tcBorders>
              <w:top w:val="nil"/>
              <w:left w:val="nil"/>
              <w:bottom w:val="nil"/>
              <w:right w:val="nil"/>
            </w:tcBorders>
            <w:noWrap/>
            <w:tcMar>
              <w:top w:w="12" w:type="dxa"/>
              <w:left w:w="12" w:type="dxa"/>
              <w:right w:w="12" w:type="dxa"/>
            </w:tcMar>
            <w:vAlign w:val="center"/>
          </w:tcPr>
          <w:p>
            <w:pPr>
              <w:widowControl/>
              <w:jc w:val="left"/>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QRT-</w:t>
            </w:r>
            <w:r>
              <w:rPr>
                <w:rFonts w:hint="eastAsia" w:ascii="Times New Roman" w:hAnsi="Times New Roman" w:cs="Times New Roman"/>
                <w:color w:val="000000"/>
                <w:kern w:val="0"/>
                <w:szCs w:val="21"/>
              </w:rPr>
              <w:t>REN</w:t>
            </w:r>
            <w:r>
              <w:rPr>
                <w:rFonts w:ascii="Times New Roman" w:hAnsi="Times New Roman" w:cs="Times New Roman"/>
                <w:color w:val="000000"/>
                <w:kern w:val="0"/>
                <w:szCs w:val="21"/>
              </w:rPr>
              <w:t>-R</w:t>
            </w:r>
          </w:p>
        </w:tc>
        <w:tc>
          <w:tcPr>
            <w:tcW w:w="7009" w:type="dxa"/>
            <w:tcBorders>
              <w:top w:val="nil"/>
              <w:left w:val="nil"/>
              <w:bottom w:val="nil"/>
              <w:right w:val="nil"/>
            </w:tcBorders>
            <w:tcMar>
              <w:top w:w="12" w:type="dxa"/>
              <w:left w:w="12" w:type="dxa"/>
              <w:right w:w="12" w:type="dxa"/>
            </w:tcMar>
            <w:vAlign w:val="center"/>
          </w:tcPr>
          <w:p>
            <w:pPr>
              <w:widowControl/>
              <w:jc w:val="left"/>
              <w:textAlignment w:val="center"/>
              <w:rPr>
                <w:rFonts w:ascii="Times New Roman" w:hAnsi="Times New Roman" w:cs="Times New Roman"/>
                <w:color w:val="000000"/>
                <w:kern w:val="0"/>
                <w:szCs w:val="21"/>
              </w:rPr>
            </w:pPr>
            <w:r>
              <w:rPr>
                <w:rFonts w:hint="eastAsia" w:ascii="Times New Roman" w:hAnsi="Times New Roman" w:cs="Times New Roman"/>
                <w:color w:val="000000"/>
                <w:kern w:val="0"/>
                <w:szCs w:val="21"/>
              </w:rPr>
              <w:t>TTGGCACCTTCAACAATAGC</w:t>
            </w:r>
          </w:p>
        </w:tc>
      </w:tr>
      <w:tr>
        <w:tblPrEx>
          <w:tblLayout w:type="fixed"/>
          <w:tblCellMar>
            <w:top w:w="0" w:type="dxa"/>
            <w:left w:w="0" w:type="dxa"/>
            <w:bottom w:w="0" w:type="dxa"/>
            <w:right w:w="0" w:type="dxa"/>
          </w:tblCellMar>
        </w:tblPrEx>
        <w:trPr>
          <w:trHeight w:val="288" w:hRule="atLeast"/>
        </w:trPr>
        <w:tc>
          <w:tcPr>
            <w:tcW w:w="2316" w:type="dxa"/>
            <w:tcBorders>
              <w:top w:val="nil"/>
              <w:left w:val="nil"/>
              <w:bottom w:val="nil"/>
              <w:right w:val="nil"/>
            </w:tcBorders>
            <w:noWrap/>
            <w:tcMar>
              <w:top w:w="12" w:type="dxa"/>
              <w:left w:w="12" w:type="dxa"/>
              <w:right w:w="12" w:type="dxa"/>
            </w:tcMar>
            <w:vAlign w:val="center"/>
          </w:tcPr>
          <w:p>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pGreen-35S-RFT1pro-F</w:t>
            </w:r>
          </w:p>
        </w:tc>
        <w:tc>
          <w:tcPr>
            <w:tcW w:w="7009" w:type="dxa"/>
            <w:tcBorders>
              <w:top w:val="nil"/>
              <w:left w:val="nil"/>
              <w:bottom w:val="nil"/>
              <w:right w:val="nil"/>
            </w:tcBorders>
            <w:tcMar>
              <w:top w:w="12" w:type="dxa"/>
              <w:left w:w="12" w:type="dxa"/>
              <w:right w:w="12" w:type="dxa"/>
            </w:tcMar>
            <w:vAlign w:val="center"/>
          </w:tcPr>
          <w:p>
            <w:pPr>
              <w:widowControl/>
              <w:jc w:val="left"/>
              <w:textAlignment w:val="center"/>
              <w:rPr>
                <w:rFonts w:ascii="Times New Roman" w:hAnsi="Times New Roman" w:cs="Times New Roman"/>
                <w:color w:val="000000"/>
                <w:szCs w:val="21"/>
              </w:rPr>
            </w:pPr>
            <w:r>
              <w:rPr>
                <w:rFonts w:ascii="Times New Roman" w:hAnsi="Times New Roman" w:cs="Times New Roman"/>
                <w:color w:val="000000"/>
                <w:szCs w:val="21"/>
              </w:rPr>
              <w:t>CTCCCTCTCCCCTTGCTCCGTGGATCCAAGCTTGCACAACTAGTGCA</w:t>
            </w:r>
          </w:p>
        </w:tc>
      </w:tr>
      <w:tr>
        <w:tblPrEx>
          <w:tblLayout w:type="fixed"/>
          <w:tblCellMar>
            <w:top w:w="0" w:type="dxa"/>
            <w:left w:w="0" w:type="dxa"/>
            <w:bottom w:w="0" w:type="dxa"/>
            <w:right w:w="0" w:type="dxa"/>
          </w:tblCellMar>
        </w:tblPrEx>
        <w:trPr>
          <w:trHeight w:val="291" w:hRule="atLeast"/>
        </w:trPr>
        <w:tc>
          <w:tcPr>
            <w:tcW w:w="2316" w:type="dxa"/>
            <w:tcBorders>
              <w:top w:val="nil"/>
              <w:left w:val="nil"/>
              <w:bottom w:val="single" w:color="000000" w:sz="8" w:space="0"/>
              <w:right w:val="nil"/>
            </w:tcBorders>
            <w:noWrap/>
            <w:tcMar>
              <w:top w:w="12" w:type="dxa"/>
              <w:left w:w="12" w:type="dxa"/>
              <w:right w:w="12" w:type="dxa"/>
            </w:tcMar>
            <w:vAlign w:val="center"/>
          </w:tcPr>
          <w:p>
            <w:pPr>
              <w:widowControl/>
              <w:jc w:val="left"/>
              <w:textAlignment w:val="center"/>
              <w:rPr>
                <w:rFonts w:ascii="Times New Roman" w:hAnsi="Times New Roman" w:cs="Times New Roman"/>
                <w:color w:val="000000"/>
                <w:szCs w:val="21"/>
              </w:rPr>
            </w:pPr>
            <w:r>
              <w:rPr>
                <w:rFonts w:ascii="Times New Roman" w:hAnsi="Times New Roman" w:cs="Times New Roman"/>
                <w:color w:val="000000"/>
                <w:kern w:val="0"/>
                <w:szCs w:val="21"/>
              </w:rPr>
              <w:t>pGreen-35S-RFT1pro-R</w:t>
            </w:r>
          </w:p>
        </w:tc>
        <w:tc>
          <w:tcPr>
            <w:tcW w:w="7009" w:type="dxa"/>
            <w:tcBorders>
              <w:top w:val="nil"/>
              <w:left w:val="nil"/>
              <w:bottom w:val="single" w:color="000000" w:sz="8" w:space="0"/>
              <w:right w:val="nil"/>
            </w:tcBorders>
            <w:tcMar>
              <w:top w:w="12" w:type="dxa"/>
              <w:left w:w="12" w:type="dxa"/>
              <w:right w:w="12" w:type="dxa"/>
            </w:tcMar>
            <w:vAlign w:val="center"/>
          </w:tcPr>
          <w:p>
            <w:pPr>
              <w:widowControl/>
              <w:jc w:val="left"/>
              <w:textAlignment w:val="center"/>
              <w:rPr>
                <w:rFonts w:ascii="Times New Roman" w:hAnsi="Times New Roman" w:cs="Times New Roman"/>
                <w:color w:val="000000"/>
                <w:szCs w:val="21"/>
              </w:rPr>
            </w:pPr>
            <w:r>
              <w:rPr>
                <w:rFonts w:ascii="Times New Roman" w:hAnsi="Times New Roman" w:cs="Times New Roman"/>
                <w:color w:val="000000"/>
                <w:szCs w:val="21"/>
              </w:rPr>
              <w:t>CGCTCTAGAACTAGTGGATCCGTCAAATTAATAACCTCTAAC</w:t>
            </w:r>
          </w:p>
        </w:tc>
      </w:tr>
    </w:tbl>
    <w:p>
      <w:pPr>
        <w:rPr>
          <w:rFonts w:ascii="Times New Roman" w:hAnsi="Times New Roman" w:cs="Times New Roman"/>
          <w:b/>
          <w:bCs/>
          <w:color w:val="000000"/>
          <w:kern w:val="0"/>
          <w:sz w:val="24"/>
        </w:rPr>
      </w:pPr>
    </w:p>
    <w:p>
      <w:pPr>
        <w:spacing w:line="360" w:lineRule="auto"/>
        <w:rPr>
          <w:rFonts w:hint="eastAsia" w:ascii="Times New Roman" w:hAnsi="Times New Roman" w:cs="Times New Roman"/>
          <w:b/>
          <w:bCs/>
          <w:color w:val="000000"/>
          <w:kern w:val="0"/>
          <w:sz w:val="24"/>
        </w:rPr>
      </w:pPr>
    </w:p>
    <w:p>
      <w:pPr>
        <w:spacing w:line="360" w:lineRule="auto"/>
        <w:rPr>
          <w:rFonts w:hint="eastAsia" w:ascii="Times New Roman" w:hAnsi="Times New Roman" w:cs="Times New Roman"/>
          <w:b/>
          <w:bCs/>
          <w:color w:val="000000"/>
          <w:kern w:val="0"/>
          <w:sz w:val="24"/>
        </w:rPr>
      </w:pPr>
    </w:p>
    <w:p>
      <w:pPr>
        <w:spacing w:line="360" w:lineRule="auto"/>
        <w:rPr>
          <w:rFonts w:ascii="Times New Roman" w:hAnsi="Times New Roman" w:cs="Times New Roman"/>
          <w:b/>
          <w:bCs/>
          <w:color w:val="000000"/>
          <w:kern w:val="0"/>
          <w:sz w:val="24"/>
        </w:rPr>
      </w:pPr>
      <w:r>
        <w:rPr>
          <w:rFonts w:hint="eastAsia" w:ascii="Times New Roman" w:hAnsi="Times New Roman" w:cs="Times New Roman"/>
          <w:b/>
          <w:bCs/>
          <w:color w:val="000000"/>
          <w:kern w:val="0"/>
          <w:sz w:val="24"/>
        </w:rPr>
        <w:t>Materials and methods</w:t>
      </w:r>
    </w:p>
    <w:p>
      <w:pPr>
        <w:spacing w:line="360" w:lineRule="auto"/>
        <w:rPr>
          <w:rFonts w:ascii="Times New Roman" w:hAnsi="Times New Roman" w:cs="Times New Roman"/>
          <w:b/>
          <w:bCs/>
          <w:color w:val="000000"/>
          <w:kern w:val="0"/>
          <w:sz w:val="24"/>
        </w:rPr>
      </w:pPr>
      <w:r>
        <w:rPr>
          <w:rFonts w:hint="eastAsia" w:ascii="Times New Roman" w:hAnsi="Times New Roman" w:cs="Times New Roman"/>
          <w:b/>
          <w:bCs/>
          <w:color w:val="000000"/>
          <w:kern w:val="0"/>
          <w:sz w:val="24"/>
        </w:rPr>
        <w:t xml:space="preserve">Rice materials and growth conditions </w:t>
      </w:r>
    </w:p>
    <w:p>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Songjing 2,</w:t>
      </w:r>
      <w:r>
        <w:rPr>
          <w:rFonts w:ascii="Times New Roman" w:hAnsi="Times New Roman" w:cs="Times New Roman"/>
          <w:sz w:val="24"/>
        </w:rPr>
        <w:t xml:space="preserve"> </w:t>
      </w:r>
      <w:r>
        <w:rPr>
          <w:rFonts w:ascii="Times New Roman" w:hAnsi="Times New Roman" w:cs="Times New Roman"/>
        </w:rPr>
        <w:t>Longjing 11 (LJ11), Zhonghua 11(ZH11)</w:t>
      </w:r>
      <w:r>
        <w:rPr>
          <w:rFonts w:ascii="Times New Roman" w:hAnsi="Times New Roman" w:cs="Times New Roman"/>
          <w:sz w:val="24"/>
        </w:rPr>
        <w:t xml:space="preserve"> (</w:t>
      </w:r>
      <w:r>
        <w:rPr>
          <w:rFonts w:ascii="Times New Roman" w:hAnsi="Times New Roman" w:cs="Times New Roman"/>
          <w:i/>
          <w:sz w:val="24"/>
        </w:rPr>
        <w:t>Oryza</w:t>
      </w:r>
      <w:r>
        <w:rPr>
          <w:rFonts w:hint="eastAsia" w:ascii="Times New Roman" w:hAnsi="Times New Roman" w:cs="Times New Roman"/>
          <w:i/>
          <w:sz w:val="24"/>
        </w:rPr>
        <w:t xml:space="preserve"> </w:t>
      </w:r>
      <w:r>
        <w:rPr>
          <w:rFonts w:ascii="Times New Roman" w:hAnsi="Times New Roman" w:cs="Times New Roman"/>
          <w:i/>
          <w:sz w:val="24"/>
        </w:rPr>
        <w:t>sativa</w:t>
      </w:r>
      <w:r>
        <w:rPr>
          <w:rFonts w:ascii="Times New Roman" w:hAnsi="Times New Roman" w:cs="Times New Roman"/>
          <w:sz w:val="24"/>
        </w:rPr>
        <w:t>)</w:t>
      </w:r>
      <w:r>
        <w:rPr>
          <w:rFonts w:hint="eastAsia" w:ascii="Times New Roman" w:hAnsi="Times New Roman" w:cs="Times New Roman"/>
          <w:sz w:val="24"/>
        </w:rPr>
        <w:t xml:space="preserve"> cultivars </w:t>
      </w:r>
      <w:r>
        <w:rPr>
          <w:rFonts w:ascii="Times New Roman" w:hAnsi="Times New Roman" w:cs="Times New Roman"/>
          <w:sz w:val="24"/>
        </w:rPr>
        <w:t>w</w:t>
      </w:r>
      <w:r>
        <w:rPr>
          <w:rFonts w:hint="eastAsia" w:ascii="Times New Roman" w:hAnsi="Times New Roman" w:cs="Times New Roman"/>
          <w:sz w:val="24"/>
        </w:rPr>
        <w:t xml:space="preserve">as </w:t>
      </w:r>
      <w:r>
        <w:rPr>
          <w:rFonts w:ascii="Times New Roman" w:hAnsi="Times New Roman" w:cs="Times New Roman"/>
          <w:sz w:val="24"/>
        </w:rPr>
        <w:t>used</w:t>
      </w:r>
      <w:r>
        <w:rPr>
          <w:rFonts w:hint="eastAsia" w:ascii="Times New Roman" w:hAnsi="Times New Roman" w:cs="Times New Roman"/>
          <w:sz w:val="24"/>
        </w:rPr>
        <w:t xml:space="preserve"> </w:t>
      </w:r>
      <w:r>
        <w:rPr>
          <w:rFonts w:ascii="Times New Roman" w:hAnsi="Times New Roman" w:cs="Times New Roman"/>
          <w:sz w:val="24"/>
        </w:rPr>
        <w:t>for</w:t>
      </w:r>
      <w:r>
        <w:rPr>
          <w:rFonts w:hint="eastAsia" w:ascii="Times New Roman" w:hAnsi="Times New Roman" w:cs="Times New Roman"/>
          <w:sz w:val="24"/>
        </w:rPr>
        <w:t xml:space="preserve"> </w:t>
      </w:r>
      <w:r>
        <w:rPr>
          <w:rFonts w:ascii="Times New Roman" w:hAnsi="Times New Roman" w:cs="Times New Roman"/>
          <w:i/>
          <w:sz w:val="24"/>
        </w:rPr>
        <w:t>Agrobacterium</w:t>
      </w:r>
      <w:r>
        <w:rPr>
          <w:rFonts w:ascii="Times New Roman" w:hAnsi="Times New Roman" w:cs="Times New Roman"/>
          <w:sz w:val="24"/>
        </w:rPr>
        <w:t>-mediated</w:t>
      </w:r>
      <w:r>
        <w:rPr>
          <w:rFonts w:hint="eastAsia" w:ascii="Times New Roman" w:hAnsi="Times New Roman" w:cs="Times New Roman"/>
          <w:sz w:val="24"/>
        </w:rPr>
        <w:t xml:space="preserve"> </w:t>
      </w:r>
      <w:r>
        <w:rPr>
          <w:rFonts w:ascii="Times New Roman" w:hAnsi="Times New Roman" w:cs="Times New Roman"/>
          <w:sz w:val="24"/>
        </w:rPr>
        <w:t>co-cultivation</w:t>
      </w:r>
      <w:r>
        <w:rPr>
          <w:rFonts w:hint="eastAsia" w:ascii="Times New Roman" w:hAnsi="Times New Roman" w:cs="Times New Roman"/>
          <w:sz w:val="24"/>
        </w:rPr>
        <w:t xml:space="preserve"> </w:t>
      </w:r>
      <w:r>
        <w:rPr>
          <w:rFonts w:ascii="Times New Roman" w:hAnsi="Times New Roman" w:cs="Times New Roman"/>
          <w:sz w:val="24"/>
        </w:rPr>
        <w:t>transformation experiments,</w:t>
      </w:r>
      <w:r>
        <w:rPr>
          <w:rFonts w:hint="eastAsia" w:ascii="Times New Roman" w:hAnsi="Times New Roman" w:cs="Times New Roman"/>
          <w:sz w:val="24"/>
        </w:rPr>
        <w:t xml:space="preserve"> </w:t>
      </w:r>
      <w:r>
        <w:rPr>
          <w:rFonts w:ascii="Times New Roman" w:hAnsi="Times New Roman" w:cs="Times New Roman"/>
          <w:sz w:val="24"/>
        </w:rPr>
        <w:t xml:space="preserve">as described previously (Tian et al., 2015). </w:t>
      </w:r>
      <w:r>
        <w:rPr>
          <w:rFonts w:hint="eastAsia" w:ascii="Times New Roman" w:hAnsi="Times New Roman" w:cs="Times New Roman"/>
          <w:sz w:val="24"/>
        </w:rPr>
        <w:t>Plants were grown in Harbin (45</w:t>
      </w:r>
      <w:r>
        <w:rPr>
          <w:rFonts w:ascii="Times New Roman" w:hAnsi="Times New Roman" w:cs="Times New Roman"/>
          <w:sz w:val="24"/>
        </w:rPr>
        <w:t>°</w:t>
      </w:r>
      <w:r>
        <w:rPr>
          <w:rFonts w:hint="eastAsia" w:ascii="Times New Roman" w:hAnsi="Times New Roman" w:cs="Times New Roman"/>
          <w:sz w:val="24"/>
        </w:rPr>
        <w:t xml:space="preserve">N) with natural long day condition in the </w:t>
      </w:r>
      <w:r>
        <w:rPr>
          <w:rFonts w:ascii="Times New Roman" w:hAnsi="Times New Roman" w:cs="Times New Roman"/>
          <w:sz w:val="24"/>
        </w:rPr>
        <w:t>paddy</w:t>
      </w:r>
      <w:r>
        <w:rPr>
          <w:rFonts w:hint="eastAsia" w:ascii="Times New Roman" w:hAnsi="Times New Roman" w:cs="Times New Roman"/>
          <w:sz w:val="24"/>
        </w:rPr>
        <w:t xml:space="preserve"> field</w:t>
      </w:r>
      <w:r>
        <w:rPr>
          <w:rFonts w:ascii="Times New Roman" w:hAnsi="Times New Roman" w:cs="Times New Roman"/>
          <w:sz w:val="24"/>
        </w:rPr>
        <w:t xml:space="preserve"> (Li et al., 2015)</w:t>
      </w:r>
      <w:r>
        <w:rPr>
          <w:rFonts w:hint="eastAsia" w:ascii="Times New Roman" w:hAnsi="Times New Roman" w:cs="Times New Roman"/>
          <w:sz w:val="24"/>
        </w:rPr>
        <w:t>. Heading dates were recorded from sowing to the appearance of the first panicle</w:t>
      </w:r>
      <w:r>
        <w:rPr>
          <w:rFonts w:ascii="Times New Roman" w:hAnsi="Times New Roman" w:cs="Times New Roman"/>
          <w:sz w:val="24"/>
        </w:rPr>
        <w:t xml:space="preserve"> (Li et al., 2015)</w:t>
      </w:r>
      <w:r>
        <w:rPr>
          <w:rFonts w:hint="eastAsia" w:ascii="Times New Roman" w:hAnsi="Times New Roman" w:cs="Times New Roman"/>
          <w:sz w:val="24"/>
        </w:rPr>
        <w:t>.</w:t>
      </w:r>
    </w:p>
    <w:p>
      <w:pPr>
        <w:spacing w:line="360" w:lineRule="auto"/>
        <w:rPr>
          <w:rFonts w:ascii="Times New Roman" w:hAnsi="Times New Roman" w:cs="Times New Roman"/>
          <w:b/>
          <w:sz w:val="24"/>
          <w:szCs w:val="21"/>
        </w:rPr>
      </w:pPr>
      <w:r>
        <w:rPr>
          <w:rFonts w:ascii="Times New Roman" w:hAnsi="Times New Roman" w:cs="Times New Roman"/>
          <w:b/>
          <w:sz w:val="24"/>
          <w:szCs w:val="21"/>
        </w:rPr>
        <w:t>Plasmid construction</w:t>
      </w:r>
    </w:p>
    <w:p>
      <w:pPr>
        <w:spacing w:line="360" w:lineRule="auto"/>
        <w:ind w:firstLine="480" w:firstLineChars="200"/>
        <w:rPr>
          <w:rFonts w:ascii="Times New Roman" w:hAnsi="Times New Roman" w:cs="Times New Roman"/>
          <w:kern w:val="0"/>
          <w:sz w:val="24"/>
        </w:rPr>
      </w:pPr>
      <w:r>
        <w:rPr>
          <w:rFonts w:ascii="Times New Roman" w:hAnsi="Times New Roman" w:cs="Times New Roman"/>
          <w:kern w:val="0"/>
          <w:sz w:val="24"/>
        </w:rPr>
        <w:t xml:space="preserve">The four pairs of targets of promoter of RFT1 were selected and target sequence-containing chimeric primers were designed (Supplemental Table </w:t>
      </w:r>
      <w:r>
        <w:rPr>
          <w:rFonts w:hint="eastAsia" w:ascii="Times New Roman" w:hAnsi="Times New Roman" w:cs="Times New Roman"/>
          <w:kern w:val="0"/>
          <w:sz w:val="24"/>
          <w:lang w:val="en-US" w:eastAsia="zh-CN"/>
        </w:rPr>
        <w:t>1</w:t>
      </w:r>
      <w:r>
        <w:rPr>
          <w:rFonts w:ascii="Times New Roman" w:hAnsi="Times New Roman" w:cs="Times New Roman"/>
          <w:kern w:val="0"/>
          <w:sz w:val="24"/>
        </w:rPr>
        <w:t>), and ligated into the CRISPR/Cas9 binary vectors pYLCRISPR/Cas9Pubi-H (Ma et al., 2015).</w:t>
      </w:r>
      <w:r>
        <w:rPr>
          <w:rFonts w:hint="eastAsia" w:ascii="Times New Roman" w:hAnsi="Times New Roman" w:cs="Times New Roman"/>
          <w:kern w:val="0"/>
          <w:sz w:val="24"/>
        </w:rPr>
        <w:t xml:space="preserve"> </w:t>
      </w:r>
    </w:p>
    <w:p>
      <w:pPr>
        <w:spacing w:line="360" w:lineRule="auto"/>
        <w:rPr>
          <w:rFonts w:ascii="Times New Roman" w:hAnsi="Times New Roman" w:cs="Times New Roman"/>
          <w:b/>
          <w:sz w:val="24"/>
          <w:szCs w:val="21"/>
        </w:rPr>
      </w:pPr>
      <w:r>
        <w:rPr>
          <w:rFonts w:hint="eastAsia" w:ascii="Times New Roman" w:hAnsi="Times New Roman" w:cs="Times New Roman"/>
          <w:b/>
          <w:sz w:val="24"/>
          <w:szCs w:val="21"/>
        </w:rPr>
        <w:t>Rice</w:t>
      </w:r>
      <w:r>
        <w:rPr>
          <w:rFonts w:ascii="Times New Roman" w:hAnsi="Times New Roman" w:cs="Times New Roman"/>
          <w:b/>
          <w:sz w:val="24"/>
          <w:szCs w:val="21"/>
        </w:rPr>
        <w:t xml:space="preserve"> Transformation</w:t>
      </w:r>
      <w:r>
        <w:rPr>
          <w:rFonts w:hint="eastAsia" w:ascii="Times New Roman" w:hAnsi="Times New Roman" w:cs="Times New Roman"/>
          <w:b/>
          <w:sz w:val="24"/>
          <w:szCs w:val="21"/>
        </w:rPr>
        <w:t xml:space="preserve"> and </w:t>
      </w:r>
      <w:r>
        <w:rPr>
          <w:rFonts w:ascii="Times New Roman" w:hAnsi="Times New Roman" w:cs="Times New Roman"/>
          <w:b/>
          <w:sz w:val="24"/>
          <w:szCs w:val="21"/>
        </w:rPr>
        <w:t>Mutation Detection</w:t>
      </w:r>
    </w:p>
    <w:p>
      <w:pPr>
        <w:spacing w:line="360" w:lineRule="auto"/>
        <w:ind w:firstLine="480" w:firstLineChars="200"/>
        <w:rPr>
          <w:rFonts w:ascii="Times New Roman" w:hAnsi="Times New Roman" w:cs="Times New Roman"/>
          <w:bCs/>
          <w:sz w:val="24"/>
          <w:szCs w:val="21"/>
        </w:rPr>
      </w:pPr>
      <w:r>
        <w:rPr>
          <w:rFonts w:ascii="Times New Roman" w:hAnsi="Times New Roman" w:cs="Times New Roman"/>
          <w:bCs/>
          <w:sz w:val="24"/>
          <w:szCs w:val="21"/>
        </w:rPr>
        <w:t>T</w:t>
      </w:r>
      <w:r>
        <w:rPr>
          <w:rFonts w:ascii="Times New Roman" w:hAnsi="Times New Roman" w:cs="Times New Roman"/>
          <w:kern w:val="0"/>
          <w:sz w:val="24"/>
        </w:rPr>
        <w:t xml:space="preserve">he CRISPR/Cas9 constructs were introduced into Agrobacterium tumefaciens strain EHA105 by heat-shock. Rice transformation was performed as described previously (Tian et al., 2015). At T0 generation, genomic DNA was extracted from leaves of transgenic rice plants. PCR amplifications were carried out using hygromysin gene specific primer to identify the positive transgenic plants (Supplemental Table </w:t>
      </w:r>
      <w:r>
        <w:rPr>
          <w:rFonts w:hint="eastAsia" w:ascii="Times New Roman" w:hAnsi="Times New Roman" w:cs="Times New Roman"/>
          <w:kern w:val="0"/>
          <w:sz w:val="24"/>
          <w:lang w:val="en-US" w:eastAsia="zh-CN"/>
        </w:rPr>
        <w:t>1</w:t>
      </w:r>
      <w:r>
        <w:rPr>
          <w:rFonts w:ascii="Times New Roman" w:hAnsi="Times New Roman" w:cs="Times New Roman"/>
          <w:kern w:val="0"/>
          <w:sz w:val="24"/>
        </w:rPr>
        <w:t>). the promoter region was then amplified with sequencing primers and sequenced, the transgenic lines with mutation were chosen and used for further analys</w:t>
      </w:r>
      <w:r>
        <w:rPr>
          <w:rFonts w:ascii="Times New Roman" w:hAnsi="Times New Roman" w:cs="Times New Roman"/>
          <w:bCs/>
          <w:sz w:val="24"/>
          <w:szCs w:val="21"/>
        </w:rPr>
        <w:t>is.</w:t>
      </w:r>
      <w:r>
        <w:rPr>
          <w:rFonts w:hint="eastAsia" w:ascii="Times New Roman" w:hAnsi="Times New Roman" w:cs="Times New Roman"/>
          <w:bCs/>
          <w:sz w:val="24"/>
          <w:szCs w:val="21"/>
        </w:rPr>
        <w:t xml:space="preserve"> </w:t>
      </w:r>
    </w:p>
    <w:p>
      <w:pPr>
        <w:spacing w:line="360" w:lineRule="auto"/>
        <w:ind w:firstLine="482" w:firstLineChars="200"/>
        <w:rPr>
          <w:rFonts w:ascii="Times New Roman" w:hAnsi="Times New Roman" w:cs="Times New Roman"/>
          <w:b/>
          <w:bCs/>
          <w:kern w:val="0"/>
          <w:sz w:val="24"/>
        </w:rPr>
      </w:pPr>
      <w:r>
        <w:rPr>
          <w:rFonts w:hint="eastAsia" w:ascii="Times New Roman" w:hAnsi="Times New Roman" w:cs="Times New Roman"/>
          <w:b/>
          <w:bCs/>
          <w:kern w:val="0"/>
          <w:sz w:val="24"/>
        </w:rPr>
        <w:t>Gene expression analysis</w:t>
      </w:r>
    </w:p>
    <w:p>
      <w:pPr>
        <w:spacing w:line="360" w:lineRule="auto"/>
        <w:ind w:firstLine="480" w:firstLineChars="200"/>
        <w:rPr>
          <w:rFonts w:ascii="Times New Roman" w:hAnsi="Times New Roman" w:cs="Times New Roman"/>
          <w:bCs/>
          <w:sz w:val="24"/>
          <w:szCs w:val="21"/>
        </w:rPr>
      </w:pPr>
      <w:r>
        <w:rPr>
          <w:rFonts w:ascii="Times New Roman" w:hAnsi="Times New Roman" w:cs="Times New Roman"/>
          <w:sz w:val="24"/>
        </w:rPr>
        <w:t xml:space="preserve">Total RNA was extracted using TRIzol (Invitrogen). cDNA was synthesized from </w:t>
      </w:r>
      <w:r>
        <w:rPr>
          <w:rFonts w:hint="eastAsia" w:ascii="Times New Roman" w:hAnsi="Times New Roman" w:cs="Times New Roman"/>
          <w:sz w:val="24"/>
        </w:rPr>
        <w:t>1.5</w:t>
      </w:r>
      <w:r>
        <w:rPr>
          <w:rFonts w:ascii="Times New Roman" w:hAnsi="Times New Roman" w:cs="Times New Roman"/>
          <w:sz w:val="24"/>
        </w:rPr>
        <w:t xml:space="preserve"> µg of total RNA using PrimeScript™ 1st Strand cDNA Synthesis Kit</w:t>
      </w:r>
      <w:r>
        <w:rPr>
          <w:rFonts w:hint="eastAsia" w:ascii="Times New Roman" w:hAnsi="Times New Roman" w:cs="Times New Roman"/>
          <w:sz w:val="24"/>
        </w:rPr>
        <w:t xml:space="preserve"> </w:t>
      </w:r>
      <w:r>
        <w:rPr>
          <w:rFonts w:ascii="Times New Roman" w:hAnsi="Times New Roman" w:cs="Times New Roman"/>
          <w:sz w:val="24"/>
        </w:rPr>
        <w:t>(</w:t>
      </w:r>
      <w:r>
        <w:rPr>
          <w:rFonts w:hint="eastAsia" w:ascii="Times New Roman" w:hAnsi="Times New Roman" w:cs="Times New Roman"/>
          <w:sz w:val="24"/>
        </w:rPr>
        <w:t>T</w:t>
      </w:r>
      <w:r>
        <w:rPr>
          <w:rFonts w:ascii="Times New Roman" w:hAnsi="Times New Roman" w:cs="Times New Roman"/>
          <w:sz w:val="24"/>
        </w:rPr>
        <w:t>akara). Real-time PCR was performed with SYBR Green PCR master mix (</w:t>
      </w:r>
      <w:r>
        <w:rPr>
          <w:rFonts w:hint="eastAsia" w:ascii="Times New Roman" w:hAnsi="Times New Roman" w:cs="Times New Roman"/>
          <w:sz w:val="24"/>
        </w:rPr>
        <w:t>TransGen</w:t>
      </w:r>
      <w:r>
        <w:rPr>
          <w:rFonts w:ascii="Times New Roman" w:hAnsi="Times New Roman" w:cs="Times New Roman"/>
          <w:sz w:val="24"/>
        </w:rPr>
        <w:t>). Data were collected using</w:t>
      </w:r>
      <w:r>
        <w:rPr>
          <w:rFonts w:hint="eastAsia" w:ascii="Times New Roman" w:hAnsi="Times New Roman" w:cs="Times New Roman"/>
          <w:sz w:val="24"/>
        </w:rPr>
        <w:t xml:space="preserve"> </w:t>
      </w:r>
      <w:r>
        <w:rPr>
          <w:rFonts w:ascii="Times New Roman" w:hAnsi="Times New Roman" w:cs="Times New Roman"/>
          <w:sz w:val="24"/>
        </w:rPr>
        <w:t xml:space="preserve">LightCycler480 II real-time PCR detector. All expressions were normalized against the </w:t>
      </w:r>
      <w:r>
        <w:rPr>
          <w:rFonts w:ascii="Times New Roman" w:hAnsi="Times New Roman" w:cs="Times New Roman"/>
          <w:i/>
          <w:sz w:val="24"/>
        </w:rPr>
        <w:t>ubiquitin</w:t>
      </w:r>
      <w:r>
        <w:rPr>
          <w:rFonts w:ascii="Times New Roman" w:hAnsi="Times New Roman" w:cs="Times New Roman"/>
          <w:sz w:val="24"/>
        </w:rPr>
        <w:t xml:space="preserve"> gene (Os01g0328400). The primers used are listed at Supplemental Table </w:t>
      </w:r>
      <w:r>
        <w:rPr>
          <w:rFonts w:hint="eastAsia" w:ascii="Times New Roman" w:hAnsi="Times New Roman" w:cs="Times New Roman"/>
          <w:sz w:val="24"/>
          <w:lang w:val="en-US" w:eastAsia="zh-CN"/>
        </w:rPr>
        <w:t>1</w:t>
      </w:r>
      <w:r>
        <w:rPr>
          <w:rFonts w:ascii="Times New Roman" w:hAnsi="Times New Roman" w:cs="Times New Roman"/>
          <w:sz w:val="24"/>
        </w:rPr>
        <w:t xml:space="preserve">. Three biological repeats were performed for each analysis. </w:t>
      </w:r>
    </w:p>
    <w:p>
      <w:pPr>
        <w:rPr>
          <w:rFonts w:ascii="Times New Roman" w:hAnsi="Times New Roman" w:cs="Times New Roman"/>
          <w:b/>
          <w:bCs/>
          <w:kern w:val="0"/>
          <w:sz w:val="24"/>
        </w:rPr>
      </w:pPr>
      <w:r>
        <w:rPr>
          <w:rFonts w:hint="eastAsia" w:ascii="Times New Roman" w:hAnsi="Times New Roman" w:cs="Times New Roman"/>
          <w:b/>
          <w:bCs/>
          <w:kern w:val="0"/>
          <w:sz w:val="24"/>
        </w:rPr>
        <w:t>Protoplast transient transformation assays</w:t>
      </w:r>
    </w:p>
    <w:p>
      <w:pPr>
        <w:spacing w:line="360" w:lineRule="auto"/>
        <w:ind w:firstLine="480" w:firstLineChars="200"/>
        <w:rPr>
          <w:rFonts w:ascii="Times New Roman" w:hAnsi="Times New Roman" w:cs="Times New Roman"/>
          <w:kern w:val="0"/>
          <w:sz w:val="24"/>
        </w:rPr>
      </w:pPr>
      <w:r>
        <w:rPr>
          <w:rFonts w:hint="eastAsia" w:ascii="Times New Roman" w:hAnsi="Times New Roman" w:cs="Times New Roman"/>
          <w:kern w:val="0"/>
          <w:sz w:val="24"/>
        </w:rPr>
        <w:t xml:space="preserve">The </w:t>
      </w:r>
      <w:r>
        <w:rPr>
          <w:rFonts w:hint="eastAsia" w:ascii="Times New Roman" w:hAnsi="Times New Roman" w:cs="Times New Roman"/>
          <w:i/>
          <w:iCs/>
          <w:kern w:val="0"/>
          <w:sz w:val="24"/>
        </w:rPr>
        <w:t>pGreenII 0800-LUC</w:t>
      </w:r>
      <w:r>
        <w:rPr>
          <w:rFonts w:hint="eastAsia" w:ascii="Times New Roman" w:hAnsi="Times New Roman" w:cs="Times New Roman"/>
          <w:kern w:val="0"/>
          <w:sz w:val="24"/>
        </w:rPr>
        <w:t xml:space="preserve"> empty vector was used as </w:t>
      </w:r>
      <w:r>
        <w:rPr>
          <w:rFonts w:ascii="Times New Roman" w:hAnsi="Times New Roman" w:cs="Times New Roman"/>
          <w:kern w:val="0"/>
          <w:sz w:val="24"/>
        </w:rPr>
        <w:t>negative control</w:t>
      </w:r>
      <w:r>
        <w:rPr>
          <w:rFonts w:hint="eastAsia" w:ascii="Times New Roman" w:hAnsi="Times New Roman" w:cs="Times New Roman"/>
          <w:kern w:val="0"/>
          <w:sz w:val="24"/>
        </w:rPr>
        <w:t>,</w:t>
      </w:r>
      <w:r>
        <w:rPr>
          <w:rFonts w:ascii="Times New Roman" w:hAnsi="Times New Roman" w:cs="Times New Roman"/>
          <w:kern w:val="0"/>
          <w:sz w:val="24"/>
        </w:rPr>
        <w:t xml:space="preserve"> </w:t>
      </w:r>
      <w:r>
        <w:rPr>
          <w:rFonts w:hint="eastAsia" w:ascii="Times New Roman" w:hAnsi="Times New Roman" w:cs="Times New Roman"/>
          <w:kern w:val="0"/>
          <w:sz w:val="24"/>
        </w:rPr>
        <w:t xml:space="preserve">and </w:t>
      </w:r>
      <w:r>
        <w:rPr>
          <w:rFonts w:hint="eastAsia" w:ascii="Times New Roman" w:hAnsi="Times New Roman" w:cs="Times New Roman"/>
          <w:i/>
          <w:iCs/>
          <w:kern w:val="0"/>
          <w:sz w:val="24"/>
        </w:rPr>
        <w:t>35S</w:t>
      </w:r>
      <w:r>
        <w:rPr>
          <w:rFonts w:hint="eastAsia" w:ascii="Times New Roman" w:hAnsi="Times New Roman" w:cs="Times New Roman"/>
          <w:kern w:val="0"/>
          <w:sz w:val="24"/>
        </w:rPr>
        <w:t xml:space="preserve"> promoter w</w:t>
      </w:r>
      <w:r>
        <w:rPr>
          <w:rFonts w:ascii="Times New Roman" w:hAnsi="Times New Roman" w:cs="Times New Roman"/>
          <w:kern w:val="0"/>
          <w:sz w:val="24"/>
        </w:rPr>
        <w:t>as</w:t>
      </w:r>
      <w:r>
        <w:rPr>
          <w:rFonts w:hint="eastAsia" w:ascii="Times New Roman" w:hAnsi="Times New Roman" w:cs="Times New Roman"/>
          <w:kern w:val="0"/>
          <w:sz w:val="24"/>
        </w:rPr>
        <w:t xml:space="preserve"> cloned into </w:t>
      </w:r>
      <w:r>
        <w:rPr>
          <w:rFonts w:hint="eastAsia" w:ascii="Times New Roman" w:hAnsi="Times New Roman" w:cs="Times New Roman"/>
          <w:i/>
          <w:iCs/>
          <w:kern w:val="0"/>
          <w:sz w:val="24"/>
        </w:rPr>
        <w:t>pGreenII 0800-LUC</w:t>
      </w:r>
      <w:r>
        <w:rPr>
          <w:rFonts w:hint="eastAsia" w:ascii="Times New Roman" w:hAnsi="Times New Roman" w:cs="Times New Roman"/>
          <w:kern w:val="0"/>
          <w:sz w:val="24"/>
        </w:rPr>
        <w:t xml:space="preserve"> vector used as </w:t>
      </w:r>
      <w:r>
        <w:rPr>
          <w:rFonts w:ascii="Times New Roman" w:hAnsi="Times New Roman" w:cs="Times New Roman"/>
          <w:kern w:val="0"/>
          <w:sz w:val="24"/>
        </w:rPr>
        <w:t>positive control</w:t>
      </w:r>
      <w:bookmarkStart w:id="3" w:name="_GoBack"/>
      <w:bookmarkEnd w:id="3"/>
      <w:r>
        <w:rPr>
          <w:rFonts w:hint="eastAsia" w:ascii="Times New Roman" w:hAnsi="Times New Roman" w:cs="Times New Roman"/>
          <w:kern w:val="0"/>
          <w:sz w:val="24"/>
        </w:rPr>
        <w:t xml:space="preserve"> (</w:t>
      </w:r>
      <w:bookmarkStart w:id="1" w:name="OLE_LINK1"/>
      <w:r>
        <w:rPr>
          <w:rFonts w:hint="eastAsia" w:ascii="Times New Roman" w:hAnsi="Times New Roman" w:cs="Times New Roman"/>
          <w:kern w:val="0"/>
          <w:sz w:val="24"/>
        </w:rPr>
        <w:t xml:space="preserve">Supplemental Table </w:t>
      </w:r>
      <w:bookmarkEnd w:id="1"/>
      <w:r>
        <w:rPr>
          <w:rFonts w:hint="eastAsia" w:ascii="Times New Roman" w:hAnsi="Times New Roman" w:cs="Times New Roman"/>
          <w:kern w:val="0"/>
          <w:sz w:val="24"/>
          <w:lang w:val="en-US" w:eastAsia="zh-CN"/>
        </w:rPr>
        <w:t>1</w:t>
      </w:r>
      <w:r>
        <w:rPr>
          <w:rFonts w:hint="eastAsia" w:ascii="Times New Roman" w:hAnsi="Times New Roman" w:cs="Times New Roman"/>
          <w:kern w:val="0"/>
          <w:sz w:val="24"/>
        </w:rPr>
        <w:t xml:space="preserve">). </w:t>
      </w:r>
      <w:r>
        <w:rPr>
          <w:rFonts w:ascii="Times New Roman" w:hAnsi="Times New Roman" w:cs="Times New Roman"/>
          <w:kern w:val="0"/>
          <w:sz w:val="24"/>
        </w:rPr>
        <w:t xml:space="preserve">The promoter of RFT1 and six mutated promoter of RFT1 were inserted between 35S promoter and LUC reporter of pGreenII 0800-LUC vector. </w:t>
      </w:r>
      <w:r>
        <w:rPr>
          <w:rFonts w:hint="eastAsia" w:ascii="Times New Roman" w:hAnsi="Times New Roman" w:cs="Times New Roman"/>
          <w:kern w:val="0"/>
          <w:sz w:val="24"/>
        </w:rPr>
        <w:t xml:space="preserve">The Renilla luciferase (REN) gene directed by </w:t>
      </w:r>
      <w:r>
        <w:rPr>
          <w:rFonts w:hint="eastAsia" w:ascii="Times New Roman" w:hAnsi="Times New Roman" w:cs="Times New Roman"/>
          <w:i/>
          <w:iCs/>
          <w:kern w:val="0"/>
          <w:sz w:val="24"/>
        </w:rPr>
        <w:t>35S</w:t>
      </w:r>
      <w:r>
        <w:rPr>
          <w:rFonts w:hint="eastAsia" w:ascii="Times New Roman" w:hAnsi="Times New Roman" w:cs="Times New Roman"/>
          <w:kern w:val="0"/>
          <w:sz w:val="24"/>
        </w:rPr>
        <w:t xml:space="preserve"> promoter was used as an internal control. Firefly LUC and REN activities were measured with a Dual-Luciferase reporter assay kit (Beyotime, RG027) using a GloMax 20/20 luminometer (Promega). The LUC activity was normalized to REN activity and LUC/REN ratios were calculated. For each plasmid, three independent transformations were performed. Values are means ± SE of three biological repeats.</w:t>
      </w:r>
    </w:p>
    <w:p>
      <w:pPr>
        <w:spacing w:line="360" w:lineRule="auto"/>
        <w:ind w:firstLine="480" w:firstLineChars="200"/>
        <w:rPr>
          <w:rFonts w:ascii="Times New Roman" w:hAnsi="Times New Roman" w:cs="Times New Roman"/>
          <w:kern w:val="0"/>
          <w:sz w:val="24"/>
        </w:rPr>
      </w:pPr>
    </w:p>
    <w:p>
      <w:pPr>
        <w:spacing w:line="360" w:lineRule="auto"/>
        <w:ind w:firstLine="480" w:firstLineChars="200"/>
        <w:rPr>
          <w:rFonts w:ascii="Times New Roman" w:hAnsi="Times New Roman" w:cs="Times New Roman"/>
          <w:kern w:val="0"/>
          <w:sz w:val="24"/>
        </w:rPr>
      </w:pPr>
    </w:p>
    <w:p>
      <w:pPr>
        <w:widowControl w:val="0"/>
        <w:jc w:val="both"/>
        <w:rPr>
          <w:rFonts w:ascii="Times New Roman" w:hAnsi="Times New Roman" w:eastAsia="宋体" w:cs="Times New Roman"/>
          <w:kern w:val="2"/>
          <w:sz w:val="20"/>
          <w:szCs w:val="24"/>
          <w:lang w:val="en-US" w:eastAsia="zh-CN" w:bidi="ar-SA"/>
        </w:rPr>
      </w:pPr>
      <w:r>
        <w:rPr>
          <w:rFonts w:ascii="Times New Roman" w:hAnsi="Times New Roman" w:eastAsia="宋体" w:cs="Times New Roman"/>
          <w:kern w:val="2"/>
          <w:sz w:val="20"/>
          <w:szCs w:val="24"/>
          <w:lang w:val="en-US" w:eastAsia="zh-CN" w:bidi="ar-SA"/>
        </w:rPr>
        <w:t>Li</w:t>
      </w:r>
      <w:r>
        <w:rPr>
          <w:rFonts w:hint="eastAsia" w:ascii="Times New Roman" w:hAnsi="Times New Roman" w:eastAsia="宋体" w:cs="Times New Roman"/>
          <w:kern w:val="2"/>
          <w:sz w:val="20"/>
          <w:szCs w:val="24"/>
          <w:lang w:val="en-US" w:eastAsia="zh-CN" w:bidi="ar-SA"/>
        </w:rPr>
        <w:t xml:space="preserve"> </w:t>
      </w:r>
      <w:r>
        <w:rPr>
          <w:rFonts w:ascii="Times New Roman" w:hAnsi="Times New Roman" w:eastAsia="宋体" w:cs="Times New Roman"/>
          <w:kern w:val="2"/>
          <w:sz w:val="20"/>
          <w:szCs w:val="24"/>
          <w:lang w:val="en-US" w:eastAsia="zh-CN" w:bidi="ar-SA"/>
        </w:rPr>
        <w:t>X</w:t>
      </w:r>
      <w:r>
        <w:rPr>
          <w:rFonts w:hint="eastAsia" w:ascii="Times New Roman" w:hAnsi="Times New Roman" w:eastAsia="宋体" w:cs="Times New Roman"/>
          <w:kern w:val="2"/>
          <w:sz w:val="20"/>
          <w:szCs w:val="24"/>
          <w:lang w:val="en-US" w:eastAsia="zh-CN" w:bidi="ar-SA"/>
        </w:rPr>
        <w:t xml:space="preserve"> </w:t>
      </w:r>
      <w:r>
        <w:rPr>
          <w:rFonts w:ascii="Times New Roman" w:hAnsi="Times New Roman" w:eastAsia="宋体" w:cs="Times New Roman"/>
          <w:kern w:val="2"/>
          <w:sz w:val="20"/>
          <w:szCs w:val="24"/>
          <w:lang w:val="en-US" w:eastAsia="zh-CN" w:bidi="ar-SA"/>
        </w:rPr>
        <w:t>F, Liu</w:t>
      </w:r>
      <w:r>
        <w:rPr>
          <w:rFonts w:hint="eastAsia" w:ascii="Times New Roman" w:hAnsi="Times New Roman" w:eastAsia="宋体" w:cs="Times New Roman"/>
          <w:kern w:val="2"/>
          <w:sz w:val="20"/>
          <w:szCs w:val="24"/>
          <w:lang w:val="en-US" w:eastAsia="zh-CN" w:bidi="ar-SA"/>
        </w:rPr>
        <w:t xml:space="preserve"> </w:t>
      </w:r>
      <w:r>
        <w:rPr>
          <w:rFonts w:ascii="Times New Roman" w:hAnsi="Times New Roman" w:eastAsia="宋体" w:cs="Times New Roman"/>
          <w:kern w:val="2"/>
          <w:sz w:val="20"/>
          <w:szCs w:val="24"/>
          <w:lang w:val="en-US" w:eastAsia="zh-CN" w:bidi="ar-SA"/>
        </w:rPr>
        <w:t>H</w:t>
      </w:r>
      <w:r>
        <w:rPr>
          <w:rFonts w:hint="eastAsia" w:ascii="Times New Roman" w:hAnsi="Times New Roman" w:eastAsia="宋体" w:cs="Times New Roman"/>
          <w:kern w:val="2"/>
          <w:sz w:val="20"/>
          <w:szCs w:val="24"/>
          <w:lang w:val="en-US" w:eastAsia="zh-CN" w:bidi="ar-SA"/>
        </w:rPr>
        <w:t xml:space="preserve"> </w:t>
      </w:r>
      <w:r>
        <w:rPr>
          <w:rFonts w:ascii="Times New Roman" w:hAnsi="Times New Roman" w:eastAsia="宋体" w:cs="Times New Roman"/>
          <w:kern w:val="2"/>
          <w:sz w:val="20"/>
          <w:szCs w:val="24"/>
          <w:lang w:val="en-US" w:eastAsia="zh-CN" w:bidi="ar-SA"/>
        </w:rPr>
        <w:t>Z, Wang</w:t>
      </w:r>
      <w:r>
        <w:rPr>
          <w:rFonts w:hint="eastAsia" w:ascii="Times New Roman" w:hAnsi="Times New Roman" w:eastAsia="宋体" w:cs="Times New Roman"/>
          <w:kern w:val="2"/>
          <w:sz w:val="20"/>
          <w:szCs w:val="24"/>
          <w:lang w:val="en-US" w:eastAsia="zh-CN" w:bidi="ar-SA"/>
        </w:rPr>
        <w:t xml:space="preserve"> </w:t>
      </w:r>
      <w:r>
        <w:rPr>
          <w:rFonts w:ascii="Times New Roman" w:hAnsi="Times New Roman" w:eastAsia="宋体" w:cs="Times New Roman"/>
          <w:kern w:val="2"/>
          <w:sz w:val="20"/>
          <w:szCs w:val="24"/>
          <w:lang w:val="en-US" w:eastAsia="zh-CN" w:bidi="ar-SA"/>
        </w:rPr>
        <w:t>M</w:t>
      </w:r>
      <w:r>
        <w:rPr>
          <w:rFonts w:hint="eastAsia" w:ascii="Times New Roman" w:hAnsi="Times New Roman" w:eastAsia="宋体" w:cs="Times New Roman"/>
          <w:kern w:val="2"/>
          <w:sz w:val="20"/>
          <w:szCs w:val="24"/>
          <w:lang w:val="en-US" w:eastAsia="zh-CN" w:bidi="ar-SA"/>
        </w:rPr>
        <w:t xml:space="preserve"> </w:t>
      </w:r>
      <w:r>
        <w:rPr>
          <w:rFonts w:ascii="Times New Roman" w:hAnsi="Times New Roman" w:eastAsia="宋体" w:cs="Times New Roman"/>
          <w:kern w:val="2"/>
          <w:sz w:val="20"/>
          <w:szCs w:val="24"/>
          <w:lang w:val="en-US" w:eastAsia="zh-CN" w:bidi="ar-SA"/>
        </w:rPr>
        <w:t>Q, Liu</w:t>
      </w:r>
      <w:r>
        <w:rPr>
          <w:rFonts w:hint="eastAsia" w:ascii="Times New Roman" w:hAnsi="Times New Roman" w:eastAsia="宋体" w:cs="Times New Roman"/>
          <w:kern w:val="2"/>
          <w:sz w:val="20"/>
          <w:szCs w:val="24"/>
          <w:lang w:val="en-US" w:eastAsia="zh-CN" w:bidi="ar-SA"/>
        </w:rPr>
        <w:t xml:space="preserve"> </w:t>
      </w:r>
      <w:r>
        <w:rPr>
          <w:rFonts w:ascii="Times New Roman" w:hAnsi="Times New Roman" w:eastAsia="宋体" w:cs="Times New Roman"/>
          <w:kern w:val="2"/>
          <w:sz w:val="20"/>
          <w:szCs w:val="24"/>
          <w:lang w:val="en-US" w:eastAsia="zh-CN" w:bidi="ar-SA"/>
        </w:rPr>
        <w:t>H</w:t>
      </w:r>
      <w:r>
        <w:rPr>
          <w:rFonts w:hint="eastAsia" w:ascii="Times New Roman" w:hAnsi="Times New Roman" w:eastAsia="宋体" w:cs="Times New Roman"/>
          <w:kern w:val="2"/>
          <w:sz w:val="20"/>
          <w:szCs w:val="24"/>
          <w:lang w:val="en-US" w:eastAsia="zh-CN" w:bidi="ar-SA"/>
        </w:rPr>
        <w:t xml:space="preserve"> </w:t>
      </w:r>
      <w:r>
        <w:rPr>
          <w:rFonts w:ascii="Times New Roman" w:hAnsi="Times New Roman" w:eastAsia="宋体" w:cs="Times New Roman"/>
          <w:kern w:val="2"/>
          <w:sz w:val="20"/>
          <w:szCs w:val="24"/>
          <w:lang w:val="en-US" w:eastAsia="zh-CN" w:bidi="ar-SA"/>
        </w:rPr>
        <w:t>L, Tian</w:t>
      </w:r>
      <w:r>
        <w:rPr>
          <w:rFonts w:hint="eastAsia" w:ascii="Times New Roman" w:hAnsi="Times New Roman" w:eastAsia="宋体" w:cs="Times New Roman"/>
          <w:kern w:val="2"/>
          <w:sz w:val="20"/>
          <w:szCs w:val="24"/>
          <w:lang w:val="en-US" w:eastAsia="zh-CN" w:bidi="ar-SA"/>
        </w:rPr>
        <w:t xml:space="preserve"> </w:t>
      </w:r>
      <w:r>
        <w:rPr>
          <w:rFonts w:ascii="Times New Roman" w:hAnsi="Times New Roman" w:eastAsia="宋体" w:cs="Times New Roman"/>
          <w:kern w:val="2"/>
          <w:sz w:val="20"/>
          <w:szCs w:val="24"/>
          <w:lang w:val="en-US" w:eastAsia="zh-CN" w:bidi="ar-SA"/>
        </w:rPr>
        <w:t>X</w:t>
      </w:r>
      <w:r>
        <w:rPr>
          <w:rFonts w:hint="eastAsia" w:ascii="Times New Roman" w:hAnsi="Times New Roman" w:eastAsia="宋体" w:cs="Times New Roman"/>
          <w:kern w:val="2"/>
          <w:sz w:val="20"/>
          <w:szCs w:val="24"/>
          <w:lang w:val="en-US" w:eastAsia="zh-CN" w:bidi="ar-SA"/>
        </w:rPr>
        <w:t xml:space="preserve"> </w:t>
      </w:r>
      <w:r>
        <w:rPr>
          <w:rFonts w:ascii="Times New Roman" w:hAnsi="Times New Roman" w:eastAsia="宋体" w:cs="Times New Roman"/>
          <w:kern w:val="2"/>
          <w:sz w:val="20"/>
          <w:szCs w:val="24"/>
          <w:lang w:val="en-US" w:eastAsia="zh-CN" w:bidi="ar-SA"/>
        </w:rPr>
        <w:t>J, Zhou</w:t>
      </w:r>
      <w:r>
        <w:rPr>
          <w:rFonts w:hint="eastAsia" w:ascii="Times New Roman" w:hAnsi="Times New Roman" w:eastAsia="宋体" w:cs="Times New Roman"/>
          <w:kern w:val="2"/>
          <w:sz w:val="20"/>
          <w:szCs w:val="24"/>
          <w:lang w:val="en-US" w:eastAsia="zh-CN" w:bidi="ar-SA"/>
        </w:rPr>
        <w:t xml:space="preserve"> </w:t>
      </w:r>
      <w:r>
        <w:rPr>
          <w:rFonts w:ascii="Times New Roman" w:hAnsi="Times New Roman" w:eastAsia="宋体" w:cs="Times New Roman"/>
          <w:kern w:val="2"/>
          <w:sz w:val="20"/>
          <w:szCs w:val="24"/>
          <w:lang w:val="en-US" w:eastAsia="zh-CN" w:bidi="ar-SA"/>
        </w:rPr>
        <w:t>W</w:t>
      </w:r>
      <w:r>
        <w:rPr>
          <w:rFonts w:hint="eastAsia" w:ascii="Times New Roman" w:hAnsi="Times New Roman" w:eastAsia="宋体" w:cs="Times New Roman"/>
          <w:kern w:val="2"/>
          <w:sz w:val="20"/>
          <w:szCs w:val="24"/>
          <w:lang w:val="en-US" w:eastAsia="zh-CN" w:bidi="ar-SA"/>
        </w:rPr>
        <w:t xml:space="preserve"> </w:t>
      </w:r>
      <w:r>
        <w:rPr>
          <w:rFonts w:ascii="Times New Roman" w:hAnsi="Times New Roman" w:eastAsia="宋体" w:cs="Times New Roman"/>
          <w:kern w:val="2"/>
          <w:sz w:val="20"/>
          <w:szCs w:val="24"/>
          <w:lang w:val="en-US" w:eastAsia="zh-CN" w:bidi="ar-SA"/>
        </w:rPr>
        <w:t>J, L</w:t>
      </w:r>
      <w:r>
        <w:rPr>
          <w:rFonts w:hint="eastAsia" w:ascii="Times New Roman" w:hAnsi="Times New Roman" w:eastAsia="宋体" w:cs="Times New Roman"/>
          <w:kern w:val="2"/>
          <w:sz w:val="20"/>
          <w:szCs w:val="24"/>
          <w:lang w:val="en-US" w:eastAsia="zh-CN" w:bidi="ar-SA"/>
        </w:rPr>
        <w:t xml:space="preserve">v </w:t>
      </w:r>
      <w:r>
        <w:rPr>
          <w:rFonts w:ascii="Times New Roman" w:hAnsi="Times New Roman" w:eastAsia="宋体" w:cs="Times New Roman"/>
          <w:kern w:val="2"/>
          <w:sz w:val="20"/>
          <w:szCs w:val="24"/>
          <w:lang w:val="en-US" w:eastAsia="zh-CN" w:bidi="ar-SA"/>
        </w:rPr>
        <w:t>T</w:t>
      </w:r>
      <w:r>
        <w:rPr>
          <w:rFonts w:hint="eastAsia" w:ascii="Times New Roman" w:hAnsi="Times New Roman" w:eastAsia="宋体" w:cs="Times New Roman"/>
          <w:kern w:val="2"/>
          <w:sz w:val="20"/>
          <w:szCs w:val="24"/>
          <w:lang w:val="en-US" w:eastAsia="zh-CN" w:bidi="ar-SA"/>
        </w:rPr>
        <w:t xml:space="preserve"> </w:t>
      </w:r>
      <w:r>
        <w:rPr>
          <w:rFonts w:ascii="Times New Roman" w:hAnsi="Times New Roman" w:eastAsia="宋体" w:cs="Times New Roman"/>
          <w:kern w:val="2"/>
          <w:sz w:val="20"/>
          <w:szCs w:val="24"/>
          <w:lang w:val="en-US" w:eastAsia="zh-CN" w:bidi="ar-SA"/>
        </w:rPr>
        <w:t>X, Wang</w:t>
      </w:r>
      <w:r>
        <w:rPr>
          <w:rFonts w:hint="eastAsia" w:ascii="Times New Roman" w:hAnsi="Times New Roman" w:eastAsia="宋体" w:cs="Times New Roman"/>
          <w:kern w:val="2"/>
          <w:sz w:val="20"/>
          <w:szCs w:val="24"/>
          <w:lang w:val="en-US" w:eastAsia="zh-CN" w:bidi="ar-SA"/>
        </w:rPr>
        <w:t xml:space="preserve"> </w:t>
      </w:r>
      <w:r>
        <w:rPr>
          <w:rFonts w:ascii="Times New Roman" w:hAnsi="Times New Roman" w:eastAsia="宋体" w:cs="Times New Roman"/>
          <w:kern w:val="2"/>
          <w:sz w:val="20"/>
          <w:szCs w:val="24"/>
          <w:lang w:val="en-US" w:eastAsia="zh-CN" w:bidi="ar-SA"/>
        </w:rPr>
        <w:t>Z</w:t>
      </w:r>
      <w:r>
        <w:rPr>
          <w:rFonts w:hint="eastAsia" w:ascii="Times New Roman" w:hAnsi="Times New Roman" w:eastAsia="宋体" w:cs="Times New Roman"/>
          <w:kern w:val="2"/>
          <w:sz w:val="20"/>
          <w:szCs w:val="24"/>
          <w:lang w:val="en-US" w:eastAsia="zh-CN" w:bidi="ar-SA"/>
        </w:rPr>
        <w:t xml:space="preserve"> </w:t>
      </w:r>
      <w:r>
        <w:rPr>
          <w:rFonts w:ascii="Times New Roman" w:hAnsi="Times New Roman" w:eastAsia="宋体" w:cs="Times New Roman"/>
          <w:kern w:val="2"/>
          <w:sz w:val="20"/>
          <w:szCs w:val="24"/>
          <w:lang w:val="en-US" w:eastAsia="zh-CN" w:bidi="ar-SA"/>
        </w:rPr>
        <w:t>Y, Chu</w:t>
      </w:r>
      <w:r>
        <w:rPr>
          <w:rFonts w:hint="eastAsia" w:ascii="Times New Roman" w:hAnsi="Times New Roman" w:eastAsia="宋体" w:cs="Times New Roman"/>
          <w:kern w:val="2"/>
          <w:sz w:val="20"/>
          <w:szCs w:val="24"/>
          <w:lang w:val="en-US" w:eastAsia="zh-CN" w:bidi="ar-SA"/>
        </w:rPr>
        <w:t xml:space="preserve"> </w:t>
      </w:r>
      <w:r>
        <w:rPr>
          <w:rFonts w:ascii="Times New Roman" w:hAnsi="Times New Roman" w:eastAsia="宋体" w:cs="Times New Roman"/>
          <w:kern w:val="2"/>
          <w:sz w:val="20"/>
          <w:szCs w:val="24"/>
          <w:lang w:val="en-US" w:eastAsia="zh-CN" w:bidi="ar-SA"/>
        </w:rPr>
        <w:t>C</w:t>
      </w:r>
      <w:r>
        <w:rPr>
          <w:rFonts w:hint="eastAsia" w:ascii="Times New Roman" w:hAnsi="Times New Roman" w:eastAsia="宋体" w:cs="Times New Roman"/>
          <w:kern w:val="2"/>
          <w:sz w:val="20"/>
          <w:szCs w:val="24"/>
          <w:lang w:val="en-US" w:eastAsia="zh-CN" w:bidi="ar-SA"/>
        </w:rPr>
        <w:t xml:space="preserve"> </w:t>
      </w:r>
      <w:r>
        <w:rPr>
          <w:rFonts w:ascii="Times New Roman" w:hAnsi="Times New Roman" w:eastAsia="宋体" w:cs="Times New Roman"/>
          <w:kern w:val="2"/>
          <w:sz w:val="20"/>
          <w:szCs w:val="24"/>
          <w:lang w:val="en-US" w:eastAsia="zh-CN" w:bidi="ar-SA"/>
        </w:rPr>
        <w:t>C, Fang</w:t>
      </w:r>
      <w:r>
        <w:rPr>
          <w:rFonts w:hint="eastAsia" w:ascii="Times New Roman" w:hAnsi="Times New Roman" w:eastAsia="宋体" w:cs="Times New Roman"/>
          <w:kern w:val="2"/>
          <w:sz w:val="20"/>
          <w:szCs w:val="24"/>
          <w:lang w:val="en-US" w:eastAsia="zh-CN" w:bidi="ar-SA"/>
        </w:rPr>
        <w:t xml:space="preserve"> </w:t>
      </w:r>
      <w:r>
        <w:rPr>
          <w:rFonts w:ascii="Times New Roman" w:hAnsi="Times New Roman" w:eastAsia="宋体" w:cs="Times New Roman"/>
          <w:kern w:val="2"/>
          <w:sz w:val="20"/>
          <w:szCs w:val="24"/>
          <w:lang w:val="en-US" w:eastAsia="zh-CN" w:bidi="ar-SA"/>
        </w:rPr>
        <w:t>J, Bu</w:t>
      </w:r>
      <w:r>
        <w:rPr>
          <w:rFonts w:hint="eastAsia" w:ascii="Times New Roman" w:hAnsi="Times New Roman" w:eastAsia="宋体" w:cs="Times New Roman"/>
          <w:kern w:val="2"/>
          <w:sz w:val="20"/>
          <w:szCs w:val="24"/>
          <w:lang w:val="en-US" w:eastAsia="zh-CN" w:bidi="ar-SA"/>
        </w:rPr>
        <w:t xml:space="preserve"> </w:t>
      </w:r>
      <w:r>
        <w:rPr>
          <w:rFonts w:ascii="Times New Roman" w:hAnsi="Times New Roman" w:eastAsia="宋体" w:cs="Times New Roman"/>
          <w:kern w:val="2"/>
          <w:sz w:val="20"/>
          <w:szCs w:val="24"/>
          <w:lang w:val="en-US" w:eastAsia="zh-CN" w:bidi="ar-SA"/>
        </w:rPr>
        <w:t xml:space="preserve"> Q</w:t>
      </w:r>
      <w:r>
        <w:rPr>
          <w:rFonts w:hint="eastAsia" w:ascii="Times New Roman" w:hAnsi="Times New Roman" w:eastAsia="宋体" w:cs="Times New Roman"/>
          <w:kern w:val="2"/>
          <w:sz w:val="20"/>
          <w:szCs w:val="24"/>
          <w:lang w:val="en-US" w:eastAsia="zh-CN" w:bidi="ar-SA"/>
        </w:rPr>
        <w:t xml:space="preserve"> </w:t>
      </w:r>
      <w:r>
        <w:rPr>
          <w:rFonts w:ascii="Times New Roman" w:hAnsi="Times New Roman" w:eastAsia="宋体" w:cs="Times New Roman"/>
          <w:kern w:val="2"/>
          <w:sz w:val="20"/>
          <w:szCs w:val="24"/>
          <w:lang w:val="en-US" w:eastAsia="zh-CN" w:bidi="ar-SA"/>
        </w:rPr>
        <w:t>Y</w:t>
      </w:r>
      <w:r>
        <w:rPr>
          <w:rFonts w:hint="eastAsia" w:ascii="Times New Roman" w:hAnsi="Times New Roman" w:eastAsia="宋体" w:cs="Times New Roman"/>
          <w:kern w:val="2"/>
          <w:sz w:val="20"/>
          <w:szCs w:val="24"/>
          <w:lang w:val="en-US" w:eastAsia="zh-CN" w:bidi="ar-SA"/>
        </w:rPr>
        <w:t xml:space="preserve">. </w:t>
      </w:r>
      <w:r>
        <w:rPr>
          <w:rFonts w:ascii="Times New Roman" w:hAnsi="Times New Roman" w:eastAsia="宋体" w:cs="Times New Roman"/>
          <w:kern w:val="2"/>
          <w:sz w:val="20"/>
          <w:szCs w:val="24"/>
          <w:lang w:val="en-US" w:eastAsia="zh-CN" w:bidi="ar-SA"/>
        </w:rPr>
        <w:t xml:space="preserve">2015. Combinations of Hd2 and Hd4 genes determine rice adaptability to Heilongjiang Province, northern limit of China. </w:t>
      </w:r>
      <w:r>
        <w:rPr>
          <w:rFonts w:ascii="Times New Roman" w:hAnsi="Times New Roman" w:eastAsia="宋体" w:cs="Times New Roman"/>
          <w:i/>
          <w:iCs/>
          <w:kern w:val="2"/>
          <w:sz w:val="20"/>
          <w:szCs w:val="24"/>
          <w:lang w:val="en-US" w:eastAsia="zh-CN" w:bidi="ar-SA"/>
        </w:rPr>
        <w:t>Journal of integrative plant biology</w:t>
      </w:r>
      <w:r>
        <w:rPr>
          <w:rFonts w:hint="eastAsia" w:ascii="Times New Roman" w:hAnsi="Times New Roman" w:eastAsia="宋体" w:cs="Times New Roman"/>
          <w:kern w:val="2"/>
          <w:sz w:val="20"/>
          <w:szCs w:val="24"/>
          <w:lang w:val="en-US" w:eastAsia="zh-CN" w:bidi="ar-SA"/>
        </w:rPr>
        <w:t xml:space="preserve">, </w:t>
      </w:r>
      <w:r>
        <w:rPr>
          <w:rFonts w:ascii="Times New Roman" w:hAnsi="Times New Roman" w:eastAsia="宋体" w:cs="Times New Roman"/>
          <w:b/>
          <w:bCs/>
          <w:kern w:val="2"/>
          <w:sz w:val="20"/>
          <w:szCs w:val="24"/>
          <w:lang w:val="en-US" w:eastAsia="zh-CN" w:bidi="ar-SA"/>
        </w:rPr>
        <w:t>57</w:t>
      </w:r>
      <w:r>
        <w:rPr>
          <w:rFonts w:hint="eastAsia" w:ascii="Times New Roman" w:hAnsi="Times New Roman" w:eastAsia="宋体" w:cs="Times New Roman"/>
          <w:kern w:val="2"/>
          <w:sz w:val="20"/>
          <w:szCs w:val="24"/>
          <w:lang w:val="en-US" w:eastAsia="zh-CN" w:bidi="ar-SA"/>
        </w:rPr>
        <w:t xml:space="preserve">(8): </w:t>
      </w:r>
      <w:r>
        <w:rPr>
          <w:rFonts w:ascii="Times New Roman" w:hAnsi="Times New Roman" w:eastAsia="宋体" w:cs="Times New Roman"/>
          <w:kern w:val="2"/>
          <w:sz w:val="20"/>
          <w:szCs w:val="24"/>
          <w:lang w:val="en-US" w:eastAsia="zh-CN" w:bidi="ar-SA"/>
        </w:rPr>
        <w:t>698-707.</w:t>
      </w:r>
    </w:p>
    <w:p>
      <w:pPr>
        <w:widowControl w:val="0"/>
        <w:jc w:val="both"/>
        <w:rPr>
          <w:rFonts w:ascii="Times New Roman" w:hAnsi="Times New Roman" w:eastAsia="宋体" w:cs="Times New Roman"/>
          <w:kern w:val="2"/>
          <w:sz w:val="20"/>
          <w:szCs w:val="24"/>
          <w:lang w:val="en-US" w:eastAsia="zh-CN" w:bidi="ar-SA"/>
        </w:rPr>
      </w:pPr>
      <w:bookmarkStart w:id="2" w:name="_ENREF_8"/>
      <w:r>
        <w:rPr>
          <w:rFonts w:ascii="Times New Roman" w:hAnsi="Times New Roman" w:eastAsia="宋体" w:cs="Times New Roman"/>
          <w:kern w:val="2"/>
          <w:sz w:val="20"/>
          <w:szCs w:val="24"/>
          <w:lang w:val="en-US" w:eastAsia="zh-CN" w:bidi="ar-SA"/>
        </w:rPr>
        <w:t>Ma X L, Zhang Q</w:t>
      </w:r>
      <w:r>
        <w:rPr>
          <w:rFonts w:hint="eastAsia" w:ascii="Times New Roman" w:hAnsi="Times New Roman" w:eastAsia="宋体" w:cs="Times New Roman"/>
          <w:kern w:val="2"/>
          <w:sz w:val="20"/>
          <w:szCs w:val="24"/>
          <w:lang w:val="en-US" w:eastAsia="zh-CN" w:bidi="ar-SA"/>
        </w:rPr>
        <w:t xml:space="preserve"> Y</w:t>
      </w:r>
      <w:r>
        <w:rPr>
          <w:rFonts w:ascii="Times New Roman" w:hAnsi="Times New Roman" w:eastAsia="宋体" w:cs="Times New Roman"/>
          <w:kern w:val="2"/>
          <w:sz w:val="20"/>
          <w:szCs w:val="24"/>
          <w:lang w:val="en-US" w:eastAsia="zh-CN" w:bidi="ar-SA"/>
        </w:rPr>
        <w:t>, Zhu Q Y, Liu W, Chen Y, Qiu R, Wang B</w:t>
      </w:r>
      <w:r>
        <w:rPr>
          <w:rFonts w:hint="eastAsia" w:ascii="Times New Roman" w:hAnsi="Times New Roman" w:eastAsia="宋体" w:cs="Times New Roman"/>
          <w:kern w:val="2"/>
          <w:sz w:val="20"/>
          <w:szCs w:val="24"/>
          <w:lang w:val="en-US" w:eastAsia="zh-CN" w:bidi="ar-SA"/>
        </w:rPr>
        <w:t>, Yang Z F, Li H Y, Lin Y R, Xie Y Y, Shen R X, Chen S F, Wang Z, Chen Y L, Guo J X, Chen L T, Zhao X C, Dong Z C, Liu Y G</w:t>
      </w:r>
      <w:r>
        <w:rPr>
          <w:rFonts w:ascii="Times New Roman" w:hAnsi="Times New Roman" w:eastAsia="宋体" w:cs="Times New Roman"/>
          <w:kern w:val="2"/>
          <w:sz w:val="20"/>
          <w:szCs w:val="24"/>
          <w:lang w:val="en-US" w:eastAsia="zh-CN" w:bidi="ar-SA"/>
        </w:rPr>
        <w:t>. 2015. A robust CRISPR/Cas9 system for convenient, high-</w:t>
      </w:r>
      <w:r>
        <w:rPr>
          <w:rFonts w:hint="eastAsia" w:ascii="Times New Roman" w:hAnsi="Times New Roman" w:eastAsia="宋体" w:cs="Times New Roman"/>
          <w:kern w:val="2"/>
          <w:sz w:val="20"/>
          <w:szCs w:val="24"/>
          <w:lang w:val="en-US" w:eastAsia="zh-CN" w:bidi="ar-SA"/>
        </w:rPr>
        <w:t xml:space="preserve"> </w:t>
      </w:r>
      <w:r>
        <w:rPr>
          <w:rFonts w:ascii="Times New Roman" w:hAnsi="Times New Roman" w:eastAsia="宋体" w:cs="Times New Roman"/>
          <w:kern w:val="2"/>
          <w:sz w:val="20"/>
          <w:szCs w:val="24"/>
          <w:lang w:val="en-US" w:eastAsia="zh-CN" w:bidi="ar-SA"/>
        </w:rPr>
        <w:t>efficiency multiplex genome editing in monocot and dicot plants.</w:t>
      </w:r>
      <w:r>
        <w:rPr>
          <w:rFonts w:hint="eastAsia" w:ascii="Times New Roman" w:hAnsi="Times New Roman" w:eastAsia="宋体" w:cs="Times New Roman"/>
          <w:kern w:val="2"/>
          <w:sz w:val="20"/>
          <w:szCs w:val="24"/>
          <w:lang w:val="en-US" w:eastAsia="zh-CN" w:bidi="ar-SA"/>
        </w:rPr>
        <w:t xml:space="preserve"> </w:t>
      </w:r>
      <w:r>
        <w:rPr>
          <w:rFonts w:ascii="Times New Roman" w:hAnsi="Times New Roman" w:eastAsia="宋体" w:cs="Times New Roman"/>
          <w:i/>
          <w:iCs/>
          <w:kern w:val="2"/>
          <w:sz w:val="20"/>
          <w:szCs w:val="24"/>
          <w:lang w:val="en-US" w:eastAsia="zh-CN" w:bidi="ar-SA"/>
        </w:rPr>
        <w:t>Mol Plant</w:t>
      </w:r>
      <w:r>
        <w:rPr>
          <w:rFonts w:ascii="Times New Roman" w:hAnsi="Times New Roman" w:eastAsia="宋体" w:cs="Times New Roman"/>
          <w:kern w:val="2"/>
          <w:sz w:val="20"/>
          <w:szCs w:val="24"/>
          <w:lang w:val="en-US" w:eastAsia="zh-CN" w:bidi="ar-SA"/>
        </w:rPr>
        <w:t xml:space="preserve">, </w:t>
      </w:r>
      <w:r>
        <w:rPr>
          <w:rFonts w:ascii="Times New Roman" w:hAnsi="Times New Roman" w:eastAsia="宋体" w:cs="Times New Roman"/>
          <w:b/>
          <w:bCs/>
          <w:kern w:val="2"/>
          <w:sz w:val="20"/>
          <w:szCs w:val="24"/>
          <w:lang w:val="en-US" w:eastAsia="zh-CN" w:bidi="ar-SA"/>
        </w:rPr>
        <w:t>8</w:t>
      </w:r>
      <w:r>
        <w:rPr>
          <w:rFonts w:ascii="Times New Roman" w:hAnsi="Times New Roman" w:eastAsia="宋体" w:cs="Times New Roman"/>
          <w:kern w:val="2"/>
          <w:sz w:val="20"/>
          <w:szCs w:val="24"/>
          <w:lang w:val="en-US" w:eastAsia="zh-CN" w:bidi="ar-SA"/>
        </w:rPr>
        <w:t>(8): 1274</w:t>
      </w:r>
      <w:r>
        <w:rPr>
          <w:rFonts w:ascii="Times New Roman" w:hAnsi="Times New Roman" w:eastAsia="宋体" w:cs="Times New Roman"/>
          <w:kern w:val="2"/>
          <w:sz w:val="20"/>
          <w:szCs w:val="24"/>
          <w:lang w:val="en-US" w:eastAsia="ko-KR" w:bidi="ar-SA"/>
        </w:rPr>
        <w:t>–</w:t>
      </w:r>
      <w:r>
        <w:rPr>
          <w:rFonts w:ascii="Times New Roman" w:hAnsi="Times New Roman" w:eastAsia="宋体" w:cs="Times New Roman"/>
          <w:kern w:val="2"/>
          <w:sz w:val="20"/>
          <w:szCs w:val="24"/>
          <w:lang w:val="en-US" w:eastAsia="zh-CN" w:bidi="ar-SA"/>
        </w:rPr>
        <w:t>1284.</w:t>
      </w:r>
      <w:bookmarkEnd w:id="2"/>
    </w:p>
    <w:p>
      <w:pPr>
        <w:widowControl w:val="0"/>
        <w:jc w:val="both"/>
        <w:rPr>
          <w:rFonts w:ascii="Times New Roman" w:hAnsi="Times New Roman" w:eastAsia="宋体" w:cs="Times New Roman"/>
          <w:kern w:val="2"/>
          <w:sz w:val="20"/>
          <w:szCs w:val="24"/>
          <w:lang w:val="en-US" w:eastAsia="zh-CN" w:bidi="ar-SA"/>
        </w:rPr>
      </w:pPr>
      <w:r>
        <w:rPr>
          <w:rFonts w:ascii="Times New Roman" w:hAnsi="Times New Roman" w:eastAsia="宋体" w:cs="Times New Roman"/>
          <w:kern w:val="2"/>
          <w:sz w:val="20"/>
          <w:szCs w:val="24"/>
          <w:lang w:val="en-US" w:eastAsia="zh-CN" w:bidi="ar-SA"/>
        </w:rPr>
        <w:t>Tian</w:t>
      </w:r>
      <w:r>
        <w:rPr>
          <w:rFonts w:hint="eastAsia" w:ascii="Times New Roman" w:hAnsi="Times New Roman" w:eastAsia="宋体" w:cs="Times New Roman"/>
          <w:kern w:val="2"/>
          <w:sz w:val="20"/>
          <w:szCs w:val="24"/>
          <w:lang w:val="en-US" w:eastAsia="zh-CN" w:bidi="ar-SA"/>
        </w:rPr>
        <w:t xml:space="preserve"> </w:t>
      </w:r>
      <w:r>
        <w:rPr>
          <w:rFonts w:ascii="Times New Roman" w:hAnsi="Times New Roman" w:eastAsia="宋体" w:cs="Times New Roman"/>
          <w:kern w:val="2"/>
          <w:sz w:val="20"/>
          <w:szCs w:val="24"/>
          <w:lang w:val="en-US" w:eastAsia="zh-CN" w:bidi="ar-SA"/>
        </w:rPr>
        <w:t>X</w:t>
      </w:r>
      <w:r>
        <w:rPr>
          <w:rFonts w:hint="eastAsia" w:ascii="Times New Roman" w:hAnsi="Times New Roman" w:eastAsia="宋体" w:cs="Times New Roman"/>
          <w:kern w:val="2"/>
          <w:sz w:val="20"/>
          <w:szCs w:val="24"/>
          <w:lang w:val="en-US" w:eastAsia="zh-CN" w:bidi="ar-SA"/>
        </w:rPr>
        <w:t xml:space="preserve"> J</w:t>
      </w:r>
      <w:r>
        <w:rPr>
          <w:rFonts w:ascii="Times New Roman" w:hAnsi="Times New Roman" w:eastAsia="宋体" w:cs="Times New Roman"/>
          <w:kern w:val="2"/>
          <w:sz w:val="20"/>
          <w:szCs w:val="24"/>
          <w:lang w:val="en-US" w:eastAsia="zh-CN" w:bidi="ar-SA"/>
        </w:rPr>
        <w:t>, Wang</w:t>
      </w:r>
      <w:r>
        <w:rPr>
          <w:rFonts w:hint="eastAsia" w:ascii="Times New Roman" w:hAnsi="Times New Roman" w:eastAsia="宋体" w:cs="Times New Roman"/>
          <w:kern w:val="2"/>
          <w:sz w:val="20"/>
          <w:szCs w:val="24"/>
          <w:lang w:val="en-US" w:eastAsia="zh-CN" w:bidi="ar-SA"/>
        </w:rPr>
        <w:t xml:space="preserve"> </w:t>
      </w:r>
      <w:r>
        <w:rPr>
          <w:rFonts w:ascii="Times New Roman" w:hAnsi="Times New Roman" w:eastAsia="宋体" w:cs="Times New Roman"/>
          <w:kern w:val="2"/>
          <w:sz w:val="20"/>
          <w:szCs w:val="24"/>
          <w:lang w:val="en-US" w:eastAsia="zh-CN" w:bidi="ar-SA"/>
        </w:rPr>
        <w:t>Z</w:t>
      </w:r>
      <w:r>
        <w:rPr>
          <w:rFonts w:hint="eastAsia" w:ascii="Times New Roman" w:hAnsi="Times New Roman" w:eastAsia="宋体" w:cs="Times New Roman"/>
          <w:kern w:val="2"/>
          <w:sz w:val="20"/>
          <w:szCs w:val="24"/>
          <w:lang w:val="en-US" w:eastAsia="zh-CN" w:bidi="ar-SA"/>
        </w:rPr>
        <w:t xml:space="preserve"> Y</w:t>
      </w:r>
      <w:r>
        <w:rPr>
          <w:rFonts w:ascii="Times New Roman" w:hAnsi="Times New Roman" w:eastAsia="宋体" w:cs="Times New Roman"/>
          <w:kern w:val="2"/>
          <w:sz w:val="20"/>
          <w:szCs w:val="24"/>
          <w:lang w:val="en-US" w:eastAsia="zh-CN" w:bidi="ar-SA"/>
        </w:rPr>
        <w:t>, Li</w:t>
      </w:r>
      <w:r>
        <w:rPr>
          <w:rFonts w:hint="eastAsia" w:ascii="Times New Roman" w:hAnsi="Times New Roman" w:eastAsia="宋体" w:cs="Times New Roman"/>
          <w:kern w:val="2"/>
          <w:sz w:val="20"/>
          <w:szCs w:val="24"/>
          <w:lang w:val="en-US" w:eastAsia="zh-CN" w:bidi="ar-SA"/>
        </w:rPr>
        <w:t xml:space="preserve"> </w:t>
      </w:r>
      <w:r>
        <w:rPr>
          <w:rFonts w:ascii="Times New Roman" w:hAnsi="Times New Roman" w:eastAsia="宋体" w:cs="Times New Roman"/>
          <w:kern w:val="2"/>
          <w:sz w:val="20"/>
          <w:szCs w:val="24"/>
          <w:lang w:val="en-US" w:eastAsia="zh-CN" w:bidi="ar-SA"/>
        </w:rPr>
        <w:t>X</w:t>
      </w:r>
      <w:r>
        <w:rPr>
          <w:rFonts w:hint="eastAsia" w:ascii="Times New Roman" w:hAnsi="Times New Roman" w:eastAsia="宋体" w:cs="Times New Roman"/>
          <w:kern w:val="2"/>
          <w:sz w:val="20"/>
          <w:szCs w:val="24"/>
          <w:lang w:val="en-US" w:eastAsia="zh-CN" w:bidi="ar-SA"/>
        </w:rPr>
        <w:t xml:space="preserve"> F</w:t>
      </w:r>
      <w:r>
        <w:rPr>
          <w:rFonts w:ascii="Times New Roman" w:hAnsi="Times New Roman" w:eastAsia="宋体" w:cs="Times New Roman"/>
          <w:kern w:val="2"/>
          <w:sz w:val="20"/>
          <w:szCs w:val="24"/>
          <w:lang w:val="en-US" w:eastAsia="zh-CN" w:bidi="ar-SA"/>
        </w:rPr>
        <w:t>, Lv</w:t>
      </w:r>
      <w:r>
        <w:rPr>
          <w:rFonts w:hint="eastAsia" w:ascii="Times New Roman" w:hAnsi="Times New Roman" w:eastAsia="宋体" w:cs="Times New Roman"/>
          <w:kern w:val="2"/>
          <w:sz w:val="20"/>
          <w:szCs w:val="24"/>
          <w:lang w:val="en-US" w:eastAsia="zh-CN" w:bidi="ar-SA"/>
        </w:rPr>
        <w:t xml:space="preserve"> </w:t>
      </w:r>
      <w:r>
        <w:rPr>
          <w:rFonts w:ascii="Times New Roman" w:hAnsi="Times New Roman" w:eastAsia="宋体" w:cs="Times New Roman"/>
          <w:kern w:val="2"/>
          <w:sz w:val="20"/>
          <w:szCs w:val="24"/>
          <w:lang w:val="en-US" w:eastAsia="zh-CN" w:bidi="ar-SA"/>
        </w:rPr>
        <w:t>T</w:t>
      </w:r>
      <w:r>
        <w:rPr>
          <w:rFonts w:hint="eastAsia" w:ascii="Times New Roman" w:hAnsi="Times New Roman" w:eastAsia="宋体" w:cs="Times New Roman"/>
          <w:kern w:val="2"/>
          <w:sz w:val="20"/>
          <w:szCs w:val="24"/>
          <w:lang w:val="en-US" w:eastAsia="zh-CN" w:bidi="ar-SA"/>
        </w:rPr>
        <w:t xml:space="preserve"> X</w:t>
      </w:r>
      <w:r>
        <w:rPr>
          <w:rFonts w:ascii="Times New Roman" w:hAnsi="Times New Roman" w:eastAsia="宋体" w:cs="Times New Roman"/>
          <w:kern w:val="2"/>
          <w:sz w:val="20"/>
          <w:szCs w:val="24"/>
          <w:lang w:val="en-US" w:eastAsia="zh-CN" w:bidi="ar-SA"/>
        </w:rPr>
        <w:t>, Liu</w:t>
      </w:r>
      <w:r>
        <w:rPr>
          <w:rFonts w:hint="eastAsia" w:ascii="Times New Roman" w:hAnsi="Times New Roman" w:eastAsia="宋体" w:cs="Times New Roman"/>
          <w:kern w:val="2"/>
          <w:sz w:val="20"/>
          <w:szCs w:val="24"/>
          <w:lang w:val="en-US" w:eastAsia="zh-CN" w:bidi="ar-SA"/>
        </w:rPr>
        <w:t xml:space="preserve"> </w:t>
      </w:r>
      <w:r>
        <w:rPr>
          <w:rFonts w:ascii="Times New Roman" w:hAnsi="Times New Roman" w:eastAsia="宋体" w:cs="Times New Roman"/>
          <w:kern w:val="2"/>
          <w:sz w:val="20"/>
          <w:szCs w:val="24"/>
          <w:lang w:val="en-US" w:eastAsia="zh-CN" w:bidi="ar-SA"/>
        </w:rPr>
        <w:t>H</w:t>
      </w:r>
      <w:r>
        <w:rPr>
          <w:rFonts w:hint="eastAsia" w:ascii="Times New Roman" w:hAnsi="Times New Roman" w:eastAsia="宋体" w:cs="Times New Roman"/>
          <w:kern w:val="2"/>
          <w:sz w:val="20"/>
          <w:szCs w:val="24"/>
          <w:lang w:val="en-US" w:eastAsia="zh-CN" w:bidi="ar-SA"/>
        </w:rPr>
        <w:t xml:space="preserve"> Z</w:t>
      </w:r>
      <w:r>
        <w:rPr>
          <w:rFonts w:ascii="Times New Roman" w:hAnsi="Times New Roman" w:eastAsia="宋体" w:cs="Times New Roman"/>
          <w:kern w:val="2"/>
          <w:sz w:val="20"/>
          <w:szCs w:val="24"/>
          <w:lang w:val="en-US" w:eastAsia="zh-CN" w:bidi="ar-SA"/>
        </w:rPr>
        <w:t>, Wang</w:t>
      </w:r>
      <w:r>
        <w:rPr>
          <w:rFonts w:hint="eastAsia" w:ascii="Times New Roman" w:hAnsi="Times New Roman" w:eastAsia="宋体" w:cs="Times New Roman"/>
          <w:kern w:val="2"/>
          <w:sz w:val="20"/>
          <w:szCs w:val="24"/>
          <w:lang w:val="en-US" w:eastAsia="zh-CN" w:bidi="ar-SA"/>
        </w:rPr>
        <w:t xml:space="preserve"> </w:t>
      </w:r>
      <w:r>
        <w:rPr>
          <w:rFonts w:ascii="Times New Roman" w:hAnsi="Times New Roman" w:eastAsia="宋体" w:cs="Times New Roman"/>
          <w:kern w:val="2"/>
          <w:sz w:val="20"/>
          <w:szCs w:val="24"/>
          <w:lang w:val="en-US" w:eastAsia="zh-CN" w:bidi="ar-SA"/>
        </w:rPr>
        <w:t>L</w:t>
      </w:r>
      <w:r>
        <w:rPr>
          <w:rFonts w:hint="eastAsia" w:ascii="Times New Roman" w:hAnsi="Times New Roman" w:eastAsia="宋体" w:cs="Times New Roman"/>
          <w:kern w:val="2"/>
          <w:sz w:val="20"/>
          <w:szCs w:val="24"/>
          <w:lang w:val="en-US" w:eastAsia="zh-CN" w:bidi="ar-SA"/>
        </w:rPr>
        <w:t xml:space="preserve"> Z</w:t>
      </w:r>
      <w:r>
        <w:rPr>
          <w:rFonts w:ascii="Times New Roman" w:hAnsi="Times New Roman" w:eastAsia="宋体" w:cs="Times New Roman"/>
          <w:kern w:val="2"/>
          <w:sz w:val="20"/>
          <w:szCs w:val="24"/>
          <w:lang w:val="en-US" w:eastAsia="zh-CN" w:bidi="ar-SA"/>
        </w:rPr>
        <w:t>, Niu</w:t>
      </w:r>
      <w:r>
        <w:rPr>
          <w:rFonts w:hint="eastAsia" w:ascii="Times New Roman" w:hAnsi="Times New Roman" w:eastAsia="宋体" w:cs="Times New Roman"/>
          <w:kern w:val="2"/>
          <w:sz w:val="20"/>
          <w:szCs w:val="24"/>
          <w:lang w:val="en-US" w:eastAsia="zh-CN" w:bidi="ar-SA"/>
        </w:rPr>
        <w:t xml:space="preserve"> </w:t>
      </w:r>
      <w:r>
        <w:rPr>
          <w:rFonts w:ascii="Times New Roman" w:hAnsi="Times New Roman" w:eastAsia="宋体" w:cs="Times New Roman"/>
          <w:kern w:val="2"/>
          <w:sz w:val="20"/>
          <w:szCs w:val="24"/>
          <w:lang w:val="en-US" w:eastAsia="zh-CN" w:bidi="ar-SA"/>
        </w:rPr>
        <w:t>H</w:t>
      </w:r>
      <w:r>
        <w:rPr>
          <w:rFonts w:hint="eastAsia" w:ascii="Times New Roman" w:hAnsi="Times New Roman" w:eastAsia="宋体" w:cs="Times New Roman"/>
          <w:kern w:val="2"/>
          <w:sz w:val="20"/>
          <w:szCs w:val="24"/>
          <w:lang w:val="en-US" w:eastAsia="zh-CN" w:bidi="ar-SA"/>
        </w:rPr>
        <w:t xml:space="preserve"> B</w:t>
      </w:r>
      <w:r>
        <w:rPr>
          <w:rFonts w:ascii="Times New Roman" w:hAnsi="Times New Roman" w:eastAsia="宋体" w:cs="Times New Roman"/>
          <w:kern w:val="2"/>
          <w:sz w:val="20"/>
          <w:szCs w:val="24"/>
          <w:lang w:val="en-US" w:eastAsia="zh-CN" w:bidi="ar-SA"/>
        </w:rPr>
        <w:t>, Bu</w:t>
      </w:r>
      <w:r>
        <w:rPr>
          <w:rFonts w:hint="eastAsia" w:ascii="Times New Roman" w:hAnsi="Times New Roman" w:eastAsia="宋体" w:cs="Times New Roman"/>
          <w:kern w:val="2"/>
          <w:sz w:val="20"/>
          <w:szCs w:val="24"/>
          <w:lang w:val="en-US" w:eastAsia="zh-CN" w:bidi="ar-SA"/>
        </w:rPr>
        <w:t xml:space="preserve"> </w:t>
      </w:r>
      <w:r>
        <w:rPr>
          <w:rFonts w:ascii="Times New Roman" w:hAnsi="Times New Roman" w:eastAsia="宋体" w:cs="Times New Roman"/>
          <w:kern w:val="2"/>
          <w:sz w:val="20"/>
          <w:szCs w:val="24"/>
          <w:lang w:val="en-US" w:eastAsia="zh-CN" w:bidi="ar-SA"/>
        </w:rPr>
        <w:t>Q</w:t>
      </w:r>
      <w:r>
        <w:rPr>
          <w:rFonts w:hint="eastAsia" w:ascii="Times New Roman" w:hAnsi="Times New Roman" w:eastAsia="宋体" w:cs="Times New Roman"/>
          <w:kern w:val="2"/>
          <w:sz w:val="20"/>
          <w:szCs w:val="24"/>
          <w:lang w:val="en-US" w:eastAsia="zh-CN" w:bidi="ar-SA"/>
        </w:rPr>
        <w:t xml:space="preserve"> Y.</w:t>
      </w:r>
      <w:r>
        <w:rPr>
          <w:rFonts w:ascii="Times New Roman" w:hAnsi="Times New Roman" w:eastAsia="宋体" w:cs="Times New Roman"/>
          <w:kern w:val="2"/>
          <w:sz w:val="20"/>
          <w:szCs w:val="24"/>
          <w:lang w:val="en-US" w:eastAsia="zh-CN" w:bidi="ar-SA"/>
        </w:rPr>
        <w:t xml:space="preserve"> 2015. Characterization and Functional Analysis of Pyrabactin Resistance-Like Abscisic Acid Receptor Family in Rice. </w:t>
      </w:r>
      <w:r>
        <w:rPr>
          <w:rFonts w:ascii="Times New Roman" w:hAnsi="Times New Roman" w:eastAsia="宋体" w:cs="Times New Roman"/>
          <w:i/>
          <w:iCs/>
          <w:kern w:val="2"/>
          <w:sz w:val="20"/>
          <w:szCs w:val="24"/>
          <w:lang w:val="en-US" w:eastAsia="zh-CN" w:bidi="ar-SA"/>
        </w:rPr>
        <w:t>Rice</w:t>
      </w:r>
      <w:r>
        <w:rPr>
          <w:rFonts w:hint="eastAsia" w:ascii="Times New Roman" w:hAnsi="Times New Roman" w:eastAsia="宋体" w:cs="Times New Roman"/>
          <w:kern w:val="2"/>
          <w:sz w:val="20"/>
          <w:szCs w:val="24"/>
          <w:lang w:val="en-US" w:eastAsia="zh-CN" w:bidi="ar-SA"/>
        </w:rPr>
        <w:t xml:space="preserve">, </w:t>
      </w:r>
      <w:r>
        <w:rPr>
          <w:rFonts w:hint="eastAsia" w:ascii="Times New Roman" w:hAnsi="Times New Roman" w:eastAsia="宋体" w:cs="Times New Roman"/>
          <w:b/>
          <w:bCs/>
          <w:kern w:val="2"/>
          <w:sz w:val="20"/>
          <w:szCs w:val="24"/>
          <w:lang w:val="en-US" w:eastAsia="zh-CN" w:bidi="ar-SA"/>
        </w:rPr>
        <w:t>28</w:t>
      </w:r>
      <w:r>
        <w:rPr>
          <w:rFonts w:hint="eastAsia" w:ascii="Times New Roman" w:hAnsi="Times New Roman" w:eastAsia="宋体" w:cs="Times New Roman"/>
          <w:kern w:val="2"/>
          <w:sz w:val="20"/>
          <w:szCs w:val="24"/>
          <w:lang w:val="en-US" w:eastAsia="zh-CN" w:bidi="ar-SA"/>
        </w:rPr>
        <w:t>(8): 1-13.</w:t>
      </w:r>
    </w:p>
    <w:p>
      <w:pPr>
        <w:jc w:val="center"/>
        <w:rPr>
          <w:rFonts w:ascii="Times New Roman" w:hAnsi="Times New Roman"/>
          <w:b/>
          <w:bCs/>
          <w:color w:val="000000"/>
          <w:kern w:val="0"/>
          <w:sz w:val="24"/>
        </w:rPr>
      </w:pPr>
    </w:p>
    <w:p>
      <w:pPr>
        <w:rPr>
          <w:rFonts w:ascii="Times New Roman" w:hAnsi="Times New Roman"/>
          <w:b/>
          <w:bCs/>
          <w:color w:val="000000"/>
          <w:kern w:val="0"/>
          <w:sz w:val="24"/>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E8270E"/>
    <w:rsid w:val="000B120A"/>
    <w:rsid w:val="0039732F"/>
    <w:rsid w:val="003A62C0"/>
    <w:rsid w:val="00471826"/>
    <w:rsid w:val="00695EF0"/>
    <w:rsid w:val="008B2BDF"/>
    <w:rsid w:val="008C1F24"/>
    <w:rsid w:val="00A2766C"/>
    <w:rsid w:val="00AB3651"/>
    <w:rsid w:val="00B16EF5"/>
    <w:rsid w:val="00B206F7"/>
    <w:rsid w:val="00C72E51"/>
    <w:rsid w:val="00E8270E"/>
    <w:rsid w:val="00F115B0"/>
    <w:rsid w:val="03DC127D"/>
    <w:rsid w:val="2FE54234"/>
    <w:rsid w:val="30631966"/>
    <w:rsid w:val="387129A5"/>
    <w:rsid w:val="3A731BE3"/>
    <w:rsid w:val="439B2680"/>
    <w:rsid w:val="62B51A14"/>
    <w:rsid w:val="675956FC"/>
    <w:rsid w:val="6C120E95"/>
    <w:rsid w:val="738C0A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annotation text"/>
    <w:basedOn w:val="1"/>
    <w:link w:val="12"/>
    <w:unhideWhenUsed/>
    <w:uiPriority w:val="99"/>
    <w:pPr>
      <w:jc w:val="left"/>
    </w:pPr>
  </w:style>
  <w:style w:type="paragraph" w:styleId="3">
    <w:name w:val="footer"/>
    <w:basedOn w:val="1"/>
    <w:link w:val="14"/>
    <w:qFormat/>
    <w:uiPriority w:val="0"/>
    <w:pPr>
      <w:tabs>
        <w:tab w:val="center" w:pos="4153"/>
        <w:tab w:val="right" w:pos="8306"/>
      </w:tabs>
      <w:snapToGrid w:val="0"/>
      <w:jc w:val="left"/>
    </w:pPr>
    <w:rPr>
      <w:sz w:val="18"/>
      <w:szCs w:val="18"/>
    </w:rPr>
  </w:style>
  <w:style w:type="paragraph" w:styleId="4">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table" w:styleId="6">
    <w:name w:val="Table Grid"/>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style>
  <w:style w:type="character" w:styleId="8">
    <w:name w:val="Hyperlink"/>
    <w:basedOn w:val="7"/>
    <w:unhideWhenUsed/>
    <w:uiPriority w:val="99"/>
    <w:rPr>
      <w:color w:val="0563C1"/>
      <w:u w:val="single"/>
    </w:rPr>
  </w:style>
  <w:style w:type="character" w:customStyle="1" w:styleId="9">
    <w:name w:val="font31"/>
    <w:basedOn w:val="7"/>
    <w:qFormat/>
    <w:uiPriority w:val="0"/>
    <w:rPr>
      <w:rFonts w:hint="default" w:ascii="Times New Roman" w:hAnsi="Times New Roman" w:cs="Times New Roman"/>
      <w:color w:val="000000"/>
      <w:sz w:val="21"/>
      <w:szCs w:val="21"/>
      <w:u w:val="none"/>
    </w:rPr>
  </w:style>
  <w:style w:type="character" w:customStyle="1" w:styleId="10">
    <w:name w:val="font11"/>
    <w:basedOn w:val="7"/>
    <w:qFormat/>
    <w:uiPriority w:val="0"/>
    <w:rPr>
      <w:rFonts w:hint="default" w:ascii="Times New Roman" w:hAnsi="Times New Roman" w:cs="Times New Roman"/>
      <w:b/>
      <w:color w:val="000000"/>
      <w:sz w:val="21"/>
      <w:szCs w:val="21"/>
      <w:u w:val="single"/>
    </w:rPr>
  </w:style>
  <w:style w:type="character" w:customStyle="1" w:styleId="11">
    <w:name w:val="font01"/>
    <w:basedOn w:val="7"/>
    <w:qFormat/>
    <w:uiPriority w:val="0"/>
    <w:rPr>
      <w:rFonts w:hint="default" w:ascii="Times New Roman" w:hAnsi="Times New Roman" w:cs="Times New Roman"/>
      <w:color w:val="000000"/>
      <w:sz w:val="21"/>
      <w:szCs w:val="21"/>
      <w:u w:val="none"/>
      <w:vertAlign w:val="superscript"/>
    </w:rPr>
  </w:style>
  <w:style w:type="character" w:customStyle="1" w:styleId="12">
    <w:name w:val="批注文字 字符"/>
    <w:basedOn w:val="7"/>
    <w:link w:val="2"/>
    <w:qFormat/>
    <w:uiPriority w:val="99"/>
    <w:rPr>
      <w:rFonts w:ascii="Calibri" w:hAnsi="Calibri" w:eastAsia="宋体" w:cs="Times New Roman"/>
      <w:szCs w:val="24"/>
    </w:rPr>
  </w:style>
  <w:style w:type="character" w:customStyle="1" w:styleId="13">
    <w:name w:val="页眉 字符"/>
    <w:basedOn w:val="7"/>
    <w:link w:val="4"/>
    <w:qFormat/>
    <w:uiPriority w:val="0"/>
    <w:rPr>
      <w:rFonts w:ascii="Calibri" w:hAnsi="Calibri" w:eastAsia="宋体" w:cs="Times New Roman"/>
      <w:sz w:val="18"/>
      <w:szCs w:val="18"/>
    </w:rPr>
  </w:style>
  <w:style w:type="character" w:customStyle="1" w:styleId="14">
    <w:name w:val="页脚 字符"/>
    <w:basedOn w:val="7"/>
    <w:link w:val="3"/>
    <w:qFormat/>
    <w:uiPriority w:val="0"/>
    <w:rPr>
      <w:rFonts w:ascii="Calibri" w:hAnsi="Calibri" w:eastAsia="宋体" w:cs="Times New Roman"/>
      <w:sz w:val="18"/>
      <w:szCs w:val="18"/>
    </w:rPr>
  </w:style>
  <w:style w:type="paragraph" w:customStyle="1" w:styleId="15">
    <w:name w:val="EndNote Bibliography Title"/>
    <w:basedOn w:val="1"/>
    <w:link w:val="16"/>
    <w:qFormat/>
    <w:uiPriority w:val="0"/>
    <w:pPr>
      <w:jc w:val="center"/>
    </w:pPr>
    <w:rPr>
      <w:sz w:val="20"/>
    </w:rPr>
  </w:style>
  <w:style w:type="character" w:customStyle="1" w:styleId="16">
    <w:name w:val="EndNote Bibliography Title Char"/>
    <w:basedOn w:val="7"/>
    <w:link w:val="15"/>
    <w:qFormat/>
    <w:uiPriority w:val="0"/>
    <w:rPr>
      <w:rFonts w:ascii="Calibri" w:hAnsi="Calibri" w:eastAsia="宋体" w:cs="Times New Roman"/>
      <w:sz w:val="20"/>
      <w:szCs w:val="24"/>
    </w:rPr>
  </w:style>
  <w:style w:type="paragraph" w:customStyle="1" w:styleId="17">
    <w:name w:val="EndNote Bibliography"/>
    <w:basedOn w:val="1"/>
    <w:link w:val="18"/>
    <w:uiPriority w:val="0"/>
    <w:rPr>
      <w:sz w:val="20"/>
    </w:rPr>
  </w:style>
  <w:style w:type="character" w:customStyle="1" w:styleId="18">
    <w:name w:val="EndNote Bibliography Char"/>
    <w:basedOn w:val="7"/>
    <w:link w:val="17"/>
    <w:qFormat/>
    <w:uiPriority w:val="0"/>
    <w:rPr>
      <w:rFonts w:ascii="Calibri" w:hAnsi="Calibri" w:eastAsia="宋体" w:cs="Times New Roman"/>
      <w:sz w:val="20"/>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153</Words>
  <Characters>878</Characters>
  <Lines>7</Lines>
  <Paragraphs>2</Paragraphs>
  <TotalTime>14</TotalTime>
  <ScaleCrop>false</ScaleCrop>
  <LinksUpToDate>false</LinksUpToDate>
  <CharactersWithSpaces>1029</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2023-09-17T06:51:00Z</dcterms:created>
  <dc:creator>0000</dc:creator>
  <cp:lastModifiedBy>李秀峰</cp:lastModifiedBy>
  <dcterms:modified xsi:type="dcterms:W3CDTF">2023-09-20T00:56:11Z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ies>
</file>