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single" w:sz="4" w:space="0" w:color="7F7F7F"/>
          <w:bottom w:val="single" w:sz="4" w:space="0" w:color="7F7F7F"/>
        </w:tblBorders>
        <w:tblLook w:val="04A0" w:firstRow="1" w:lastRow="0" w:firstColumn="1" w:lastColumn="0" w:noHBand="0" w:noVBand="1"/>
      </w:tblPr>
      <w:tblGrid>
        <w:gridCol w:w="2126"/>
        <w:gridCol w:w="616"/>
        <w:gridCol w:w="669"/>
        <w:gridCol w:w="5949"/>
      </w:tblGrid>
      <w:tr w:rsidR="00F42F2D" w:rsidTr="00F42F2D">
        <w:tc>
          <w:tcPr>
            <w:tcW w:w="0" w:type="auto"/>
            <w:gridSpan w:val="4"/>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lang w:val="en-US"/>
              </w:rPr>
              <w:t xml:space="preserve">STROBE Statement—checklist of items that should be included in reports of observational studies </w:t>
            </w:r>
          </w:p>
        </w:tc>
      </w:tr>
      <w:tr w:rsidR="00F42F2D" w:rsidTr="00F42F2D">
        <w:tc>
          <w:tcPr>
            <w:tcW w:w="0" w:type="auto"/>
            <w:tcBorders>
              <w:top w:val="single" w:sz="4" w:space="0" w:color="7F7F7F"/>
              <w:left w:val="nil"/>
              <w:bottom w:val="single" w:sz="4" w:space="0" w:color="7F7F7F"/>
              <w:right w:val="nil"/>
            </w:tcBorders>
          </w:tcPr>
          <w:p w:rsidR="00F42F2D" w:rsidRDefault="00F42F2D">
            <w:pPr>
              <w:tabs>
                <w:tab w:val="left" w:pos="1092"/>
              </w:tabs>
              <w:spacing w:line="360" w:lineRule="auto"/>
              <w:jc w:val="center"/>
              <w:rPr>
                <w:rFonts w:ascii="Times New Roman" w:hAnsi="Times New Roman" w:cs="Times New Roman"/>
                <w:b/>
                <w:bCs/>
              </w:rPr>
            </w:pPr>
          </w:p>
        </w:tc>
        <w:tc>
          <w:tcPr>
            <w:tcW w:w="0" w:type="auto"/>
            <w:tcBorders>
              <w:top w:val="single" w:sz="4" w:space="0" w:color="7F7F7F"/>
              <w:left w:val="nil"/>
              <w:bottom w:val="single" w:sz="4" w:space="0" w:color="7F7F7F"/>
              <w:right w:val="nil"/>
            </w:tcBorders>
            <w:hideMark/>
          </w:tcPr>
          <w:p w:rsidR="00F42F2D" w:rsidRDefault="00F42F2D">
            <w:pPr>
              <w:pStyle w:val="NormalWeb"/>
              <w:jc w:val="center"/>
              <w:rPr>
                <w:lang w:val="en-US"/>
              </w:rPr>
            </w:pPr>
            <w:r>
              <w:rPr>
                <w:rFonts w:ascii="TimesNewRomanPS" w:hAnsi="TimesNewRomanPS"/>
                <w:b/>
                <w:bCs/>
                <w:sz w:val="20"/>
                <w:szCs w:val="20"/>
                <w:lang w:val="en-US"/>
              </w:rPr>
              <w:t>Item</w:t>
            </w:r>
            <w:r>
              <w:rPr>
                <w:rFonts w:ascii="TimesNewRomanPS" w:hAnsi="TimesNewRomanPS"/>
                <w:b/>
                <w:bCs/>
                <w:sz w:val="20"/>
                <w:szCs w:val="20"/>
                <w:lang w:val="en-US"/>
              </w:rPr>
              <w:br/>
              <w:t>No.</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Page No.</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Relevant text from manuscript</w:t>
            </w:r>
          </w:p>
        </w:tc>
      </w:tr>
      <w:tr w:rsidR="00F42F2D" w:rsidTr="00F42F2D">
        <w:trPr>
          <w:trHeight w:val="343"/>
        </w:trPr>
        <w:tc>
          <w:tcPr>
            <w:tcW w:w="0" w:type="auto"/>
            <w:vMerge w:val="restart"/>
            <w:tcBorders>
              <w:top w:val="nil"/>
              <w:left w:val="nil"/>
              <w:bottom w:val="single" w:sz="4" w:space="0" w:color="7F7F7F"/>
              <w:right w:val="nil"/>
            </w:tcBorders>
            <w:hideMark/>
          </w:tcPr>
          <w:p w:rsidR="00F42F2D" w:rsidRDefault="00F42F2D">
            <w:pPr>
              <w:pStyle w:val="NormalWeb"/>
              <w:jc w:val="center"/>
              <w:rPr>
                <w:b/>
                <w:bCs/>
                <w:lang w:val="en-US"/>
              </w:rPr>
            </w:pPr>
            <w:r>
              <w:rPr>
                <w:rFonts w:ascii="TimesNewRomanPS" w:hAnsi="TimesNewRomanPS"/>
                <w:b/>
                <w:bCs/>
                <w:sz w:val="20"/>
                <w:szCs w:val="20"/>
                <w:lang w:val="en-US"/>
              </w:rPr>
              <w:t>Title and abstract</w:t>
            </w:r>
          </w:p>
        </w:tc>
        <w:tc>
          <w:tcPr>
            <w:tcW w:w="0" w:type="auto"/>
            <w:vMerge w:val="restart"/>
            <w:tcBorders>
              <w:top w:val="nil"/>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(a) 1</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sz w:val="24"/>
                <w:szCs w:val="24"/>
                <w:shd w:val="clear" w:color="auto" w:fill="FFFFFF"/>
              </w:rPr>
              <w:t>a retrospective cohort study</w:t>
            </w:r>
          </w:p>
        </w:tc>
      </w:tr>
      <w:tr w:rsidR="00F42F2D" w:rsidTr="00F42F2D">
        <w:trPr>
          <w:trHeight w:val="224"/>
        </w:trPr>
        <w:tc>
          <w:tcPr>
            <w:tcW w:w="0" w:type="auto"/>
            <w:vMerge/>
            <w:tcBorders>
              <w:top w:val="nil"/>
              <w:left w:val="nil"/>
              <w:bottom w:val="single" w:sz="4" w:space="0" w:color="7F7F7F"/>
              <w:right w:val="nil"/>
            </w:tcBorders>
            <w:vAlign w:val="center"/>
            <w:hideMark/>
          </w:tcPr>
          <w:p w:rsidR="00F42F2D" w:rsidRDefault="00F42F2D">
            <w:pPr>
              <w:spacing w:after="0" w:line="240" w:lineRule="auto"/>
              <w:rPr>
                <w:rFonts w:ascii="Times New Roman" w:eastAsia="Times New Roman" w:hAnsi="Times New Roman" w:cs="Times New Roman"/>
                <w:b/>
                <w:bCs/>
                <w:sz w:val="24"/>
                <w:szCs w:val="24"/>
              </w:rPr>
            </w:pPr>
          </w:p>
        </w:tc>
        <w:tc>
          <w:tcPr>
            <w:tcW w:w="0" w:type="auto"/>
            <w:vMerge/>
            <w:tcBorders>
              <w:top w:val="nil"/>
              <w:left w:val="nil"/>
              <w:bottom w:val="single" w:sz="4" w:space="0" w:color="7F7F7F"/>
              <w:right w:val="nil"/>
            </w:tcBorders>
            <w:vAlign w:val="center"/>
            <w:hideMark/>
          </w:tcPr>
          <w:p w:rsidR="00F42F2D" w:rsidRDefault="00F42F2D">
            <w:pPr>
              <w:spacing w:after="0" w:line="240" w:lineRule="auto"/>
              <w:rPr>
                <w:rFonts w:ascii="Times New Roman" w:hAnsi="Times New Roman" w:cs="Times New Roman"/>
              </w:rPr>
            </w:pP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(b) 2</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sz w:val="24"/>
                <w:szCs w:val="24"/>
                <w:shd w:val="clear" w:color="auto" w:fill="FFFFFF"/>
              </w:rPr>
            </w:pPr>
            <w:r>
              <w:rPr>
                <w:rFonts w:ascii="Times New Roman" w:hAnsi="Times New Roman" w:cs="Times New Roman"/>
                <w:color w:val="222222"/>
                <w:sz w:val="24"/>
                <w:szCs w:val="24"/>
                <w:shd w:val="clear" w:color="auto" w:fill="FFFFFF"/>
              </w:rPr>
              <w:t xml:space="preserve">Data was retrieved from the hospital information system (HIS) database. Simple and multivariate cox regression models were used to assess the association of gender with in-hospital mortality after AMI. </w:t>
            </w:r>
            <w:r>
              <w:rPr>
                <w:rFonts w:ascii="Times New Roman" w:hAnsi="Times New Roman" w:cs="Times New Roman"/>
                <w:sz w:val="24"/>
                <w:szCs w:val="24"/>
              </w:rPr>
              <w:t>females had a higher risk of death than males after ST segment Elevation MI (STEMI)</w:t>
            </w:r>
          </w:p>
        </w:tc>
      </w:tr>
      <w:tr w:rsidR="00F42F2D" w:rsidTr="00F42F2D">
        <w:tc>
          <w:tcPr>
            <w:tcW w:w="0" w:type="auto"/>
            <w:gridSpan w:val="4"/>
            <w:tcBorders>
              <w:top w:val="nil"/>
              <w:left w:val="nil"/>
              <w:bottom w:val="nil"/>
              <w:right w:val="nil"/>
            </w:tcBorders>
            <w:hideMark/>
          </w:tcPr>
          <w:p w:rsidR="00F42F2D" w:rsidRDefault="00F42F2D">
            <w:pPr>
              <w:tabs>
                <w:tab w:val="left" w:pos="1092"/>
              </w:tabs>
              <w:spacing w:line="360" w:lineRule="auto"/>
              <w:rPr>
                <w:rFonts w:ascii="Times New Roman" w:hAnsi="Times New Roman" w:cs="Times New Roman"/>
                <w:b/>
                <w:bCs/>
              </w:rPr>
            </w:pPr>
            <w:r>
              <w:rPr>
                <w:rFonts w:ascii="TimesNewRomanPS" w:hAnsi="TimesNewRomanPS"/>
                <w:b/>
                <w:bCs/>
                <w:sz w:val="20"/>
                <w:szCs w:val="20"/>
              </w:rPr>
              <w:t xml:space="preserve">Introduction </w:t>
            </w: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Background/rationale </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2</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3</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sz w:val="24"/>
                <w:szCs w:val="24"/>
              </w:rPr>
              <w:t>contradicting evidence suggest that women compared to men may experience a higher rate of mortality after myocardial infarction (MI), a major form of  CVDs.  However, most of these evidence comes from the studies performed before the widespread use of revascularization strategies</w:t>
            </w:r>
          </w:p>
        </w:tc>
      </w:tr>
      <w:tr w:rsidR="00F42F2D" w:rsidTr="00F42F2D">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b/>
                <w:bCs/>
              </w:rPr>
            </w:pPr>
            <w:r>
              <w:rPr>
                <w:rFonts w:ascii="Times New Roman" w:hAnsi="Times New Roman" w:cs="Times New Roman"/>
                <w:b/>
                <w:bCs/>
              </w:rPr>
              <w:t>Objectives</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3</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3</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sz w:val="24"/>
                <w:szCs w:val="24"/>
                <w:shd w:val="clear" w:color="auto" w:fill="FFFFFF"/>
              </w:rPr>
              <w:t>we aimed to examine if there is a sex differences in mortality after myocardial infarction using data from a large sample of patients</w:t>
            </w:r>
          </w:p>
        </w:tc>
      </w:tr>
      <w:tr w:rsidR="00F42F2D" w:rsidTr="00F42F2D">
        <w:tc>
          <w:tcPr>
            <w:tcW w:w="0" w:type="auto"/>
            <w:gridSpan w:val="4"/>
            <w:tcBorders>
              <w:top w:val="single" w:sz="4" w:space="0" w:color="7F7F7F"/>
              <w:left w:val="nil"/>
              <w:bottom w:val="single" w:sz="4" w:space="0" w:color="7F7F7F"/>
              <w:right w:val="nil"/>
            </w:tcBorders>
            <w:hideMark/>
          </w:tcPr>
          <w:p w:rsidR="00F42F2D" w:rsidRDefault="00F42F2D">
            <w:pPr>
              <w:tabs>
                <w:tab w:val="left" w:pos="1092"/>
              </w:tabs>
              <w:spacing w:line="360" w:lineRule="auto"/>
              <w:rPr>
                <w:rFonts w:ascii="Times New Roman" w:hAnsi="Times New Roman" w:cs="Times New Roman"/>
                <w:b/>
                <w:bCs/>
              </w:rPr>
            </w:pPr>
            <w:r>
              <w:rPr>
                <w:rFonts w:ascii="TimesNewRomanPS" w:hAnsi="TimesNewRomanPS"/>
                <w:b/>
                <w:bCs/>
                <w:sz w:val="20"/>
                <w:szCs w:val="20"/>
              </w:rPr>
              <w:t xml:space="preserve">Methods </w:t>
            </w:r>
          </w:p>
        </w:tc>
      </w:tr>
      <w:tr w:rsidR="00F42F2D" w:rsidTr="00F42F2D">
        <w:tc>
          <w:tcPr>
            <w:tcW w:w="0" w:type="auto"/>
            <w:tcBorders>
              <w:top w:val="nil"/>
              <w:left w:val="nil"/>
              <w:bottom w:val="nil"/>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Study design </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4</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3</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sz w:val="24"/>
                <w:szCs w:val="24"/>
              </w:rPr>
              <w:t>We conducted a single-center retrospective cohort study using data of first-admitted patients 50 years or older with ICD-10-</w:t>
            </w:r>
            <w:r>
              <w:rPr>
                <w:rFonts w:ascii="Times New Roman" w:hAnsi="Times New Roman" w:cs="Times New Roman"/>
                <w:color w:val="000000"/>
                <w:sz w:val="24"/>
                <w:szCs w:val="24"/>
              </w:rPr>
              <w:t xml:space="preserve">CM codes of </w:t>
            </w:r>
            <w:r>
              <w:rPr>
                <w:rFonts w:ascii="Times New Roman" w:hAnsi="Times New Roman" w:cs="Times New Roman"/>
                <w:sz w:val="24"/>
                <w:szCs w:val="24"/>
              </w:rPr>
              <w:t>acute</w:t>
            </w:r>
            <w:r>
              <w:rPr>
                <w:rFonts w:ascii="Times New Roman" w:hAnsi="Times New Roman" w:cs="Times New Roman"/>
                <w:color w:val="222222"/>
                <w:sz w:val="24"/>
                <w:szCs w:val="24"/>
                <w:shd w:val="clear" w:color="auto" w:fill="FFFFFF"/>
              </w:rPr>
              <w:t xml:space="preserve"> </w:t>
            </w:r>
            <w:r>
              <w:rPr>
                <w:rFonts w:ascii="Times New Roman" w:hAnsi="Times New Roman" w:cs="Times New Roman"/>
                <w:color w:val="000000"/>
                <w:sz w:val="24"/>
                <w:szCs w:val="24"/>
              </w:rPr>
              <w:t>myocardial infarction (AMI) (ICD- 10 code</w:t>
            </w:r>
            <w:r>
              <w:rPr>
                <w:rFonts w:ascii="Times New Roman" w:hAnsi="Times New Roman" w:cs="Times New Roman"/>
                <w:color w:val="000000"/>
                <w:sz w:val="24"/>
                <w:szCs w:val="24"/>
              </w:rPr>
              <w:br/>
              <w:t>I21) .</w:t>
            </w: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lastRenderedPageBreak/>
              <w:t xml:space="preserve">Setting </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5</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3</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color w:val="000000"/>
                <w:sz w:val="24"/>
                <w:szCs w:val="24"/>
              </w:rPr>
              <w:t>extracted from the hospital informati</w:t>
            </w:r>
            <w:r>
              <w:rPr>
                <w:rFonts w:ascii="Times New Roman" w:hAnsi="Times New Roman" w:cs="Times New Roman"/>
                <w:sz w:val="24"/>
                <w:szCs w:val="24"/>
              </w:rPr>
              <w:t>on system (HIS) of Shahid Rajaei hospital in Karaj city, Iran, over a 4-year period</w:t>
            </w:r>
          </w:p>
        </w:tc>
      </w:tr>
      <w:tr w:rsidR="00F42F2D" w:rsidTr="00F42F2D">
        <w:tc>
          <w:tcPr>
            <w:tcW w:w="0" w:type="auto"/>
            <w:tcBorders>
              <w:top w:val="nil"/>
              <w:left w:val="nil"/>
              <w:bottom w:val="nil"/>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Participants </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6</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(a) 3</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sz w:val="24"/>
                <w:szCs w:val="24"/>
              </w:rPr>
              <w:t xml:space="preserve">The study population was all inpatients 50 years or older who were admitted for the first time </w:t>
            </w:r>
            <w:r>
              <w:rPr>
                <w:rFonts w:ascii="Times New Roman" w:hAnsi="Times New Roman" w:cs="Times New Roman"/>
                <w:color w:val="222222"/>
                <w:sz w:val="24"/>
                <w:szCs w:val="24"/>
                <w:shd w:val="clear" w:color="auto" w:fill="FFFFFF"/>
              </w:rPr>
              <w:t xml:space="preserve">with a diagnosis of </w:t>
            </w:r>
            <w:r>
              <w:rPr>
                <w:rFonts w:ascii="Times New Roman" w:hAnsi="Times New Roman" w:cs="Times New Roman"/>
                <w:sz w:val="24"/>
                <w:szCs w:val="24"/>
              </w:rPr>
              <w:t>AMI (with or without ST segment elevation) in our hospital from 23</w:t>
            </w:r>
            <w:r>
              <w:rPr>
                <w:rFonts w:ascii="Times New Roman" w:hAnsi="Times New Roman" w:cs="Times New Roman"/>
                <w:sz w:val="24"/>
                <w:szCs w:val="24"/>
                <w:vertAlign w:val="superscript"/>
              </w:rPr>
              <w:t>th</w:t>
            </w:r>
            <w:r>
              <w:rPr>
                <w:rFonts w:ascii="Times New Roman" w:hAnsi="Times New Roman" w:cs="Times New Roman"/>
                <w:sz w:val="24"/>
                <w:szCs w:val="24"/>
              </w:rPr>
              <w:t xml:space="preserve"> March 2013 to 1</w:t>
            </w:r>
            <w:r>
              <w:rPr>
                <w:rFonts w:ascii="Times New Roman" w:hAnsi="Times New Roman" w:cs="Times New Roman"/>
                <w:sz w:val="24"/>
                <w:szCs w:val="24"/>
                <w:vertAlign w:val="superscript"/>
              </w:rPr>
              <w:t xml:space="preserve">th </w:t>
            </w:r>
            <w:r>
              <w:rPr>
                <w:rFonts w:ascii="Times New Roman" w:hAnsi="Times New Roman" w:cs="Times New Roman"/>
                <w:sz w:val="24"/>
                <w:szCs w:val="24"/>
              </w:rPr>
              <w:t>January 2020. As novel revascularization techniques including percutaneous coronary intervention (PCI) and coronary artery bypass grafting (CABG) have been performed in our hospital since 2013, the study was restricted to this period</w:t>
            </w: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V ariables </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7</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4</w:t>
            </w:r>
          </w:p>
        </w:tc>
        <w:tc>
          <w:tcPr>
            <w:tcW w:w="0" w:type="auto"/>
            <w:tcBorders>
              <w:top w:val="single" w:sz="4" w:space="0" w:color="7F7F7F"/>
              <w:left w:val="nil"/>
              <w:bottom w:val="single" w:sz="4" w:space="0" w:color="7F7F7F"/>
              <w:right w:val="nil"/>
            </w:tcBorders>
          </w:tcPr>
          <w:p w:rsidR="00F42F2D" w:rsidRDefault="00F42F2D">
            <w:pPr>
              <w:tabs>
                <w:tab w:val="left" w:pos="1092"/>
              </w:tabs>
              <w:spacing w:line="360" w:lineRule="auto"/>
              <w:jc w:val="center"/>
              <w:rPr>
                <w:rFonts w:ascii="Times New Roman" w:hAnsi="Times New Roman" w:cs="Times New Roman"/>
                <w:sz w:val="24"/>
                <w:szCs w:val="24"/>
              </w:rPr>
            </w:pPr>
            <w:r>
              <w:rPr>
                <w:rFonts w:ascii="Times New Roman" w:hAnsi="Times New Roman" w:cs="Times New Roman"/>
                <w:sz w:val="24"/>
                <w:szCs w:val="24"/>
              </w:rPr>
              <w:t>baseline characteristic of included patients, including age (years), gender, presence of comorbidities, type of MI, performed procedures, discharge status (dead or alive), date of admission, discharge or death.</w:t>
            </w:r>
          </w:p>
          <w:p w:rsidR="00F42F2D" w:rsidRDefault="00F42F2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type of MI was determined according to the ICD-10-CM classification as follows: STEMI (codes I21.0-3), unspecified (code I21.9) and NSTEMI (code I21.4) </w:t>
            </w:r>
          </w:p>
          <w:p w:rsidR="00F42F2D" w:rsidRDefault="00F42F2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Using the ICD-10- CM codes, we identified the presence or absence of specific comorbidities at the time of the admission including heart failure (code I50), hypertension (code I10), diabetes (codes E10–E14), and chronic kidney disease (code N18). Besides, we also used ICD-10-CM codes 00.66and 36.01 to 36.09 to identify patients who underwent PCI, and ICD-9-CM codes 36.10 to 36.19 to identify patients who underwent CABG surgery.</w:t>
            </w:r>
          </w:p>
          <w:p w:rsidR="00F42F2D" w:rsidRDefault="00F42F2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color w:val="000000"/>
                <w:sz w:val="24"/>
                <w:szCs w:val="24"/>
              </w:rPr>
              <w:t xml:space="preserve">The main outcome was in-hospital </w:t>
            </w:r>
            <w:r>
              <w:rPr>
                <w:rFonts w:ascii="Times New Roman" w:hAnsi="Times New Roman" w:cs="Times New Roman"/>
                <w:sz w:val="24"/>
                <w:szCs w:val="24"/>
              </w:rPr>
              <w:t>mortality in patients with AMI. As data on the exact cause of death was not available, in-hospital death was defined as death due to any cause during the hospital stay</w:t>
            </w:r>
            <w:r>
              <w:rPr>
                <w:rFonts w:ascii="Times New Roman" w:hAnsi="Times New Roman" w:cs="Times New Roman"/>
                <w:color w:val="00B050"/>
                <w:sz w:val="24"/>
                <w:szCs w:val="24"/>
              </w:rPr>
              <w:t>.</w:t>
            </w:r>
          </w:p>
          <w:p w:rsidR="00F42F2D" w:rsidRDefault="00F42F2D">
            <w:pPr>
              <w:tabs>
                <w:tab w:val="left" w:pos="1092"/>
              </w:tabs>
              <w:spacing w:line="360" w:lineRule="auto"/>
              <w:jc w:val="center"/>
              <w:rPr>
                <w:rFonts w:ascii="Times New Roman" w:hAnsi="Times New Roman" w:cs="Times New Roman"/>
                <w:sz w:val="24"/>
                <w:szCs w:val="24"/>
              </w:rPr>
            </w:pPr>
          </w:p>
        </w:tc>
      </w:tr>
      <w:tr w:rsidR="00F42F2D" w:rsidTr="00F42F2D">
        <w:tc>
          <w:tcPr>
            <w:tcW w:w="0" w:type="auto"/>
            <w:tcBorders>
              <w:top w:val="nil"/>
              <w:left w:val="nil"/>
              <w:bottom w:val="nil"/>
              <w:right w:val="nil"/>
            </w:tcBorders>
          </w:tcPr>
          <w:p w:rsidR="00F42F2D" w:rsidRDefault="00F42F2D">
            <w:pPr>
              <w:pStyle w:val="NormalWeb"/>
              <w:rPr>
                <w:b/>
                <w:bCs/>
                <w:lang w:val="en-US"/>
              </w:rPr>
            </w:pPr>
            <w:r>
              <w:rPr>
                <w:rFonts w:ascii="TimesNewRomanPSMT" w:hAnsi="TimesNewRomanPSMT"/>
                <w:b/>
                <w:bCs/>
                <w:sz w:val="20"/>
                <w:szCs w:val="20"/>
                <w:lang w:val="en-US"/>
              </w:rPr>
              <w:lastRenderedPageBreak/>
              <w:t>Data sources/ measurement</w:t>
            </w:r>
          </w:p>
          <w:p w:rsidR="00F42F2D" w:rsidRDefault="00F42F2D">
            <w:pPr>
              <w:tabs>
                <w:tab w:val="left" w:pos="1092"/>
              </w:tabs>
              <w:spacing w:line="360" w:lineRule="auto"/>
              <w:jc w:val="center"/>
              <w:rPr>
                <w:rFonts w:ascii="Times New Roman" w:hAnsi="Times New Roman" w:cs="Times New Roman"/>
                <w:b/>
                <w:bCs/>
              </w:rPr>
            </w:pP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8</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4</w:t>
            </w:r>
          </w:p>
        </w:tc>
        <w:tc>
          <w:tcPr>
            <w:tcW w:w="0" w:type="auto"/>
            <w:tcBorders>
              <w:top w:val="nil"/>
              <w:left w:val="nil"/>
              <w:bottom w:val="nil"/>
              <w:right w:val="nil"/>
            </w:tcBorders>
            <w:hideMark/>
          </w:tcPr>
          <w:p w:rsidR="00F42F2D" w:rsidRDefault="00F42F2D">
            <w:pPr>
              <w:autoSpaceDE w:val="0"/>
              <w:autoSpaceDN w:val="0"/>
              <w:adjustRightInd w:val="0"/>
              <w:spacing w:after="0" w:line="360" w:lineRule="auto"/>
              <w:jc w:val="both"/>
              <w:rPr>
                <w:rFonts w:ascii="Times New Roman" w:hAnsi="Times New Roman" w:cs="Times New Roman"/>
                <w:color w:val="00B050"/>
                <w:sz w:val="24"/>
                <w:szCs w:val="24"/>
              </w:rPr>
            </w:pPr>
            <w:r>
              <w:rPr>
                <w:rFonts w:ascii="Times New Roman" w:hAnsi="Times New Roman" w:cs="Times New Roman"/>
                <w:color w:val="000000"/>
                <w:sz w:val="24"/>
                <w:szCs w:val="24"/>
              </w:rPr>
              <w:t xml:space="preserve">Data on demographic characteristics, medical history, and ICD-10-CM codes of diagnoses and </w:t>
            </w:r>
            <w:r>
              <w:rPr>
                <w:rFonts w:ascii="Times New Roman" w:hAnsi="Times New Roman" w:cs="Times New Roman"/>
                <w:sz w:val="24"/>
                <w:szCs w:val="24"/>
              </w:rPr>
              <w:t>procedures for each patient are recorded and stored in the hospital information system (HIS) by trained staffs.</w:t>
            </w:r>
            <w:r>
              <w:rPr>
                <w:rFonts w:ascii="Times New Roman" w:hAnsi="Times New Roman" w:cs="Times New Roman"/>
                <w:color w:val="000000"/>
                <w:sz w:val="24"/>
                <w:szCs w:val="24"/>
              </w:rPr>
              <w:t xml:space="preserve"> </w:t>
            </w:r>
          </w:p>
          <w:p w:rsidR="00F42F2D" w:rsidRDefault="00F42F2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In this study, we retrieved some baseline characteristic of included patients, including age (years), gender, presence of comorbidities, type of MI, performed procedures, discharge status (dead or alive), date of admission, discharge or death from the HIS database. Patient’s age was categorized into three groups: 50–64, 65–74, and ≥ 75 years. Length of the stay in the hospital was calculated in days for each patient.</w:t>
            </w:r>
          </w:p>
          <w:p w:rsidR="00F42F2D" w:rsidRDefault="00F42F2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The clinical data were extracted by using International Classification of Diseases, tenth Revision, Clinical Modification (ICD-10-CM) codes.</w:t>
            </w: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Bias </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9</w:t>
            </w:r>
          </w:p>
        </w:tc>
        <w:tc>
          <w:tcPr>
            <w:tcW w:w="0" w:type="auto"/>
            <w:tcBorders>
              <w:top w:val="single" w:sz="4" w:space="0" w:color="7F7F7F"/>
              <w:left w:val="nil"/>
              <w:bottom w:val="single" w:sz="4" w:space="0" w:color="7F7F7F"/>
              <w:right w:val="nil"/>
            </w:tcBorders>
          </w:tcPr>
          <w:p w:rsidR="00F42F2D" w:rsidRDefault="00F42F2D">
            <w:pPr>
              <w:tabs>
                <w:tab w:val="left" w:pos="1092"/>
              </w:tabs>
              <w:spacing w:line="360" w:lineRule="auto"/>
              <w:jc w:val="center"/>
              <w:rPr>
                <w:rFonts w:ascii="Times New Roman" w:hAnsi="Times New Roman" w:cs="Times New Roman"/>
              </w:rPr>
            </w:pPr>
          </w:p>
        </w:tc>
        <w:tc>
          <w:tcPr>
            <w:tcW w:w="0" w:type="auto"/>
            <w:tcBorders>
              <w:top w:val="single" w:sz="4" w:space="0" w:color="7F7F7F"/>
              <w:left w:val="nil"/>
              <w:bottom w:val="single" w:sz="4" w:space="0" w:color="7F7F7F"/>
              <w:right w:val="nil"/>
            </w:tcBorders>
          </w:tcPr>
          <w:p w:rsidR="00F42F2D" w:rsidRDefault="00F42F2D">
            <w:pPr>
              <w:tabs>
                <w:tab w:val="left" w:pos="1092"/>
              </w:tabs>
              <w:spacing w:line="360" w:lineRule="auto"/>
              <w:jc w:val="center"/>
              <w:rPr>
                <w:rFonts w:ascii="Times New Roman" w:hAnsi="Times New Roman" w:cs="Times New Roman"/>
              </w:rPr>
            </w:pPr>
          </w:p>
        </w:tc>
      </w:tr>
      <w:tr w:rsidR="00F42F2D" w:rsidTr="00F42F2D">
        <w:tc>
          <w:tcPr>
            <w:tcW w:w="0" w:type="auto"/>
            <w:tcBorders>
              <w:top w:val="nil"/>
              <w:left w:val="nil"/>
              <w:bottom w:val="nil"/>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Study size </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10</w:t>
            </w:r>
          </w:p>
        </w:tc>
        <w:tc>
          <w:tcPr>
            <w:tcW w:w="0" w:type="auto"/>
            <w:tcBorders>
              <w:top w:val="nil"/>
              <w:left w:val="nil"/>
              <w:bottom w:val="nil"/>
              <w:right w:val="nil"/>
            </w:tcBorders>
          </w:tcPr>
          <w:p w:rsidR="00F42F2D" w:rsidRDefault="00F42F2D">
            <w:pPr>
              <w:tabs>
                <w:tab w:val="left" w:pos="1092"/>
              </w:tabs>
              <w:spacing w:line="360" w:lineRule="auto"/>
              <w:jc w:val="center"/>
              <w:rPr>
                <w:rFonts w:ascii="Times New Roman" w:hAnsi="Times New Roman" w:cs="Times New Roman"/>
              </w:rPr>
            </w:pPr>
          </w:p>
        </w:tc>
        <w:tc>
          <w:tcPr>
            <w:tcW w:w="0" w:type="auto"/>
            <w:tcBorders>
              <w:top w:val="nil"/>
              <w:left w:val="nil"/>
              <w:bottom w:val="nil"/>
              <w:right w:val="nil"/>
            </w:tcBorders>
          </w:tcPr>
          <w:p w:rsidR="00F42F2D" w:rsidRDefault="00F42F2D">
            <w:pPr>
              <w:tabs>
                <w:tab w:val="left" w:pos="1092"/>
              </w:tabs>
              <w:spacing w:line="360" w:lineRule="auto"/>
              <w:jc w:val="center"/>
              <w:rPr>
                <w:rFonts w:ascii="Times New Roman" w:hAnsi="Times New Roman" w:cs="Times New Roman"/>
              </w:rPr>
            </w:pP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t>Quantitative variables</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11</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5</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color w:val="000000"/>
                <w:sz w:val="24"/>
                <w:szCs w:val="24"/>
              </w:rPr>
              <w:t>We also compared the survival distribution between males and females using the log-rank test.</w:t>
            </w:r>
            <w:r>
              <w:rPr>
                <w:rFonts w:ascii="Times New Roman" w:hAnsi="Times New Roman" w:cs="Times New Roman"/>
                <w:color w:val="222222"/>
                <w:sz w:val="24"/>
                <w:szCs w:val="24"/>
                <w:shd w:val="clear" w:color="auto" w:fill="FFFFFF"/>
              </w:rPr>
              <w:t xml:space="preserve">  Follow-up period defined as time (days) from the date of admission until the date of discharge or </w:t>
            </w:r>
            <w:r>
              <w:rPr>
                <w:rFonts w:ascii="Times New Roman" w:hAnsi="Times New Roman" w:cs="Times New Roman"/>
                <w:color w:val="000000"/>
                <w:sz w:val="24"/>
                <w:szCs w:val="24"/>
                <w:shd w:val="clear" w:color="auto" w:fill="FFFFFF"/>
              </w:rPr>
              <w:t>in</w:t>
            </w:r>
            <w:r>
              <w:rPr>
                <w:rFonts w:ascii="Times New Roman" w:hAnsi="Times New Roman" w:cs="Times New Roman"/>
                <w:color w:val="222222"/>
                <w:sz w:val="24"/>
                <w:szCs w:val="24"/>
                <w:shd w:val="clear" w:color="auto" w:fill="FFFFFF"/>
              </w:rPr>
              <w:t>-</w:t>
            </w:r>
            <w:r>
              <w:rPr>
                <w:rFonts w:ascii="Times New Roman" w:hAnsi="Times New Roman" w:cs="Times New Roman"/>
                <w:color w:val="000000"/>
                <w:sz w:val="24"/>
                <w:szCs w:val="24"/>
                <w:shd w:val="clear" w:color="auto" w:fill="FFFFFF"/>
              </w:rPr>
              <w:t>hospital</w:t>
            </w:r>
            <w:r>
              <w:rPr>
                <w:rFonts w:ascii="Times New Roman" w:hAnsi="Times New Roman" w:cs="Times New Roman"/>
                <w:color w:val="222222"/>
                <w:sz w:val="24"/>
                <w:szCs w:val="24"/>
                <w:shd w:val="clear" w:color="auto" w:fill="FFFFFF"/>
              </w:rPr>
              <w:t xml:space="preserve"> </w:t>
            </w:r>
            <w:r>
              <w:rPr>
                <w:rFonts w:ascii="Times New Roman" w:hAnsi="Times New Roman" w:cs="Times New Roman"/>
                <w:color w:val="000000"/>
                <w:sz w:val="24"/>
                <w:szCs w:val="24"/>
                <w:shd w:val="clear" w:color="auto" w:fill="FFFFFF"/>
              </w:rPr>
              <w:t>death</w:t>
            </w:r>
            <w:r>
              <w:rPr>
                <w:rFonts w:ascii="Times New Roman" w:hAnsi="Times New Roman" w:cs="Times New Roman"/>
                <w:color w:val="222222"/>
                <w:sz w:val="24"/>
                <w:szCs w:val="24"/>
                <w:shd w:val="clear" w:color="auto" w:fill="FFFFFF"/>
              </w:rPr>
              <w:t xml:space="preserve"> whichever occurred first. </w:t>
            </w:r>
            <w:r>
              <w:rPr>
                <w:rFonts w:ascii="Times New Roman" w:hAnsi="Times New Roman" w:cs="Times New Roman"/>
                <w:color w:val="000000"/>
                <w:sz w:val="24"/>
                <w:szCs w:val="24"/>
              </w:rPr>
              <w:t>The probability of survival for males and females was depicted in Kaplan-Meier plots. For all analyses a p-value&lt;0.05 (two-tailed) was considered statistically significant.</w:t>
            </w:r>
          </w:p>
        </w:tc>
      </w:tr>
      <w:tr w:rsidR="00F42F2D" w:rsidTr="00F42F2D">
        <w:tc>
          <w:tcPr>
            <w:tcW w:w="0" w:type="auto"/>
            <w:tcBorders>
              <w:top w:val="nil"/>
              <w:left w:val="nil"/>
              <w:bottom w:val="nil"/>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Statistical methods </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12</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5</w:t>
            </w:r>
          </w:p>
        </w:tc>
        <w:tc>
          <w:tcPr>
            <w:tcW w:w="0" w:type="auto"/>
            <w:tcBorders>
              <w:top w:val="nil"/>
              <w:left w:val="nil"/>
              <w:bottom w:val="nil"/>
              <w:right w:val="nil"/>
            </w:tcBorders>
            <w:hideMark/>
          </w:tcPr>
          <w:p w:rsidR="00F42F2D" w:rsidRDefault="00F42F2D">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We used descriptive statistics, mean (SD) for continuous variables and as number (percentage) for categorical variables to summarize demographic and clinical data of the </w:t>
            </w:r>
            <w:r>
              <w:rPr>
                <w:rFonts w:ascii="Times New Roman" w:hAnsi="Times New Roman" w:cs="Times New Roman"/>
                <w:color w:val="000000"/>
                <w:sz w:val="24"/>
                <w:szCs w:val="24"/>
              </w:rPr>
              <w:lastRenderedPageBreak/>
              <w:t xml:space="preserve">cohort. Characteristics of males and females were compared using two-tailed t-tests or chi-square tests, as appropriate. </w:t>
            </w:r>
          </w:p>
          <w:p w:rsidR="00F42F2D" w:rsidRDefault="00F42F2D">
            <w:pPr>
              <w:autoSpaceDE w:val="0"/>
              <w:autoSpaceDN w:val="0"/>
              <w:adjustRightInd w:val="0"/>
              <w:spacing w:after="0" w:line="360" w:lineRule="auto"/>
              <w:jc w:val="both"/>
              <w:rPr>
                <w:rFonts w:ascii="Times New Roman" w:hAnsi="Times New Roman" w:cs="Times New Roman"/>
                <w:color w:val="FFC000"/>
                <w:sz w:val="24"/>
                <w:szCs w:val="24"/>
              </w:rPr>
            </w:pPr>
            <w:r>
              <w:rPr>
                <w:rFonts w:ascii="Times New Roman" w:hAnsi="Times New Roman" w:cs="Times New Roman"/>
                <w:color w:val="000000"/>
                <w:sz w:val="24"/>
                <w:szCs w:val="24"/>
              </w:rPr>
              <w:t xml:space="preserve">We also used Univariable and Multivariable </w:t>
            </w:r>
            <w:r>
              <w:rPr>
                <w:rFonts w:ascii="Times New Roman" w:hAnsi="Times New Roman" w:cs="Times New Roman"/>
                <w:sz w:val="24"/>
                <w:szCs w:val="24"/>
              </w:rPr>
              <w:t>Cox proportional hazard regression models to assess the effect of being female on the in-hospital mortality after AMI. The</w:t>
            </w:r>
            <w:r>
              <w:rPr>
                <w:rFonts w:ascii="Times New Roman" w:hAnsi="Times New Roman" w:cs="Times New Roman"/>
                <w:color w:val="000000"/>
                <w:sz w:val="24"/>
                <w:szCs w:val="24"/>
              </w:rPr>
              <w:t xml:space="preserve"> results is presented as a </w:t>
            </w:r>
            <w:r>
              <w:rPr>
                <w:rFonts w:ascii="Times New Roman" w:hAnsi="Times New Roman" w:cs="Times New Roman"/>
                <w:sz w:val="24"/>
                <w:szCs w:val="24"/>
              </w:rPr>
              <w:t>hazard ratio (HR) 95% confidence interval [CIs]). Proportional hazard assumption was evaluated using both graphical methods (ln-ln S [t] graphs) and statistical tests containing continuous time-interaction terms (Cox tests).</w:t>
            </w:r>
          </w:p>
          <w:p w:rsidR="00F42F2D" w:rsidRDefault="00F42F2D">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Various cox regression models were constructed according to adjustment strategy: model I, unadjusted; model II, adjusted for patient age; and model III, adjusted for age, diabetes, arterial hypertension.</w:t>
            </w:r>
          </w:p>
          <w:p w:rsidR="00F42F2D" w:rsidRDefault="00F42F2D">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We also compared the survival distribution between males and females using the log-rank test.</w:t>
            </w:r>
            <w:r>
              <w:rPr>
                <w:rFonts w:ascii="Times New Roman" w:hAnsi="Times New Roman" w:cs="Times New Roman"/>
                <w:color w:val="222222"/>
                <w:sz w:val="24"/>
                <w:szCs w:val="24"/>
                <w:shd w:val="clear" w:color="auto" w:fill="FFFFFF"/>
              </w:rPr>
              <w:t xml:space="preserve">  Follow-up period defined as time (days) from the date of admission until the date of discharge or </w:t>
            </w:r>
            <w:r>
              <w:rPr>
                <w:rFonts w:ascii="Times New Roman" w:hAnsi="Times New Roman" w:cs="Times New Roman"/>
                <w:color w:val="000000"/>
                <w:sz w:val="24"/>
                <w:szCs w:val="24"/>
                <w:shd w:val="clear" w:color="auto" w:fill="FFFFFF"/>
              </w:rPr>
              <w:t>in</w:t>
            </w:r>
            <w:r>
              <w:rPr>
                <w:rFonts w:ascii="Times New Roman" w:hAnsi="Times New Roman" w:cs="Times New Roman"/>
                <w:color w:val="222222"/>
                <w:sz w:val="24"/>
                <w:szCs w:val="24"/>
                <w:shd w:val="clear" w:color="auto" w:fill="FFFFFF"/>
              </w:rPr>
              <w:t>-</w:t>
            </w:r>
            <w:r>
              <w:rPr>
                <w:rFonts w:ascii="Times New Roman" w:hAnsi="Times New Roman" w:cs="Times New Roman"/>
                <w:color w:val="000000"/>
                <w:sz w:val="24"/>
                <w:szCs w:val="24"/>
                <w:shd w:val="clear" w:color="auto" w:fill="FFFFFF"/>
              </w:rPr>
              <w:t>hospital</w:t>
            </w:r>
            <w:r>
              <w:rPr>
                <w:rFonts w:ascii="Times New Roman" w:hAnsi="Times New Roman" w:cs="Times New Roman"/>
                <w:color w:val="222222"/>
                <w:sz w:val="24"/>
                <w:szCs w:val="24"/>
                <w:shd w:val="clear" w:color="auto" w:fill="FFFFFF"/>
              </w:rPr>
              <w:t xml:space="preserve"> </w:t>
            </w:r>
            <w:r>
              <w:rPr>
                <w:rFonts w:ascii="Times New Roman" w:hAnsi="Times New Roman" w:cs="Times New Roman"/>
                <w:color w:val="000000"/>
                <w:sz w:val="24"/>
                <w:szCs w:val="24"/>
                <w:shd w:val="clear" w:color="auto" w:fill="FFFFFF"/>
              </w:rPr>
              <w:t>death</w:t>
            </w:r>
            <w:r>
              <w:rPr>
                <w:rFonts w:ascii="Times New Roman" w:hAnsi="Times New Roman" w:cs="Times New Roman"/>
                <w:color w:val="222222"/>
                <w:sz w:val="24"/>
                <w:szCs w:val="24"/>
                <w:shd w:val="clear" w:color="auto" w:fill="FFFFFF"/>
              </w:rPr>
              <w:t xml:space="preserve"> whichever occurred first. </w:t>
            </w:r>
            <w:r>
              <w:rPr>
                <w:rFonts w:ascii="Times New Roman" w:hAnsi="Times New Roman" w:cs="Times New Roman"/>
                <w:color w:val="000000"/>
                <w:sz w:val="24"/>
                <w:szCs w:val="24"/>
              </w:rPr>
              <w:t>The probability of survival for males and females was depicted in Kaplan-Meier plots. For all analyses a p-value&lt;0.05 (two-tailed) was considered statistically significant. Analyses were performed using SPSS version 18.0 (SPSS, Chicago, IL, USA) and STATA V.12.0 (Stata Corp, College Station, Texas, USA).</w:t>
            </w:r>
          </w:p>
        </w:tc>
      </w:tr>
      <w:tr w:rsidR="00F42F2D" w:rsidTr="00F42F2D">
        <w:tc>
          <w:tcPr>
            <w:tcW w:w="0" w:type="auto"/>
            <w:gridSpan w:val="4"/>
            <w:tcBorders>
              <w:top w:val="single" w:sz="4" w:space="0" w:color="7F7F7F"/>
              <w:left w:val="nil"/>
              <w:bottom w:val="single" w:sz="4" w:space="0" w:color="7F7F7F"/>
              <w:right w:val="nil"/>
            </w:tcBorders>
            <w:hideMark/>
          </w:tcPr>
          <w:p w:rsidR="00F42F2D" w:rsidRDefault="00F42F2D">
            <w:pPr>
              <w:tabs>
                <w:tab w:val="left" w:pos="1092"/>
              </w:tabs>
              <w:spacing w:line="360" w:lineRule="auto"/>
              <w:rPr>
                <w:rFonts w:ascii="Times New Roman" w:hAnsi="Times New Roman" w:cs="Times New Roman"/>
                <w:b/>
                <w:bCs/>
              </w:rPr>
            </w:pPr>
            <w:r>
              <w:rPr>
                <w:rFonts w:ascii="TimesNewRomanPS" w:hAnsi="TimesNewRomanPS"/>
                <w:b/>
                <w:bCs/>
                <w:sz w:val="20"/>
                <w:szCs w:val="20"/>
              </w:rPr>
              <w:lastRenderedPageBreak/>
              <w:t xml:space="preserve">Results </w:t>
            </w:r>
          </w:p>
        </w:tc>
      </w:tr>
      <w:tr w:rsidR="00F42F2D" w:rsidTr="00F42F2D">
        <w:tc>
          <w:tcPr>
            <w:tcW w:w="0" w:type="auto"/>
            <w:tcBorders>
              <w:top w:val="nil"/>
              <w:left w:val="nil"/>
              <w:bottom w:val="nil"/>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Participants </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13</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5</w:t>
            </w:r>
          </w:p>
        </w:tc>
        <w:tc>
          <w:tcPr>
            <w:tcW w:w="0" w:type="auto"/>
            <w:tcBorders>
              <w:top w:val="nil"/>
              <w:left w:val="nil"/>
              <w:bottom w:val="nil"/>
              <w:right w:val="nil"/>
            </w:tcBorders>
            <w:hideMark/>
          </w:tcPr>
          <w:p w:rsidR="00F42F2D" w:rsidRDefault="00F42F2D">
            <w:pPr>
              <w:spacing w:line="360" w:lineRule="auto"/>
              <w:rPr>
                <w:rFonts w:ascii="Times New Roman" w:hAnsi="Times New Roman" w:cs="Times New Roman"/>
                <w:sz w:val="24"/>
                <w:szCs w:val="24"/>
              </w:rPr>
            </w:pPr>
            <w:r>
              <w:rPr>
                <w:rFonts w:ascii="Times New Roman" w:hAnsi="Times New Roman" w:cs="Times New Roman"/>
                <w:sz w:val="24"/>
                <w:szCs w:val="24"/>
              </w:rPr>
              <w:t xml:space="preserve">A total of   1,730 first-admitted patients with AMI older than 50 years were recorded in our HIS database from March 2013 through January 2019. The mean age (standard deviation (SD)) of patients was 64.5 (10.4) and 455 (26.3%) were female.  In order by frequency, type of </w:t>
            </w:r>
            <w:r>
              <w:rPr>
                <w:rFonts w:ascii="Times New Roman" w:hAnsi="Times New Roman" w:cs="Times New Roman"/>
                <w:sz w:val="24"/>
                <w:szCs w:val="24"/>
              </w:rPr>
              <w:lastRenderedPageBreak/>
              <w:t>MI was STEMI in 1,176 patients (68.0%), NSTEMI in 330 (19.1%), and unspecified MI in 224 (12.9%).</w:t>
            </w:r>
          </w:p>
          <w:p w:rsidR="00F42F2D" w:rsidRDefault="00F42F2D">
            <w:pPr>
              <w:spacing w:line="360" w:lineRule="auto"/>
              <w:jc w:val="both"/>
              <w:rPr>
                <w:rFonts w:ascii="Times New Roman" w:hAnsi="Times New Roman" w:cs="Times New Roman"/>
              </w:rPr>
            </w:pPr>
            <w:r>
              <w:rPr>
                <w:rFonts w:ascii="Times New Roman" w:hAnsi="Times New Roman" w:cs="Times New Roman"/>
                <w:sz w:val="24"/>
                <w:szCs w:val="24"/>
              </w:rPr>
              <w:t>Overall, 7 patients (0.4%) dead in the early hours of hospitalization, 1,430 (82.6%) underwent angiography, and 293 (17.0%) received medical therapies. Among patients who underwent angiography, the performed procedure was PCI in 1,069 patients (74.8%), CABG in 73 (5.1%), PCI &amp; CABG in 13 (0.9%), and “only angiography” in 275 (19.2%).</w:t>
            </w: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lastRenderedPageBreak/>
              <w:t xml:space="preserve">Descriptive data </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14</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5,6</w:t>
            </w:r>
          </w:p>
        </w:tc>
        <w:tc>
          <w:tcPr>
            <w:tcW w:w="0" w:type="auto"/>
            <w:tcBorders>
              <w:top w:val="single" w:sz="4" w:space="0" w:color="7F7F7F"/>
              <w:left w:val="nil"/>
              <w:bottom w:val="single" w:sz="4" w:space="0" w:color="7F7F7F"/>
              <w:right w:val="nil"/>
            </w:tcBorders>
            <w:hideMark/>
          </w:tcPr>
          <w:p w:rsidR="00F42F2D" w:rsidRDefault="00F42F2D">
            <w:pPr>
              <w:spacing w:line="360" w:lineRule="auto"/>
              <w:jc w:val="both"/>
              <w:rPr>
                <w:rFonts w:ascii="Times New Roman" w:hAnsi="Times New Roman" w:cs="Times New Roman"/>
                <w:sz w:val="24"/>
                <w:szCs w:val="24"/>
              </w:rPr>
            </w:pPr>
            <w:r>
              <w:rPr>
                <w:rFonts w:ascii="Times New Roman" w:hAnsi="Times New Roman" w:cs="Times New Roman"/>
                <w:color w:val="000000"/>
                <w:sz w:val="24"/>
                <w:szCs w:val="24"/>
              </w:rPr>
              <w:t>Table 1 shows the patients’ characteristics and treatment and procedures performed for them during hospitalization according to the gender.</w:t>
            </w:r>
            <w:r>
              <w:rPr>
                <w:rFonts w:ascii="Times New Roman" w:hAnsi="Times New Roman" w:cs="Times New Roman"/>
                <w:sz w:val="24"/>
                <w:szCs w:val="24"/>
              </w:rPr>
              <w:t xml:space="preserve"> The</w:t>
            </w:r>
            <w:r>
              <w:rPr>
                <w:rFonts w:ascii="Times New Roman" w:hAnsi="Times New Roman" w:cs="Times New Roman"/>
                <w:color w:val="000000"/>
                <w:sz w:val="24"/>
                <w:szCs w:val="24"/>
              </w:rPr>
              <w:t xml:space="preserve"> </w:t>
            </w:r>
            <w:r>
              <w:rPr>
                <w:rFonts w:ascii="Times New Roman" w:hAnsi="Times New Roman" w:cs="Times New Roman"/>
                <w:sz w:val="24"/>
                <w:szCs w:val="24"/>
              </w:rPr>
              <w:t>mean age (SD) of females was significantly higher than males (68.3 (10.9) vs. 63.3 (9.9), respectively; P&lt;0.001). Compared to males, a higher percentage of females had a history of hypertension and diabetes. (Both P &lt; 0.001) There was no significant difference between both sexes regarding prevalence of comorbidities CHF and CKD.</w:t>
            </w:r>
          </w:p>
          <w:p w:rsidR="00F42F2D" w:rsidRDefault="00F42F2D">
            <w:pPr>
              <w:spacing w:line="360" w:lineRule="auto"/>
              <w:jc w:val="both"/>
              <w:rPr>
                <w:rFonts w:ascii="Times New Roman" w:hAnsi="Times New Roman" w:cs="Times New Roman"/>
                <w:sz w:val="24"/>
                <w:szCs w:val="24"/>
              </w:rPr>
            </w:pPr>
            <w:r>
              <w:rPr>
                <w:rFonts w:ascii="Times New Roman" w:hAnsi="Times New Roman" w:cs="Times New Roman"/>
                <w:sz w:val="24"/>
                <w:szCs w:val="24"/>
              </w:rPr>
              <w:t>Besides, a higher percentage of males compared to females diagnosed by STEMI (70.1% vs. 62.9% respectively, P=0.001). Males also significantly showed a higher rate of the anterior location of STEMI in comparison with females (44.7% vs. 34.4% respectively, P= 0.002)</w:t>
            </w:r>
          </w:p>
          <w:p w:rsidR="00F42F2D" w:rsidRDefault="00F42F2D">
            <w:pPr>
              <w:spacing w:line="360" w:lineRule="auto"/>
              <w:jc w:val="both"/>
              <w:rPr>
                <w:rFonts w:ascii="Times New Roman" w:hAnsi="Times New Roman" w:cs="Times New Roman"/>
                <w:sz w:val="24"/>
                <w:szCs w:val="24"/>
              </w:rPr>
            </w:pPr>
            <w:r>
              <w:rPr>
                <w:rFonts w:ascii="Times New Roman" w:hAnsi="Times New Roman" w:cs="Times New Roman"/>
                <w:sz w:val="24"/>
                <w:szCs w:val="24"/>
              </w:rPr>
              <w:t>In subgroup of patients who underwent angiography, males were more likely to receive PCI, CABG, or PCI &amp; CABG. (P= 0.003)</w:t>
            </w:r>
          </w:p>
        </w:tc>
      </w:tr>
      <w:tr w:rsidR="00F42F2D" w:rsidTr="00F42F2D">
        <w:tc>
          <w:tcPr>
            <w:tcW w:w="0" w:type="auto"/>
            <w:tcBorders>
              <w:top w:val="nil"/>
              <w:left w:val="nil"/>
              <w:bottom w:val="nil"/>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Outcome data </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15</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6</w:t>
            </w:r>
          </w:p>
        </w:tc>
        <w:tc>
          <w:tcPr>
            <w:tcW w:w="0" w:type="auto"/>
            <w:tcBorders>
              <w:top w:val="nil"/>
              <w:left w:val="nil"/>
              <w:bottom w:val="nil"/>
              <w:right w:val="nil"/>
            </w:tcBorders>
            <w:hideMark/>
          </w:tcPr>
          <w:p w:rsidR="00F42F2D" w:rsidRDefault="00F42F2D">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A total of 218 (12.6%) deaths happened among patients during hospitalization, of which 50% occurred within the first 2 days in the hospital.  Females had a higher in-</w:t>
            </w:r>
            <w:r>
              <w:rPr>
                <w:rFonts w:ascii="Times New Roman" w:hAnsi="Times New Roman" w:cs="Times New Roman"/>
                <w:sz w:val="24"/>
                <w:szCs w:val="24"/>
              </w:rPr>
              <w:lastRenderedPageBreak/>
              <w:t>hospital mortality compared to males (17.8% vs. 10.7%, P &lt; 0.001); by subgroups age and MI type, this significant excess mortality in females was observed in the age group 50-64 years and in STEMI category.</w:t>
            </w:r>
          </w:p>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sz w:val="24"/>
                <w:szCs w:val="24"/>
              </w:rPr>
              <w:t>Table 3 presents the results of the univariate and multivariate Cox regression analysis for the effect of gender on the in-hospital mortality in first-admitted patients with AMI, overall and in subgroups of MI type</w:t>
            </w: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lastRenderedPageBreak/>
              <w:t xml:space="preserve">Main results </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16</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6</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sz w:val="24"/>
                <w:szCs w:val="24"/>
              </w:rPr>
              <w:t>Overall, based on results of the univariable Cox regression analysis, females had a higher in-hospital mortality rates than males after AMI (Crude HR (95% CI): 1.58 (1.20- 2.08), P=0.001). These findings were not confirmed by the multivariate Cox regression analysis after considering potential confounder age (adjusted HR (95% CI): 1.30 (0.98 – 1.74), P= 0.067)</w:t>
            </w:r>
          </w:p>
        </w:tc>
      </w:tr>
      <w:tr w:rsidR="00F42F2D" w:rsidTr="00F42F2D">
        <w:tc>
          <w:tcPr>
            <w:tcW w:w="0" w:type="auto"/>
            <w:tcBorders>
              <w:top w:val="nil"/>
              <w:left w:val="nil"/>
              <w:bottom w:val="nil"/>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Other analyses </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17</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6,7</w:t>
            </w:r>
          </w:p>
        </w:tc>
        <w:tc>
          <w:tcPr>
            <w:tcW w:w="0" w:type="auto"/>
            <w:tcBorders>
              <w:top w:val="nil"/>
              <w:left w:val="nil"/>
              <w:bottom w:val="nil"/>
              <w:right w:val="nil"/>
            </w:tcBorders>
            <w:hideMark/>
          </w:tcPr>
          <w:p w:rsidR="00F42F2D" w:rsidRDefault="00F42F2D">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However, in subgroup analysis by age group, the significant adjusted effect of being female on in-hospital mortality after AMI was observed only in patients aged 50 to 64 years. (Figure 1)</w:t>
            </w:r>
          </w:p>
          <w:p w:rsidR="00F42F2D" w:rsidRDefault="00F42F2D">
            <w:pPr>
              <w:autoSpaceDE w:val="0"/>
              <w:autoSpaceDN w:val="0"/>
              <w:adjustRightInd w:val="0"/>
              <w:spacing w:after="0" w:line="360" w:lineRule="auto"/>
              <w:rPr>
                <w:rFonts w:ascii="Times New Roman" w:hAnsi="Times New Roman" w:cs="Times New Roman"/>
                <w:sz w:val="24"/>
                <w:szCs w:val="24"/>
              </w:rPr>
            </w:pPr>
            <w:r>
              <w:rPr>
                <w:rFonts w:ascii="Times New Roman" w:hAnsi="Times New Roman" w:cs="Times New Roman"/>
                <w:sz w:val="24"/>
                <w:szCs w:val="24"/>
              </w:rPr>
              <w:t xml:space="preserve">Furthermore, in the STEMI subgroup, the results from the Cox regression analysis revealed a gender difference in the risk of in-hospital mortality. Being female increased the hazard of death by 1.93 times in the crude model (Crude HR (95% CI): 1.93 (1.36-2.74), P &lt;0.001). In the model involving potential confounders age, diabetes, and hypertension, the in-hospital mortality rate remained significantly higher in females than males (adjusted HR (95% CI): 1.64 (1.15 – 2.36), P=0.007). However, in subgroup analysis by age group, this significant effect of </w:t>
            </w:r>
            <w:r>
              <w:rPr>
                <w:rFonts w:ascii="Times New Roman" w:hAnsi="Times New Roman" w:cs="Times New Roman"/>
                <w:sz w:val="24"/>
                <w:szCs w:val="24"/>
              </w:rPr>
              <w:lastRenderedPageBreak/>
              <w:t>being female on in-hospital mortality after AMI was observed only in patients aged 50 to 64 years. (Figure 1)</w:t>
            </w:r>
          </w:p>
          <w:p w:rsidR="00F42F2D" w:rsidRDefault="00F42F2D">
            <w:pPr>
              <w:shd w:val="clear" w:color="auto" w:fill="FFFFFF"/>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We also performed a log-rank test to determine if there were differences in the survival distribution for males and females in the different age groups: 50-64, 65-74, and 75 + years. The survival distributions for males and females were significantly different in the age group 50-64 years (χ </w:t>
            </w:r>
            <w:r>
              <w:rPr>
                <w:rFonts w:ascii="Times New Roman" w:hAnsi="Times New Roman" w:cs="Times New Roman"/>
                <w:color w:val="000000"/>
                <w:sz w:val="24"/>
                <w:szCs w:val="24"/>
                <w:vertAlign w:val="superscript"/>
              </w:rPr>
              <w:t>2</w:t>
            </w:r>
            <w:r>
              <w:rPr>
                <w:rFonts w:ascii="Times New Roman" w:hAnsi="Times New Roman" w:cs="Times New Roman"/>
                <w:color w:val="000000"/>
                <w:sz w:val="24"/>
                <w:szCs w:val="24"/>
                <w:vertAlign w:val="subscript"/>
              </w:rPr>
              <w:t>(1)</w:t>
            </w:r>
            <w:r>
              <w:rPr>
                <w:rFonts w:ascii="Times New Roman" w:hAnsi="Times New Roman" w:cs="Times New Roman"/>
                <w:color w:val="000000"/>
                <w:sz w:val="24"/>
                <w:szCs w:val="24"/>
              </w:rPr>
              <w:t xml:space="preserve"> = 7.689, </w:t>
            </w:r>
            <w:r>
              <w:rPr>
                <w:rFonts w:ascii="Times New Roman" w:hAnsi="Times New Roman" w:cs="Times New Roman"/>
                <w:i/>
                <w:iCs/>
                <w:color w:val="000000"/>
                <w:sz w:val="24"/>
                <w:szCs w:val="24"/>
              </w:rPr>
              <w:t>p</w:t>
            </w:r>
            <w:r>
              <w:rPr>
                <w:rFonts w:ascii="Times New Roman" w:hAnsi="Times New Roman" w:cs="Times New Roman"/>
                <w:color w:val="000000"/>
                <w:sz w:val="24"/>
                <w:szCs w:val="24"/>
              </w:rPr>
              <w:t> = 0.006), but not in the older age groups. (Figure 2&amp; 3)</w:t>
            </w:r>
          </w:p>
        </w:tc>
      </w:tr>
      <w:tr w:rsidR="00F42F2D" w:rsidTr="00F42F2D">
        <w:tc>
          <w:tcPr>
            <w:tcW w:w="0" w:type="auto"/>
            <w:gridSpan w:val="4"/>
            <w:tcBorders>
              <w:top w:val="single" w:sz="4" w:space="0" w:color="7F7F7F"/>
              <w:left w:val="nil"/>
              <w:bottom w:val="single" w:sz="4" w:space="0" w:color="7F7F7F"/>
              <w:right w:val="nil"/>
            </w:tcBorders>
            <w:hideMark/>
          </w:tcPr>
          <w:p w:rsidR="00F42F2D" w:rsidRDefault="00F42F2D">
            <w:pPr>
              <w:tabs>
                <w:tab w:val="left" w:pos="1092"/>
              </w:tabs>
              <w:spacing w:line="360" w:lineRule="auto"/>
              <w:rPr>
                <w:rFonts w:ascii="Times New Roman" w:hAnsi="Times New Roman" w:cs="Times New Roman"/>
                <w:b/>
                <w:bCs/>
              </w:rPr>
            </w:pPr>
            <w:r>
              <w:rPr>
                <w:rFonts w:ascii="TimesNewRomanPS" w:hAnsi="TimesNewRomanPS"/>
                <w:b/>
                <w:bCs/>
                <w:sz w:val="20"/>
                <w:szCs w:val="20"/>
              </w:rPr>
              <w:lastRenderedPageBreak/>
              <w:t xml:space="preserve">Discussion </w:t>
            </w:r>
          </w:p>
        </w:tc>
      </w:tr>
      <w:tr w:rsidR="00F42F2D" w:rsidTr="00F42F2D">
        <w:tc>
          <w:tcPr>
            <w:tcW w:w="0" w:type="auto"/>
            <w:tcBorders>
              <w:top w:val="nil"/>
              <w:left w:val="nil"/>
              <w:bottom w:val="nil"/>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Key results </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18</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7</w:t>
            </w:r>
          </w:p>
        </w:tc>
        <w:tc>
          <w:tcPr>
            <w:tcW w:w="0" w:type="auto"/>
            <w:tcBorders>
              <w:top w:val="nil"/>
              <w:left w:val="nil"/>
              <w:bottom w:val="nil"/>
              <w:right w:val="nil"/>
            </w:tcBorders>
            <w:hideMark/>
          </w:tcPr>
          <w:p w:rsidR="00F42F2D" w:rsidRDefault="00F42F2D">
            <w:pPr>
              <w:tabs>
                <w:tab w:val="left" w:pos="9360"/>
              </w:tabs>
              <w:spacing w:line="360" w:lineRule="auto"/>
              <w:jc w:val="both"/>
              <w:rPr>
                <w:rFonts w:ascii="Times New Roman" w:hAnsi="Times New Roman" w:cs="Times New Roman"/>
                <w:sz w:val="24"/>
                <w:szCs w:val="24"/>
              </w:rPr>
            </w:pPr>
            <w:r>
              <w:rPr>
                <w:rFonts w:ascii="Times New Roman" w:hAnsi="Times New Roman" w:cs="Times New Roman"/>
                <w:sz w:val="24"/>
                <w:szCs w:val="24"/>
              </w:rPr>
              <w:t>In this study, we evaluated sex differences in in-hospital mortality following AMI in first admitted patients. Based on our findings, female patients aged 50 to 64 years were more likely to die following STEMI, considering potential confounders age, presence of diabetes and hypertension, than males in the same age group; however, this gender effect was no longer seen in older age groups. Also, in patients hospitalized for non-STEMI, both sexes revealed similar risk for in-hospital mortality.</w:t>
            </w: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Limitations </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19</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7</w:t>
            </w:r>
          </w:p>
        </w:tc>
        <w:tc>
          <w:tcPr>
            <w:tcW w:w="0" w:type="auto"/>
            <w:tcBorders>
              <w:top w:val="single" w:sz="4" w:space="0" w:color="7F7F7F"/>
              <w:left w:val="nil"/>
              <w:bottom w:val="single" w:sz="4" w:space="0" w:color="7F7F7F"/>
              <w:right w:val="nil"/>
            </w:tcBorders>
            <w:hideMark/>
          </w:tcPr>
          <w:p w:rsidR="00F42F2D" w:rsidRDefault="00F42F2D">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specific symptoms are believed </w:t>
            </w:r>
            <w:r>
              <w:rPr>
                <w:rFonts w:ascii="Times New Roman" w:hAnsi="Times New Roman" w:cs="Times New Roman"/>
                <w:color w:val="000000"/>
                <w:sz w:val="24"/>
                <w:szCs w:val="24"/>
                <w:shd w:val="clear" w:color="auto" w:fill="FFFFFF"/>
              </w:rPr>
              <w:t>to</w:t>
            </w:r>
            <w:r>
              <w:rPr>
                <w:rFonts w:ascii="Times New Roman" w:hAnsi="Times New Roman" w:cs="Times New Roman"/>
                <w:color w:val="222222"/>
                <w:sz w:val="24"/>
                <w:szCs w:val="24"/>
                <w:shd w:val="clear" w:color="auto" w:fill="FFFFFF"/>
              </w:rPr>
              <w:t> </w:t>
            </w:r>
            <w:r>
              <w:rPr>
                <w:rFonts w:ascii="Times New Roman" w:hAnsi="Times New Roman" w:cs="Times New Roman"/>
                <w:color w:val="000000"/>
                <w:sz w:val="24"/>
                <w:szCs w:val="24"/>
                <w:shd w:val="clear" w:color="auto" w:fill="FFFFFF"/>
              </w:rPr>
              <w:t>play</w:t>
            </w:r>
            <w:r>
              <w:rPr>
                <w:rFonts w:ascii="Times New Roman" w:hAnsi="Times New Roman" w:cs="Times New Roman"/>
                <w:color w:val="222222"/>
                <w:sz w:val="24"/>
                <w:szCs w:val="24"/>
                <w:shd w:val="clear" w:color="auto" w:fill="FFFFFF"/>
              </w:rPr>
              <w:t> a key role in patients’ help-seeking behavior, early diagnosis, and timely treatment, but based on the available evidence, female patients are more likely to present with atypical symptoms compared to males.</w:t>
            </w:r>
          </w:p>
          <w:p w:rsidR="00F42F2D" w:rsidRDefault="00F42F2D">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However, we were unable to examine this justification in the present study due to the lack of data on the initial symptoms, and the time interval between the onset of symptoms and treatment.</w:t>
            </w:r>
          </w:p>
        </w:tc>
      </w:tr>
      <w:tr w:rsidR="00F42F2D" w:rsidTr="00F42F2D">
        <w:tc>
          <w:tcPr>
            <w:tcW w:w="0" w:type="auto"/>
            <w:tcBorders>
              <w:top w:val="nil"/>
              <w:left w:val="nil"/>
              <w:bottom w:val="nil"/>
              <w:right w:val="nil"/>
            </w:tcBorders>
            <w:hideMark/>
          </w:tcPr>
          <w:p w:rsidR="00F42F2D" w:rsidRDefault="00F42F2D">
            <w:pPr>
              <w:pStyle w:val="NormalWeb"/>
              <w:rPr>
                <w:b/>
                <w:bCs/>
                <w:lang w:val="en-US"/>
              </w:rPr>
            </w:pPr>
            <w:r>
              <w:rPr>
                <w:rFonts w:ascii="TimesNewRomanPSMT" w:hAnsi="TimesNewRomanPSMT"/>
                <w:b/>
                <w:bCs/>
                <w:sz w:val="20"/>
                <w:szCs w:val="20"/>
                <w:lang w:val="en-US"/>
              </w:rPr>
              <w:lastRenderedPageBreak/>
              <w:t xml:space="preserve">Interpretation </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20</w:t>
            </w:r>
          </w:p>
        </w:tc>
        <w:tc>
          <w:tcPr>
            <w:tcW w:w="0" w:type="auto"/>
            <w:tcBorders>
              <w:top w:val="nil"/>
              <w:left w:val="nil"/>
              <w:bottom w:val="nil"/>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7</w:t>
            </w:r>
          </w:p>
        </w:tc>
        <w:tc>
          <w:tcPr>
            <w:tcW w:w="0" w:type="auto"/>
            <w:tcBorders>
              <w:top w:val="nil"/>
              <w:left w:val="nil"/>
              <w:bottom w:val="nil"/>
              <w:right w:val="nil"/>
            </w:tcBorders>
            <w:hideMark/>
          </w:tcPr>
          <w:p w:rsidR="00F42F2D" w:rsidRDefault="00F42F2D">
            <w:pPr>
              <w:spacing w:line="360" w:lineRule="auto"/>
              <w:jc w:val="both"/>
              <w:rPr>
                <w:rFonts w:ascii="Times New Roman" w:hAnsi="Times New Roman" w:cs="Times New Roman"/>
                <w:sz w:val="24"/>
                <w:szCs w:val="24"/>
              </w:rPr>
            </w:pPr>
            <w:r>
              <w:rPr>
                <w:rFonts w:ascii="Times New Roman" w:hAnsi="Times New Roman" w:cs="Times New Roman"/>
                <w:sz w:val="24"/>
                <w:szCs w:val="24"/>
              </w:rPr>
              <w:t>Some other studies confirm our findings. Recently, in line with our research, Zhang et al. have reported that higher in-hospital mortality risk in females compared to males is more evident in younger patients with STEMI. Also, a systematic review evaluated gender differences in short and long term mortality in patients after STEMI.  Six out of eleven included studies focused on in-hospital mortality as the main outcome reported adjusted results, of which two studies found significant effects of female gender on higher in-hospital mortality.</w:t>
            </w:r>
          </w:p>
          <w:p w:rsidR="00F42F2D" w:rsidRDefault="00F42F2D">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sz w:val="24"/>
                <w:szCs w:val="24"/>
              </w:rPr>
              <w:t>The gender differences in the early clinical manifestations of STEMI,</w:t>
            </w:r>
            <w:r>
              <w:rPr>
                <w:rFonts w:ascii="Times New Roman" w:hAnsi="Times New Roman" w:cs="Times New Roman"/>
                <w:color w:val="222222"/>
                <w:sz w:val="24"/>
                <w:szCs w:val="24"/>
                <w:shd w:val="clear" w:color="auto" w:fill="FFFFFF"/>
              </w:rPr>
              <w:t xml:space="preserve"> more prominent in younger age groups</w:t>
            </w:r>
            <w:r>
              <w:rPr>
                <w:rFonts w:ascii="Times New Roman" w:hAnsi="Times New Roman" w:cs="Times New Roman"/>
                <w:sz w:val="24"/>
                <w:szCs w:val="24"/>
              </w:rPr>
              <w:t xml:space="preserve"> </w:t>
            </w:r>
            <w:r>
              <w:rPr>
                <w:rFonts w:ascii="Times New Roman" w:hAnsi="Times New Roman" w:cs="Times New Roman"/>
                <w:color w:val="222222"/>
                <w:sz w:val="24"/>
                <w:szCs w:val="24"/>
                <w:shd w:val="clear" w:color="auto" w:fill="FFFFFF"/>
              </w:rPr>
              <w:t xml:space="preserve">may explain the higher mortality rate in females than males. While specific symptoms are believed </w:t>
            </w:r>
            <w:r>
              <w:rPr>
                <w:rFonts w:ascii="Times New Roman" w:hAnsi="Times New Roman" w:cs="Times New Roman"/>
                <w:color w:val="000000"/>
                <w:sz w:val="24"/>
                <w:szCs w:val="24"/>
                <w:shd w:val="clear" w:color="auto" w:fill="FFFFFF"/>
              </w:rPr>
              <w:t>to</w:t>
            </w:r>
            <w:r>
              <w:rPr>
                <w:rFonts w:ascii="Times New Roman" w:hAnsi="Times New Roman" w:cs="Times New Roman"/>
                <w:color w:val="222222"/>
                <w:sz w:val="24"/>
                <w:szCs w:val="24"/>
                <w:shd w:val="clear" w:color="auto" w:fill="FFFFFF"/>
              </w:rPr>
              <w:t> </w:t>
            </w:r>
            <w:r>
              <w:rPr>
                <w:rFonts w:ascii="Times New Roman" w:hAnsi="Times New Roman" w:cs="Times New Roman"/>
                <w:color w:val="000000"/>
                <w:sz w:val="24"/>
                <w:szCs w:val="24"/>
                <w:shd w:val="clear" w:color="auto" w:fill="FFFFFF"/>
              </w:rPr>
              <w:t>play</w:t>
            </w:r>
            <w:r>
              <w:rPr>
                <w:rFonts w:ascii="Times New Roman" w:hAnsi="Times New Roman" w:cs="Times New Roman"/>
                <w:color w:val="222222"/>
                <w:sz w:val="24"/>
                <w:szCs w:val="24"/>
                <w:shd w:val="clear" w:color="auto" w:fill="FFFFFF"/>
              </w:rPr>
              <w:t> a key role in patients’ help-seeking behavior, early diagnosis, and timely treatment , but based on the available evidence, female patients are more likely to present with atypical symptoms compared to males .</w:t>
            </w:r>
          </w:p>
          <w:p w:rsidR="00F42F2D" w:rsidRDefault="00F42F2D">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However, we were unable to examine this justification in the present study due to the lack of data on the initial symptoms, and the time interval between the onset of symptoms and treatment.</w:t>
            </w: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Generalisability </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21</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8</w:t>
            </w:r>
          </w:p>
        </w:tc>
        <w:tc>
          <w:tcPr>
            <w:tcW w:w="0" w:type="auto"/>
            <w:tcBorders>
              <w:top w:val="single" w:sz="4" w:space="0" w:color="7F7F7F"/>
              <w:left w:val="nil"/>
              <w:bottom w:val="single" w:sz="4" w:space="0" w:color="7F7F7F"/>
              <w:right w:val="nil"/>
            </w:tcBorders>
            <w:hideMark/>
          </w:tcPr>
          <w:p w:rsidR="00F42F2D" w:rsidRDefault="00F42F2D">
            <w:pPr>
              <w:spacing w:line="360" w:lineRule="auto"/>
              <w:jc w:val="both"/>
              <w:rPr>
                <w:rFonts w:ascii="Times New Roman" w:hAnsi="Times New Roman" w:cs="Times New Roman"/>
                <w:color w:val="000000"/>
                <w:sz w:val="24"/>
                <w:szCs w:val="24"/>
              </w:rPr>
            </w:pPr>
            <w:r>
              <w:rPr>
                <w:rFonts w:ascii="Times New Roman" w:hAnsi="Times New Roman" w:cs="Times New Roman"/>
                <w:sz w:val="24"/>
                <w:szCs w:val="24"/>
              </w:rPr>
              <w:t>while routine practice and guidelines are mainly determined based on the findings of clinical trials, a systematic review recently revealed the underrepresentation of females  in contemporary acute coronary syndrome (ACS) trials, limiting the generalizability of their finding to the male than female population.</w:t>
            </w:r>
          </w:p>
          <w:p w:rsidR="00F42F2D" w:rsidRDefault="00F42F2D">
            <w:pPr>
              <w:spacing w:line="360" w:lineRule="auto"/>
              <w:jc w:val="both"/>
              <w:rPr>
                <w:rFonts w:ascii="Times New Roman" w:hAnsi="Times New Roman" w:cs="Times New Roman"/>
                <w:color w:val="92D050"/>
                <w:sz w:val="24"/>
                <w:szCs w:val="24"/>
                <w:shd w:val="clear" w:color="auto" w:fill="FFFFFF"/>
              </w:rPr>
            </w:pPr>
            <w:r>
              <w:rPr>
                <w:rFonts w:ascii="Times New Roman" w:hAnsi="Times New Roman" w:cs="Times New Roman"/>
                <w:sz w:val="24"/>
                <w:szCs w:val="24"/>
              </w:rPr>
              <w:lastRenderedPageBreak/>
              <w:t>In line with our studies, previous studies also found that patients hospitalized for non-STEMI, both sexes had similar risk for in-hospital mortality.</w:t>
            </w:r>
          </w:p>
          <w:p w:rsidR="00F42F2D" w:rsidRDefault="00F42F2D">
            <w:pPr>
              <w:spacing w:line="360" w:lineRule="auto"/>
              <w:jc w:val="both"/>
              <w:rPr>
                <w:rFonts w:ascii="Times New Roman" w:hAnsi="Times New Roman" w:cs="Times New Roman"/>
                <w:color w:val="FF0000"/>
                <w:sz w:val="24"/>
                <w:szCs w:val="24"/>
                <w:shd w:val="clear" w:color="auto" w:fill="FFFFFF"/>
              </w:rPr>
            </w:pPr>
            <w:r>
              <w:rPr>
                <w:rFonts w:ascii="Times New Roman" w:hAnsi="Times New Roman" w:cs="Times New Roman"/>
                <w:color w:val="000000"/>
                <w:sz w:val="24"/>
                <w:szCs w:val="24"/>
                <w:shd w:val="clear" w:color="auto" w:fill="FFFFFF"/>
              </w:rPr>
              <w:t>In contrast to STEMI that is mainly caused by acute plaque rupture, NSTEMI often resulted from a moderate coronary stenosis .</w:t>
            </w:r>
          </w:p>
        </w:tc>
      </w:tr>
      <w:tr w:rsidR="00F42F2D" w:rsidTr="00F42F2D">
        <w:tc>
          <w:tcPr>
            <w:tcW w:w="0" w:type="auto"/>
            <w:gridSpan w:val="4"/>
            <w:tcBorders>
              <w:top w:val="nil"/>
              <w:left w:val="nil"/>
              <w:bottom w:val="nil"/>
              <w:right w:val="nil"/>
            </w:tcBorders>
            <w:hideMark/>
          </w:tcPr>
          <w:p w:rsidR="00F42F2D" w:rsidRDefault="00F42F2D">
            <w:pPr>
              <w:tabs>
                <w:tab w:val="left" w:pos="1092"/>
              </w:tabs>
              <w:spacing w:line="360" w:lineRule="auto"/>
              <w:rPr>
                <w:rFonts w:ascii="Times New Roman" w:hAnsi="Times New Roman" w:cs="Times New Roman"/>
                <w:b/>
                <w:bCs/>
              </w:rPr>
            </w:pPr>
            <w:r>
              <w:rPr>
                <w:rFonts w:ascii="TimesNewRomanPS" w:hAnsi="TimesNewRomanPS"/>
                <w:b/>
                <w:bCs/>
                <w:sz w:val="20"/>
                <w:szCs w:val="20"/>
              </w:rPr>
              <w:lastRenderedPageBreak/>
              <w:t xml:space="preserve">Other information </w:t>
            </w:r>
          </w:p>
        </w:tc>
      </w:tr>
      <w:tr w:rsidR="00F42F2D" w:rsidTr="00F42F2D">
        <w:tc>
          <w:tcPr>
            <w:tcW w:w="0" w:type="auto"/>
            <w:tcBorders>
              <w:top w:val="single" w:sz="4" w:space="0" w:color="7F7F7F"/>
              <w:left w:val="nil"/>
              <w:bottom w:val="single" w:sz="4" w:space="0" w:color="7F7F7F"/>
              <w:right w:val="nil"/>
            </w:tcBorders>
            <w:hideMark/>
          </w:tcPr>
          <w:p w:rsidR="00F42F2D" w:rsidRDefault="00F42F2D">
            <w:pPr>
              <w:pStyle w:val="NormalWeb"/>
              <w:rPr>
                <w:b/>
                <w:bCs/>
                <w:lang w:val="en-US"/>
              </w:rPr>
            </w:pPr>
            <w:r>
              <w:rPr>
                <w:rFonts w:ascii="TimesNewRomanPSMT" w:hAnsi="TimesNewRomanPSMT"/>
                <w:b/>
                <w:bCs/>
                <w:sz w:val="20"/>
                <w:szCs w:val="20"/>
                <w:lang w:val="en-US"/>
              </w:rPr>
              <w:t xml:space="preserve">Funding </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22</w:t>
            </w:r>
          </w:p>
        </w:tc>
        <w:tc>
          <w:tcPr>
            <w:tcW w:w="0" w:type="auto"/>
            <w:tcBorders>
              <w:top w:val="single" w:sz="4" w:space="0" w:color="7F7F7F"/>
              <w:left w:val="nil"/>
              <w:bottom w:val="single" w:sz="4" w:space="0" w:color="7F7F7F"/>
              <w:right w:val="nil"/>
            </w:tcBorders>
            <w:hideMark/>
          </w:tcPr>
          <w:p w:rsidR="00F42F2D" w:rsidRDefault="00F42F2D">
            <w:pPr>
              <w:tabs>
                <w:tab w:val="left" w:pos="1092"/>
              </w:tabs>
              <w:spacing w:line="360" w:lineRule="auto"/>
              <w:jc w:val="center"/>
              <w:rPr>
                <w:rFonts w:ascii="Times New Roman" w:hAnsi="Times New Roman" w:cs="Times New Roman"/>
              </w:rPr>
            </w:pPr>
            <w:r>
              <w:rPr>
                <w:rFonts w:ascii="Times New Roman" w:hAnsi="Times New Roman" w:cs="Times New Roman"/>
              </w:rPr>
              <w:t>8</w:t>
            </w:r>
          </w:p>
        </w:tc>
        <w:tc>
          <w:tcPr>
            <w:tcW w:w="0" w:type="auto"/>
            <w:tcBorders>
              <w:top w:val="single" w:sz="4" w:space="0" w:color="7F7F7F"/>
              <w:left w:val="nil"/>
              <w:bottom w:val="single" w:sz="4" w:space="0" w:color="7F7F7F"/>
              <w:right w:val="nil"/>
            </w:tcBorders>
            <w:hideMark/>
          </w:tcPr>
          <w:p w:rsidR="00F42F2D" w:rsidRDefault="00F42F2D">
            <w:pPr>
              <w:spacing w:after="0" w:line="360" w:lineRule="auto"/>
              <w:jc w:val="both"/>
              <w:rPr>
                <w:rFonts w:ascii="Times New Roman" w:eastAsia="Times New Roman" w:hAnsi="Times New Roman" w:cs="Times New Roman"/>
                <w:color w:val="000000"/>
                <w:sz w:val="24"/>
                <w:szCs w:val="24"/>
                <w:lang w:eastAsia="it-IT"/>
              </w:rPr>
            </w:pPr>
            <w:r>
              <w:rPr>
                <w:rFonts w:ascii="Times New Roman" w:eastAsia="Times New Roman" w:hAnsi="Times New Roman" w:cs="Times New Roman"/>
                <w:iCs/>
                <w:color w:val="000000"/>
                <w:sz w:val="24"/>
                <w:szCs w:val="24"/>
                <w:lang w:eastAsia="it-IT"/>
              </w:rPr>
              <w:t>The authors report n</w:t>
            </w:r>
            <w:r>
              <w:rPr>
                <w:rFonts w:ascii="Times New Roman" w:eastAsia="Times New Roman" w:hAnsi="Times New Roman" w:cs="Times New Roman"/>
                <w:color w:val="000000"/>
                <w:sz w:val="24"/>
                <w:szCs w:val="24"/>
                <w:lang w:eastAsia="it-IT"/>
              </w:rPr>
              <w:t>o involvement in the research by the sponsor that could have influenced the outcome of this work.</w:t>
            </w:r>
          </w:p>
        </w:tc>
      </w:tr>
    </w:tbl>
    <w:p w:rsidR="00F42F2D" w:rsidRDefault="00F42F2D" w:rsidP="00F42F2D">
      <w:pPr>
        <w:tabs>
          <w:tab w:val="left" w:pos="1092"/>
        </w:tabs>
        <w:spacing w:line="360" w:lineRule="auto"/>
        <w:rPr>
          <w:rFonts w:ascii="Times New Roman" w:hAnsi="Times New Roman" w:cs="Times New Roman"/>
        </w:rPr>
      </w:pPr>
    </w:p>
    <w:p w:rsidR="00AD1398" w:rsidRDefault="00AD1398">
      <w:bookmarkStart w:id="0" w:name="_GoBack"/>
      <w:bookmarkEnd w:id="0"/>
    </w:p>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TimesNewRomanPS">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F2D"/>
    <w:rsid w:val="00AD1398"/>
    <w:rsid w:val="00F42F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DB309A-9831-4F6C-9049-1B540C503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2F2D"/>
    <w:pPr>
      <w:spacing w:line="256"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2F2D"/>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3357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1844</Words>
  <Characters>10513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12333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2021-08-09T05:04:00Z</dcterms:created>
  <dcterms:modified xsi:type="dcterms:W3CDTF">2021-08-09T05:04:00Z</dcterms:modified>
</cp:coreProperties>
</file>