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65B26" w14:textId="6DD496CE" w:rsidR="00612471" w:rsidRPr="00612471" w:rsidRDefault="00D36416" w:rsidP="00612471">
      <w:pPr>
        <w:pStyle w:val="2"/>
        <w:rPr>
          <w:lang w:eastAsia="zh-CN"/>
        </w:rPr>
      </w:pPr>
      <w:r w:rsidRPr="00903C15">
        <w:rPr>
          <w:lang w:eastAsia="zh-CN"/>
        </w:rPr>
        <w:t xml:space="preserve">Extended Data </w:t>
      </w:r>
      <w:r>
        <w:t xml:space="preserve">Figure </w:t>
      </w:r>
      <w:r>
        <w:rPr>
          <w:lang w:eastAsia="zh-CN"/>
        </w:rPr>
        <w:t>L</w:t>
      </w:r>
      <w:r w:rsidR="00416267">
        <w:rPr>
          <w:rFonts w:hint="eastAsia"/>
          <w:lang w:eastAsia="zh-CN"/>
        </w:rPr>
        <w:t>e</w:t>
      </w:r>
      <w:r w:rsidR="00416267">
        <w:rPr>
          <w:lang w:eastAsia="zh-CN"/>
        </w:rPr>
        <w:t>gends</w:t>
      </w:r>
    </w:p>
    <w:p w14:paraId="10D7F500" w14:textId="6DB4BC00" w:rsidR="00F4383D" w:rsidRDefault="00DC67E4" w:rsidP="00F4383D">
      <w:pPr>
        <w:pStyle w:val="3"/>
      </w:pPr>
      <w:r w:rsidRPr="00903C15">
        <w:rPr>
          <w:lang w:eastAsia="zh-CN"/>
        </w:rPr>
        <w:t xml:space="preserve">Extended Data </w:t>
      </w:r>
      <w:r w:rsidR="00F4383D">
        <w:t>Fig</w:t>
      </w:r>
      <w:r w:rsidR="007476F0">
        <w:t xml:space="preserve">. </w:t>
      </w:r>
      <w:r w:rsidR="00F4383D">
        <w:t>1</w:t>
      </w:r>
      <w:r w:rsidR="007476F0">
        <w:t xml:space="preserve"> | </w:t>
      </w:r>
      <w:r w:rsidR="00F4383D">
        <w:t>Assessment of the efficiency of our optimized experimental pipeline and statistics about the prevalent species.</w:t>
      </w:r>
    </w:p>
    <w:p w14:paraId="7E211D66" w14:textId="5E762762" w:rsidR="007476F0" w:rsidRDefault="00F4383D" w:rsidP="00F4383D">
      <w:pPr>
        <w:pStyle w:val="FirstParagraph"/>
        <w:spacing w:before="0" w:after="0"/>
      </w:pPr>
      <w:r>
        <w:t>The experimental method: (1) ‘</w:t>
      </w:r>
      <w:proofErr w:type="spellStart"/>
      <w:r>
        <w:t>NBT+PowerWater</w:t>
      </w:r>
      <w:proofErr w:type="spellEnd"/>
      <w:r>
        <w:t xml:space="preserve">’ refers to a combination of the previously reported method for host DNA depletion, followed by </w:t>
      </w:r>
      <w:proofErr w:type="spellStart"/>
      <w:r>
        <w:t>Qiagen</w:t>
      </w:r>
      <w:proofErr w:type="spellEnd"/>
      <w:r>
        <w:t xml:space="preserve"> </w:t>
      </w:r>
      <w:proofErr w:type="spellStart"/>
      <w:r>
        <w:t>PowerWater</w:t>
      </w:r>
      <w:proofErr w:type="spellEnd"/>
      <w:r>
        <w:t xml:space="preserve"> for the extraction of the remaining total DNA; (2) ‘</w:t>
      </w:r>
      <w:r w:rsidR="00C6067A">
        <w:rPr>
          <w:rFonts w:hint="eastAsia"/>
          <w:lang w:eastAsia="zh-CN"/>
        </w:rPr>
        <w:t>CMEM</w:t>
      </w:r>
      <w:r>
        <w:t xml:space="preserve">’ represents our newly developed </w:t>
      </w:r>
      <w:r w:rsidR="00C6067A" w:rsidRPr="00C6067A">
        <w:t>chelex100-based low-biomass microbial-enrichment method</w:t>
      </w:r>
      <w:r w:rsidRPr="00C6067A">
        <w:t>.</w:t>
      </w:r>
      <w:r>
        <w:t xml:space="preserve"> See the Methods for detailed information.</w:t>
      </w:r>
      <w:r>
        <w:br/>
      </w:r>
      <w:r>
        <w:rPr>
          <w:b/>
          <w:bCs/>
        </w:rPr>
        <w:t>(</w:t>
      </w:r>
      <w:r w:rsidR="007476F0">
        <w:rPr>
          <w:b/>
          <w:bCs/>
        </w:rPr>
        <w:t>a</w:t>
      </w:r>
      <w:r>
        <w:rPr>
          <w:b/>
          <w:bCs/>
        </w:rPr>
        <w:t>)</w:t>
      </w:r>
      <w:r>
        <w:t xml:space="preserve"> Bar plot showing the fraction of samples that yield</w:t>
      </w:r>
      <w:r>
        <w:rPr>
          <w:rFonts w:hint="eastAsia"/>
          <w:lang w:eastAsia="zh-CN"/>
        </w:rPr>
        <w:t>ed</w:t>
      </w:r>
      <w:r>
        <w:t xml:space="preserve"> sufficient DNA (detectable DNA concentrations as measured by Qubit) using the two methods.</w:t>
      </w:r>
      <w:r>
        <w:br/>
      </w:r>
      <w:r>
        <w:rPr>
          <w:b/>
          <w:bCs/>
        </w:rPr>
        <w:t>(</w:t>
      </w:r>
      <w:r w:rsidR="007476F0">
        <w:rPr>
          <w:b/>
          <w:bCs/>
        </w:rPr>
        <w:t>b</w:t>
      </w:r>
      <w:r>
        <w:rPr>
          <w:b/>
          <w:bCs/>
        </w:rPr>
        <w:t>)</w:t>
      </w:r>
      <w:r>
        <w:t xml:space="preserve"> Box plot showing the final yield of DNA concentration for samples processed using the two listed methods. Significance was determined using the Wilcoxon rank sum test (Mann–Whitney U test). The exact p-value </w:t>
      </w:r>
      <w:r>
        <w:rPr>
          <w:rFonts w:hint="eastAsia"/>
          <w:lang w:eastAsia="zh-CN"/>
        </w:rPr>
        <w:t>is</w:t>
      </w:r>
      <w:r>
        <w:t xml:space="preserve"> directly annotated on the plot.</w:t>
      </w:r>
      <w:r>
        <w:br/>
      </w:r>
      <w:r>
        <w:rPr>
          <w:b/>
          <w:bCs/>
        </w:rPr>
        <w:t>(</w:t>
      </w:r>
      <w:r w:rsidR="007476F0">
        <w:rPr>
          <w:b/>
          <w:bCs/>
        </w:rPr>
        <w:t>c</w:t>
      </w:r>
      <w:r>
        <w:rPr>
          <w:b/>
          <w:bCs/>
        </w:rPr>
        <w:t>)</w:t>
      </w:r>
      <w:r>
        <w:t xml:space="preserve"> </w:t>
      </w:r>
      <w:r>
        <w:rPr>
          <w:rFonts w:hint="eastAsia"/>
          <w:lang w:eastAsia="zh-CN"/>
        </w:rPr>
        <w:t>Pa</w:t>
      </w:r>
      <w:r>
        <w:t xml:space="preserve">nels showing the proportion of yielded microbial reads (left) and the increased fold in the proportion of microbial reads compared to previous studies(right). </w:t>
      </w:r>
      <w:r w:rsidR="00416267">
        <w:t xml:space="preserve">The </w:t>
      </w:r>
      <w:r w:rsidR="00482775">
        <w:t>r</w:t>
      </w:r>
      <w:r>
        <w:t>ed dashed line denotes the value of 1%, corresponding to the proportion of microbial reads identified in previous studies.</w:t>
      </w:r>
    </w:p>
    <w:p w14:paraId="096CD200" w14:textId="54702739" w:rsidR="00380ED3" w:rsidRDefault="007476F0" w:rsidP="00380ED3">
      <w:pPr>
        <w:spacing w:after="0"/>
      </w:pPr>
      <w:r w:rsidRPr="007476F0">
        <w:rPr>
          <w:b/>
        </w:rPr>
        <w:t>(d)</w:t>
      </w:r>
      <w:r>
        <w:t xml:space="preserve"> Panel showing the Shannon (left) and Simpson (right) microbiome alpha diversity</w:t>
      </w:r>
      <w:r w:rsidRPr="007476F0">
        <w:t xml:space="preserve"> in the</w:t>
      </w:r>
      <w:r>
        <w:t xml:space="preserve"> control and treatment group</w:t>
      </w:r>
      <w:r w:rsidRPr="007476F0">
        <w:t xml:space="preserve">. </w:t>
      </w:r>
      <w:r w:rsidR="00753964" w:rsidRPr="00753964">
        <w:t xml:space="preserve">The control group </w:t>
      </w:r>
      <w:r w:rsidR="00753964">
        <w:t xml:space="preserve">represents </w:t>
      </w:r>
      <w:r w:rsidR="00753964" w:rsidRPr="00753964">
        <w:t>samples processed with direct DNA extraction. The treatment group</w:t>
      </w:r>
      <w:r w:rsidR="00753964">
        <w:t xml:space="preserve"> represents </w:t>
      </w:r>
      <w:r w:rsidR="00753964" w:rsidRPr="00753964">
        <w:t>sample</w:t>
      </w:r>
      <w:r w:rsidR="00CE1394">
        <w:t>s</w:t>
      </w:r>
      <w:r w:rsidR="00753964" w:rsidRPr="00753964">
        <w:t xml:space="preserve"> </w:t>
      </w:r>
      <w:r w:rsidR="00335AAE" w:rsidRPr="00753964">
        <w:t xml:space="preserve">processed </w:t>
      </w:r>
      <w:r w:rsidR="00753964" w:rsidRPr="00753964">
        <w:t xml:space="preserve">using the </w:t>
      </w:r>
      <w:r w:rsidR="001D4A07">
        <w:rPr>
          <w:rFonts w:hint="eastAsia"/>
          <w:lang w:eastAsia="zh-CN"/>
        </w:rPr>
        <w:t>CMEM</w:t>
      </w:r>
      <w:r w:rsidR="00753964">
        <w:t>.</w:t>
      </w:r>
      <w:r w:rsidR="00753964">
        <w:rPr>
          <w:rFonts w:hint="eastAsia"/>
          <w:lang w:eastAsia="zh-CN"/>
        </w:rPr>
        <w:t xml:space="preserve"> </w:t>
      </w:r>
      <w:r w:rsidRPr="007476F0">
        <w:t xml:space="preserve">Significance was determined using the two-sided Wilcoxon rank sum test. The exact p values are </w:t>
      </w:r>
      <w:r w:rsidR="00F24249">
        <w:t>directly annotated on the plot.</w:t>
      </w:r>
      <w:r w:rsidR="00F4383D" w:rsidRPr="00CA12DC">
        <w:br/>
      </w:r>
      <w:r w:rsidR="00F24249" w:rsidRPr="00F24249">
        <w:rPr>
          <w:b/>
        </w:rPr>
        <w:t>(e)</w:t>
      </w:r>
      <w:r w:rsidR="00F24249">
        <w:t xml:space="preserve"> P</w:t>
      </w:r>
      <w:r w:rsidR="00F24249" w:rsidRPr="00CA12DC">
        <w:t>rincipal component analysis (PCA) on microbial genus-level relative abundances w</w:t>
      </w:r>
      <w:r w:rsidR="00F24249">
        <w:t>as</w:t>
      </w:r>
      <w:r w:rsidR="00F24249" w:rsidRPr="00CA12DC">
        <w:t xml:space="preserve"> performed to visualize microbial population variation</w:t>
      </w:r>
      <w:r w:rsidR="00F24249">
        <w:t xml:space="preserve"> between </w:t>
      </w:r>
      <w:r w:rsidR="00CE1394">
        <w:t xml:space="preserve">the </w:t>
      </w:r>
      <w:r w:rsidR="00F24249">
        <w:t xml:space="preserve">control and treatment </w:t>
      </w:r>
      <w:r w:rsidR="00CE1394">
        <w:t>groups</w:t>
      </w:r>
      <w:r w:rsidR="00F24249" w:rsidRPr="00CA12DC">
        <w:t xml:space="preserve">. </w:t>
      </w:r>
      <w:r w:rsidR="00F24249" w:rsidRPr="00753964">
        <w:t xml:space="preserve">The control group </w:t>
      </w:r>
      <w:r w:rsidR="00F24249">
        <w:t xml:space="preserve">represents </w:t>
      </w:r>
      <w:r w:rsidR="00F24249" w:rsidRPr="00753964">
        <w:t>samples processed with direct DNA extraction. The treatment group</w:t>
      </w:r>
      <w:r w:rsidR="00F24249">
        <w:t xml:space="preserve"> represents </w:t>
      </w:r>
      <w:r w:rsidR="00F24249" w:rsidRPr="00753964">
        <w:t>sample</w:t>
      </w:r>
      <w:r w:rsidR="00CE1394">
        <w:t>s</w:t>
      </w:r>
      <w:r w:rsidR="00F24249" w:rsidRPr="00753964">
        <w:t xml:space="preserve"> </w:t>
      </w:r>
      <w:r w:rsidR="00CD135B" w:rsidRPr="00753964">
        <w:t xml:space="preserve">processed </w:t>
      </w:r>
      <w:r w:rsidR="00F24249" w:rsidRPr="00753964">
        <w:t xml:space="preserve">using the </w:t>
      </w:r>
      <w:r w:rsidR="001D4A07">
        <w:rPr>
          <w:rFonts w:hint="eastAsia"/>
          <w:lang w:eastAsia="zh-CN"/>
        </w:rPr>
        <w:t>CMEM</w:t>
      </w:r>
      <w:r w:rsidR="00F24249">
        <w:t xml:space="preserve">. </w:t>
      </w:r>
      <w:r w:rsidR="00F24249" w:rsidRPr="00CA12DC">
        <w:t>The</w:t>
      </w:r>
      <w:r w:rsidR="00F24249">
        <w:t xml:space="preserve"> </w:t>
      </w:r>
      <w:r w:rsidR="00F24249" w:rsidRPr="00CA12DC">
        <w:t>F-ratio and associated p-value calculated with Adonis analysis are shown.</w:t>
      </w:r>
      <w:r w:rsidR="00F4383D">
        <w:br/>
      </w:r>
      <w:r w:rsidR="00F4383D">
        <w:rPr>
          <w:b/>
          <w:bCs/>
        </w:rPr>
        <w:t>(</w:t>
      </w:r>
      <w:r>
        <w:rPr>
          <w:b/>
          <w:bCs/>
        </w:rPr>
        <w:t>f</w:t>
      </w:r>
      <w:r w:rsidR="00F4383D">
        <w:rPr>
          <w:b/>
          <w:bCs/>
        </w:rPr>
        <w:t>)</w:t>
      </w:r>
      <w:r w:rsidR="00F4383D">
        <w:t xml:space="preserve"> Percentage of detected samples for the top 5 dominant microbial species present in the lower respiratory tract (LRT) of patients from Hospital A (red), Hospital B (yellow), and Hospital C (blue), respectively. </w:t>
      </w:r>
    </w:p>
    <w:p w14:paraId="490E77D7" w14:textId="2E979CF3" w:rsidR="00F4383D" w:rsidRPr="009A55B8" w:rsidRDefault="00F4383D" w:rsidP="00380ED3">
      <w:pPr>
        <w:spacing w:after="0"/>
      </w:pPr>
      <w:r w:rsidRPr="009A55B8">
        <w:rPr>
          <w:rFonts w:hint="eastAsia"/>
          <w:b/>
          <w:lang w:eastAsia="zh-CN"/>
        </w:rPr>
        <w:t>(</w:t>
      </w:r>
      <w:r w:rsidR="007476F0">
        <w:rPr>
          <w:b/>
          <w:lang w:eastAsia="zh-CN"/>
        </w:rPr>
        <w:t>g</w:t>
      </w:r>
      <w:r w:rsidRPr="009A55B8">
        <w:rPr>
          <w:b/>
          <w:lang w:eastAsia="zh-CN"/>
        </w:rPr>
        <w:t>)</w:t>
      </w:r>
      <w:r>
        <w:rPr>
          <w:lang w:eastAsia="zh-CN"/>
        </w:rPr>
        <w:t xml:space="preserve"> Box plot showing the </w:t>
      </w:r>
      <w:r w:rsidRPr="009A55B8">
        <w:rPr>
          <w:lang w:eastAsia="zh-CN"/>
        </w:rPr>
        <w:t xml:space="preserve">Bray–Curtis dissimilarities for all </w:t>
      </w:r>
      <w:r>
        <w:rPr>
          <w:lang w:eastAsia="zh-CN"/>
        </w:rPr>
        <w:t>three</w:t>
      </w:r>
      <w:r w:rsidRPr="009A55B8">
        <w:rPr>
          <w:lang w:eastAsia="zh-CN"/>
        </w:rPr>
        <w:t xml:space="preserve"> microbiome profiles among patients hospitalized within the same ICU </w:t>
      </w:r>
      <w:r>
        <w:rPr>
          <w:lang w:eastAsia="zh-CN"/>
        </w:rPr>
        <w:t>and</w:t>
      </w:r>
      <w:r w:rsidRPr="009A55B8">
        <w:rPr>
          <w:lang w:eastAsia="zh-CN"/>
        </w:rPr>
        <w:t xml:space="preserve"> those in different ICUs</w:t>
      </w:r>
      <w:r>
        <w:rPr>
          <w:lang w:eastAsia="zh-CN"/>
        </w:rPr>
        <w:t>.</w:t>
      </w:r>
    </w:p>
    <w:p w14:paraId="4B185868" w14:textId="58EF72DB" w:rsidR="00F4383D" w:rsidRDefault="00DC67E4" w:rsidP="00F4383D">
      <w:pPr>
        <w:pStyle w:val="3"/>
      </w:pPr>
      <w:r w:rsidRPr="00903C15">
        <w:rPr>
          <w:lang w:eastAsia="zh-CN"/>
        </w:rPr>
        <w:t xml:space="preserve">Extended Data </w:t>
      </w:r>
      <w:r>
        <w:t xml:space="preserve">Fig. </w:t>
      </w:r>
      <w:r w:rsidR="00F4383D">
        <w:t>2</w:t>
      </w:r>
      <w:r w:rsidR="002978A8">
        <w:t xml:space="preserve"> |</w:t>
      </w:r>
      <w:r w:rsidR="00F4383D">
        <w:t xml:space="preserve"> Comparisons and functional landscape of the microbial profiles.</w:t>
      </w:r>
    </w:p>
    <w:p w14:paraId="0432352B" w14:textId="5AEEA67C" w:rsidR="0060256F" w:rsidRPr="0060256F" w:rsidRDefault="00F4383D" w:rsidP="00813FC2">
      <w:pPr>
        <w:pStyle w:val="FirstParagraph"/>
        <w:spacing w:before="0" w:after="0"/>
      </w:pPr>
      <w:r>
        <w:rPr>
          <w:b/>
          <w:bCs/>
        </w:rPr>
        <w:t>(</w:t>
      </w:r>
      <w:r w:rsidR="0060256F">
        <w:rPr>
          <w:b/>
          <w:bCs/>
        </w:rPr>
        <w:t>a</w:t>
      </w:r>
      <w:r>
        <w:rPr>
          <w:b/>
          <w:bCs/>
        </w:rPr>
        <w:t>)</w:t>
      </w:r>
      <w:r>
        <w:t xml:space="preserve"> The box plots indicate the relative abundance of four species in samples collected from each hospital. Panels are ordered in the following order: </w:t>
      </w:r>
      <w:proofErr w:type="spellStart"/>
      <w:r>
        <w:rPr>
          <w:i/>
          <w:iCs/>
        </w:rPr>
        <w:t>Acinetobacter</w:t>
      </w:r>
      <w:proofErr w:type="spellEnd"/>
      <w:r>
        <w:t xml:space="preserve">, </w:t>
      </w:r>
      <w:proofErr w:type="spellStart"/>
      <w:r>
        <w:rPr>
          <w:i/>
          <w:iCs/>
        </w:rPr>
        <w:t>Corynebacterium</w:t>
      </w:r>
      <w:proofErr w:type="spellEnd"/>
      <w:r>
        <w:t xml:space="preserve">, </w:t>
      </w:r>
      <w:proofErr w:type="spellStart"/>
      <w:r>
        <w:rPr>
          <w:i/>
          <w:iCs/>
        </w:rPr>
        <w:t>Klebsiella</w:t>
      </w:r>
      <w:proofErr w:type="spellEnd"/>
      <w:r>
        <w:t xml:space="preserve">, and </w:t>
      </w:r>
      <w:r>
        <w:rPr>
          <w:i/>
          <w:iCs/>
        </w:rPr>
        <w:t>Streptococcus</w:t>
      </w:r>
      <w:r>
        <w:t>. Significance was determined using the Wilcoxon rank sum test (Mann–Whitney U test). The exact p-values are directly annotated on the plot.</w:t>
      </w:r>
      <w:r>
        <w:br/>
      </w:r>
      <w:r>
        <w:rPr>
          <w:b/>
          <w:bCs/>
        </w:rPr>
        <w:t>(</w:t>
      </w:r>
      <w:r w:rsidR="0060256F">
        <w:rPr>
          <w:b/>
          <w:bCs/>
        </w:rPr>
        <w:t>b</w:t>
      </w:r>
      <w:r>
        <w:rPr>
          <w:b/>
          <w:bCs/>
        </w:rPr>
        <w:t>)</w:t>
      </w:r>
      <w:r>
        <w:t xml:space="preserve"> </w:t>
      </w:r>
      <w:proofErr w:type="spellStart"/>
      <w:r>
        <w:t>Heatmap</w:t>
      </w:r>
      <w:proofErr w:type="spellEnd"/>
      <w:r>
        <w:t xml:space="preserve"> depicting the top 20 significantly enriched functional pathways in each hospital. Significance was determined using the </w:t>
      </w:r>
      <w:proofErr w:type="spellStart"/>
      <w:r>
        <w:t>Kruskal</w:t>
      </w:r>
      <w:proofErr w:type="spellEnd"/>
      <w:r>
        <w:t xml:space="preserve">-Wallis H-test. The blue </w:t>
      </w:r>
      <w:r>
        <w:lastRenderedPageBreak/>
        <w:t xml:space="preserve">stars denote the p-value &lt; 0.001, and the red </w:t>
      </w:r>
      <w:r>
        <w:rPr>
          <w:rFonts w:hint="eastAsia"/>
          <w:lang w:eastAsia="zh-CN"/>
        </w:rPr>
        <w:t>star</w:t>
      </w:r>
      <w:r>
        <w:rPr>
          <w:lang w:eastAsia="zh-CN"/>
        </w:rPr>
        <w:t>s</w:t>
      </w:r>
      <w:r>
        <w:t xml:space="preserve"> denote the p-value &lt; 0.0001.</w:t>
      </w:r>
      <w:r w:rsidR="0060256F">
        <w:br/>
      </w:r>
      <w:r w:rsidR="0060256F" w:rsidRPr="0060256F">
        <w:rPr>
          <w:b/>
        </w:rPr>
        <w:t>(c)</w:t>
      </w:r>
      <w:r w:rsidR="0060256F">
        <w:t xml:space="preserve"> </w:t>
      </w:r>
      <w:r w:rsidR="0060256F" w:rsidRPr="0060256F">
        <w:t>Panels showing the clinical variables (</w:t>
      </w:r>
      <w:r w:rsidR="0060256F">
        <w:t>OI</w:t>
      </w:r>
      <w:r w:rsidR="0060256F" w:rsidRPr="0060256F">
        <w:t xml:space="preserve">, left; the percentage of neutrophils, right) between patients with one consistent dominant species and </w:t>
      </w:r>
      <w:r w:rsidR="0060256F">
        <w:rPr>
          <w:rFonts w:ascii="Cambria" w:hAnsi="Cambria"/>
          <w:color w:val="000000"/>
          <w:shd w:val="clear" w:color="auto" w:fill="FFFFFF"/>
        </w:rPr>
        <w:t>multiple dominant species</w:t>
      </w:r>
      <w:r w:rsidR="0060256F" w:rsidRPr="0060256F">
        <w:t xml:space="preserve"> during intubation. Significance was determined using the Wilcoxon rank sum test (Mann–Whitney U test). The exact p values are directly annotated on the plot.</w:t>
      </w:r>
    </w:p>
    <w:p w14:paraId="73814395" w14:textId="09A36BDE" w:rsidR="00F4383D" w:rsidRDefault="00DC67E4" w:rsidP="00F4383D">
      <w:pPr>
        <w:pStyle w:val="3"/>
      </w:pPr>
      <w:r w:rsidRPr="00903C15">
        <w:rPr>
          <w:lang w:eastAsia="zh-CN"/>
        </w:rPr>
        <w:t xml:space="preserve">Extended Data </w:t>
      </w:r>
      <w:r>
        <w:t xml:space="preserve">Fig. </w:t>
      </w:r>
      <w:r w:rsidR="00813FC2">
        <w:t>3 |</w:t>
      </w:r>
      <w:r w:rsidR="00F4383D">
        <w:t xml:space="preserve"> Comparative analysis of the resistome.</w:t>
      </w:r>
    </w:p>
    <w:p w14:paraId="51BA8948" w14:textId="757B1236" w:rsidR="00F4383D" w:rsidRDefault="00F4383D" w:rsidP="00F4383D">
      <w:pPr>
        <w:pStyle w:val="FirstParagraph"/>
        <w:spacing w:before="0" w:after="0"/>
      </w:pPr>
      <w:r>
        <w:rPr>
          <w:b/>
          <w:bCs/>
        </w:rPr>
        <w:t>(</w:t>
      </w:r>
      <w:r w:rsidR="002E6501">
        <w:rPr>
          <w:b/>
          <w:bCs/>
        </w:rPr>
        <w:t>a</w:t>
      </w:r>
      <w:r>
        <w:rPr>
          <w:b/>
          <w:bCs/>
        </w:rPr>
        <w:t>)</w:t>
      </w:r>
      <w:r>
        <w:t xml:space="preserve"> Average abundance and frequency of each ARG type across the three different hospitals. The frequency means the detection rates of each ARG type in samples collected from each hospital, and the average abundance of each ARG type is log10 transformed.</w:t>
      </w:r>
      <w:r w:rsidR="00621FAE">
        <w:t xml:space="preserve"> The dashed box </w:t>
      </w:r>
      <w:r w:rsidR="009B4A18">
        <w:t xml:space="preserve">highlights the </w:t>
      </w:r>
      <w:r w:rsidR="009B4A18" w:rsidRPr="009B4A18">
        <w:t>high prevalence of the Multidrug ARG type across all three hospitals</w:t>
      </w:r>
      <w:r w:rsidR="008236FC">
        <w:t>.</w:t>
      </w:r>
      <w:r w:rsidRPr="009B4A18">
        <w:br/>
      </w:r>
      <w:r>
        <w:rPr>
          <w:b/>
          <w:bCs/>
        </w:rPr>
        <w:t>(</w:t>
      </w:r>
      <w:r w:rsidR="002E6501">
        <w:rPr>
          <w:b/>
          <w:bCs/>
        </w:rPr>
        <w:t>b</w:t>
      </w:r>
      <w:r>
        <w:rPr>
          <w:b/>
          <w:bCs/>
        </w:rPr>
        <w:t>)</w:t>
      </w:r>
      <w:r>
        <w:t xml:space="preserve"> Bar plot</w:t>
      </w:r>
      <w:r w:rsidR="00621FAE">
        <w:t>s</w:t>
      </w:r>
      <w:r>
        <w:t xml:space="preserve"> demonstrating the variation in ARG subtypes in each hospital. Each ARG subtype is represented by its respective color.</w:t>
      </w:r>
      <w:r>
        <w:br/>
      </w:r>
      <w:r>
        <w:rPr>
          <w:b/>
          <w:bCs/>
        </w:rPr>
        <w:t>(</w:t>
      </w:r>
      <w:r w:rsidR="002E6501">
        <w:rPr>
          <w:b/>
          <w:bCs/>
        </w:rPr>
        <w:t>c</w:t>
      </w:r>
      <w:r>
        <w:rPr>
          <w:b/>
          <w:bCs/>
        </w:rPr>
        <w:t>)</w:t>
      </w:r>
      <w:r>
        <w:t xml:space="preserve"> Panels showing the total ARG abundance of the 3 ARG types (macrolide-</w:t>
      </w:r>
      <w:proofErr w:type="spellStart"/>
      <w:r>
        <w:t>lincosamide</w:t>
      </w:r>
      <w:proofErr w:type="spellEnd"/>
      <w:r>
        <w:t>-</w:t>
      </w:r>
      <w:proofErr w:type="spellStart"/>
      <w:r>
        <w:t>streptogramin</w:t>
      </w:r>
      <w:proofErr w:type="spellEnd"/>
      <w:r>
        <w:t>, tetracycline, sulfonamide, and chloramphenicol) in samples collected from each hospital. Significance was determined using the Wilcoxon rank sum test (Mann–Whitney U test). The exact p-values are directly annotated on the plot.</w:t>
      </w:r>
    </w:p>
    <w:p w14:paraId="77B5E5A0" w14:textId="6E168033" w:rsidR="0061100E" w:rsidRPr="0061100E" w:rsidRDefault="00F4383D" w:rsidP="0061100E">
      <w:pPr>
        <w:pStyle w:val="FirstParagraph"/>
        <w:spacing w:before="0" w:after="0"/>
      </w:pPr>
      <w:r w:rsidRPr="00FB0F58">
        <w:rPr>
          <w:b/>
        </w:rPr>
        <w:t>(</w:t>
      </w:r>
      <w:r w:rsidR="002E6501">
        <w:rPr>
          <w:b/>
        </w:rPr>
        <w:t>d</w:t>
      </w:r>
      <w:r w:rsidRPr="00FB0F58">
        <w:rPr>
          <w:b/>
        </w:rPr>
        <w:t>)</w:t>
      </w:r>
      <w:r>
        <w:t xml:space="preserve"> </w:t>
      </w:r>
      <w:r w:rsidRPr="00FB0F58">
        <w:t xml:space="preserve">The </w:t>
      </w:r>
      <w:proofErr w:type="spellStart"/>
      <w:r w:rsidRPr="00FB0F58">
        <w:t>sPLS</w:t>
      </w:r>
      <w:proofErr w:type="spellEnd"/>
      <w:r w:rsidRPr="00FB0F58">
        <w:t>-DA plot showing the separation of resistome profiles in samples collected from three hospitals.</w:t>
      </w:r>
      <w:r w:rsidRPr="00FB0F58">
        <w:br/>
      </w:r>
      <w:r>
        <w:rPr>
          <w:b/>
          <w:bCs/>
        </w:rPr>
        <w:t>(</w:t>
      </w:r>
      <w:r w:rsidR="002E6501">
        <w:rPr>
          <w:b/>
          <w:bCs/>
        </w:rPr>
        <w:t>e</w:t>
      </w:r>
      <w:r>
        <w:rPr>
          <w:b/>
          <w:bCs/>
        </w:rPr>
        <w:t>)</w:t>
      </w:r>
      <w:r>
        <w:t xml:space="preserve"> The top 10 ARG subtypes contributing to the separation along with component 1 and component 2 of </w:t>
      </w:r>
      <w:proofErr w:type="spellStart"/>
      <w:r>
        <w:t>sPLS</w:t>
      </w:r>
      <w:proofErr w:type="spellEnd"/>
      <w:r>
        <w:t>-DA analysis.</w:t>
      </w:r>
      <w:r w:rsidR="002E6501">
        <w:br/>
      </w:r>
      <w:r w:rsidR="002E6501" w:rsidRPr="0061100E">
        <w:rPr>
          <w:b/>
        </w:rPr>
        <w:t>(f)</w:t>
      </w:r>
      <w:r w:rsidR="002E6501">
        <w:t xml:space="preserve"> </w:t>
      </w:r>
      <w:r w:rsidR="002E6501" w:rsidRPr="002E6501">
        <w:t xml:space="preserve">Overview of </w:t>
      </w:r>
      <w:r w:rsidR="002E6501">
        <w:t>81</w:t>
      </w:r>
      <w:r w:rsidR="002E6501" w:rsidRPr="002E6501">
        <w:t xml:space="preserve"> significant associations between </w:t>
      </w:r>
      <w:r w:rsidR="002E6501">
        <w:t>ARG subtypes</w:t>
      </w:r>
      <w:r w:rsidR="002E6501" w:rsidRPr="002E6501">
        <w:t xml:space="preserve"> (top; yellow) and clinical variables (bottom; blue). Associations were calculated by using linear mixed models, with age, sex, BMI, and sampling adjusted as confounders (FDR &lt;0.05).</w:t>
      </w:r>
      <w:r w:rsidR="0061100E">
        <w:br/>
      </w:r>
      <w:r w:rsidR="0061100E" w:rsidRPr="009E06D4">
        <w:rPr>
          <w:b/>
        </w:rPr>
        <w:t>(g and h)</w:t>
      </w:r>
      <w:r w:rsidR="0061100E">
        <w:t xml:space="preserve"> </w:t>
      </w:r>
      <w:r w:rsidR="0061100E" w:rsidRPr="0061100E">
        <w:t>Box plots showing the abundance of (</w:t>
      </w:r>
      <w:r w:rsidR="00980789">
        <w:t>g</w:t>
      </w:r>
      <w:r w:rsidR="0061100E" w:rsidRPr="0061100E">
        <w:t xml:space="preserve">) </w:t>
      </w:r>
      <w:proofErr w:type="spellStart"/>
      <w:r w:rsidR="0061100E" w:rsidRPr="0061100E">
        <w:rPr>
          <w:i/>
        </w:rPr>
        <w:t>smeC</w:t>
      </w:r>
      <w:proofErr w:type="spellEnd"/>
      <w:r w:rsidR="0061100E" w:rsidRPr="0061100E">
        <w:t xml:space="preserve"> and (</w:t>
      </w:r>
      <w:r w:rsidR="00980789">
        <w:t>h</w:t>
      </w:r>
      <w:r w:rsidR="0061100E" w:rsidRPr="0061100E">
        <w:t xml:space="preserve">) </w:t>
      </w:r>
      <w:proofErr w:type="spellStart"/>
      <w:r w:rsidR="0061100E" w:rsidRPr="0061100E">
        <w:rPr>
          <w:i/>
        </w:rPr>
        <w:t>aph</w:t>
      </w:r>
      <w:proofErr w:type="spellEnd"/>
      <w:r w:rsidR="0061100E" w:rsidRPr="0061100E">
        <w:rPr>
          <w:i/>
        </w:rPr>
        <w:t>(3')-</w:t>
      </w:r>
      <w:proofErr w:type="spellStart"/>
      <w:r w:rsidR="0061100E" w:rsidRPr="0061100E">
        <w:rPr>
          <w:i/>
        </w:rPr>
        <w:t>IIb</w:t>
      </w:r>
      <w:proofErr w:type="spellEnd"/>
      <w:r w:rsidR="0061100E">
        <w:t xml:space="preserve">  genes </w:t>
      </w:r>
      <w:r w:rsidR="0061100E" w:rsidRPr="0061100E">
        <w:t>with days in the ICU. Time points are indicated in the brackets. Significance was determined using the Wilcoxon rank sum test (Mann–Whitney U test). The exact p values are directly annotated on the plot.</w:t>
      </w:r>
    </w:p>
    <w:p w14:paraId="112252F4" w14:textId="059B4EF6" w:rsidR="00F4383D" w:rsidRDefault="00DC67E4" w:rsidP="00F4383D">
      <w:pPr>
        <w:pStyle w:val="3"/>
      </w:pPr>
      <w:r w:rsidRPr="00903C15">
        <w:rPr>
          <w:lang w:eastAsia="zh-CN"/>
        </w:rPr>
        <w:t xml:space="preserve">Extended Data </w:t>
      </w:r>
      <w:r>
        <w:t xml:space="preserve">Fig. </w:t>
      </w:r>
      <w:r w:rsidR="00001E7D">
        <w:t>4 |</w:t>
      </w:r>
      <w:r w:rsidR="00F4383D">
        <w:t xml:space="preserve"> Relationships among microbiome, resistome, and oxygenation index.</w:t>
      </w:r>
    </w:p>
    <w:p w14:paraId="4D47D520" w14:textId="6210721C" w:rsidR="001D4445" w:rsidRDefault="001D4445" w:rsidP="00F4383D">
      <w:pPr>
        <w:pStyle w:val="FirstParagraph"/>
        <w:spacing w:before="0" w:after="0"/>
      </w:pPr>
      <w:r w:rsidRPr="001D4445">
        <w:rPr>
          <w:b/>
        </w:rPr>
        <w:t>(a)</w:t>
      </w:r>
      <w:r>
        <w:t xml:space="preserve"> </w:t>
      </w:r>
      <w:r>
        <w:rPr>
          <w:rFonts w:hint="eastAsia"/>
          <w:lang w:eastAsia="zh-CN"/>
        </w:rPr>
        <w:t>T</w:t>
      </w:r>
      <w:r>
        <w:t>he congruence between LRT microbiome and resistome composition across three hospitals. Each line with circle and triangle ends indicates the microbiome and resistome of the same LRT sample. The fit of overall Procrustes transformation (M</w:t>
      </w:r>
      <w:r w:rsidRPr="00156E7C">
        <w:rPr>
          <w:vertAlign w:val="superscript"/>
        </w:rPr>
        <w:t>2</w:t>
      </w:r>
      <w:r>
        <w:t>) and p-value are shown.</w:t>
      </w:r>
    </w:p>
    <w:p w14:paraId="39FDFFE8" w14:textId="77777777" w:rsidR="00647141" w:rsidRDefault="001D4445" w:rsidP="00F4383D">
      <w:pPr>
        <w:pStyle w:val="FirstParagraph"/>
        <w:spacing w:before="0" w:after="0"/>
      </w:pPr>
      <w:r>
        <w:rPr>
          <w:b/>
          <w:bCs/>
        </w:rPr>
        <w:t>(b)</w:t>
      </w:r>
      <w:r>
        <w:t xml:space="preserve"> Dot plot showing the Spearman correlation between the total ARG abundance (log-transformed) and the alpha diversity (Shannon index) for samples collected from each respective patient. The dots are colored according to the sign of the correlation coefficient: red for positive correlation, blue for negative correlation, and gray for no correlation.</w:t>
      </w:r>
      <w:r w:rsidR="00F4383D">
        <w:br/>
      </w:r>
      <w:r w:rsidR="00F4383D">
        <w:rPr>
          <w:b/>
          <w:bCs/>
        </w:rPr>
        <w:t>(</w:t>
      </w:r>
      <w:r>
        <w:rPr>
          <w:b/>
          <w:bCs/>
        </w:rPr>
        <w:t>c</w:t>
      </w:r>
      <w:r w:rsidR="00F4383D">
        <w:rPr>
          <w:b/>
          <w:bCs/>
        </w:rPr>
        <w:t>)</w:t>
      </w:r>
      <w:r w:rsidR="00F4383D">
        <w:t xml:space="preserve"> Panels showing the </w:t>
      </w:r>
      <w:r w:rsidR="00070733">
        <w:t xml:space="preserve">examples of </w:t>
      </w:r>
      <w:r w:rsidR="00621FAE">
        <w:t>anti-correlation of</w:t>
      </w:r>
      <w:r w:rsidR="00F4383D">
        <w:t xml:space="preserve"> microbiome alpha diversity </w:t>
      </w:r>
      <w:r w:rsidR="00F4383D">
        <w:lastRenderedPageBreak/>
        <w:t>(left y-axis) and total ARG abundance (log-transformed, right y-axis) of the LRT microbiome of patients during intubation.</w:t>
      </w:r>
    </w:p>
    <w:p w14:paraId="6CD52557" w14:textId="1B7E301C" w:rsidR="00F4383D" w:rsidRDefault="00F4383D" w:rsidP="00F4383D">
      <w:pPr>
        <w:pStyle w:val="FirstParagraph"/>
        <w:spacing w:before="0" w:after="0"/>
      </w:pPr>
      <w:r>
        <w:rPr>
          <w:b/>
          <w:bCs/>
        </w:rPr>
        <w:t>(</w:t>
      </w:r>
      <w:r w:rsidR="001D4445">
        <w:rPr>
          <w:b/>
          <w:bCs/>
        </w:rPr>
        <w:t>d</w:t>
      </w:r>
      <w:r>
        <w:rPr>
          <w:b/>
          <w:bCs/>
        </w:rPr>
        <w:t>)</w:t>
      </w:r>
      <w:r>
        <w:t xml:space="preserve"> Box plot showing the microbiome alpha diversity in the 'low OI' and '</w:t>
      </w:r>
      <w:r w:rsidRPr="007B5BD0">
        <w:t>high OI</w:t>
      </w:r>
      <w:r>
        <w:t>' groups. Significance was determined using the two-sided Wilcoxon rank sum test (Mann–Whi</w:t>
      </w:r>
      <w:r w:rsidR="00375027">
        <w:t>tney U test). The exact p-value is</w:t>
      </w:r>
      <w:bookmarkStart w:id="0" w:name="_GoBack"/>
      <w:bookmarkEnd w:id="0"/>
      <w:r>
        <w:t xml:space="preserve"> directly annotated on the plot.</w:t>
      </w:r>
    </w:p>
    <w:p w14:paraId="48067E7B" w14:textId="44DFBA22" w:rsidR="00F4383D" w:rsidRDefault="00DC67E4" w:rsidP="00F4383D">
      <w:pPr>
        <w:pStyle w:val="3"/>
      </w:pPr>
      <w:r w:rsidRPr="00903C15">
        <w:rPr>
          <w:lang w:eastAsia="zh-CN"/>
        </w:rPr>
        <w:t xml:space="preserve">Extended Data </w:t>
      </w:r>
      <w:r>
        <w:t xml:space="preserve">Fig. </w:t>
      </w:r>
      <w:r w:rsidR="00647141">
        <w:t>5 |</w:t>
      </w:r>
      <w:r w:rsidR="00F4383D">
        <w:t xml:space="preserve"> Comparison of antibiotic resistance and virulence gene profiles between strains.</w:t>
      </w:r>
    </w:p>
    <w:p w14:paraId="3C2F0289" w14:textId="52EAE84C" w:rsidR="00F4383D" w:rsidRDefault="00F4383D" w:rsidP="00F4383D">
      <w:pPr>
        <w:pStyle w:val="FirstParagraph"/>
        <w:spacing w:before="0" w:after="0"/>
      </w:pPr>
      <w:r>
        <w:rPr>
          <w:b/>
          <w:bCs/>
        </w:rPr>
        <w:t>(</w:t>
      </w:r>
      <w:r w:rsidR="00923570">
        <w:rPr>
          <w:b/>
          <w:bCs/>
        </w:rPr>
        <w:t>a</w:t>
      </w:r>
      <w:r>
        <w:rPr>
          <w:b/>
          <w:bCs/>
        </w:rPr>
        <w:t>)</w:t>
      </w:r>
      <w:r>
        <w:t xml:space="preserve"> </w:t>
      </w:r>
      <w:proofErr w:type="spellStart"/>
      <w:r>
        <w:t>Heatmap</w:t>
      </w:r>
      <w:proofErr w:type="spellEnd"/>
      <w:r>
        <w:t xml:space="preserve"> highlighting the distribution of ARG classes. The total number of ARG classes identified in each strain is denoted by the color depth in the </w:t>
      </w:r>
      <w:proofErr w:type="spellStart"/>
      <w:r>
        <w:t>heatmap</w:t>
      </w:r>
      <w:proofErr w:type="spellEnd"/>
      <w:r>
        <w:t>. Colored strips (left) indicate the species-level taxonomy of each strain.</w:t>
      </w:r>
      <w:r w:rsidR="00621FAE">
        <w:t xml:space="preserve"> The dashed boxes indicate </w:t>
      </w:r>
      <w:r w:rsidR="00A36823">
        <w:t xml:space="preserve">the variation of ARG classes among strains in </w:t>
      </w:r>
      <w:proofErr w:type="spellStart"/>
      <w:r w:rsidR="00A36823" w:rsidRPr="00A36823">
        <w:rPr>
          <w:i/>
        </w:rPr>
        <w:t>Corynebacterium</w:t>
      </w:r>
      <w:proofErr w:type="spellEnd"/>
      <w:r w:rsidR="00A36823" w:rsidRPr="00A36823">
        <w:rPr>
          <w:i/>
        </w:rPr>
        <w:t xml:space="preserve"> striatum</w:t>
      </w:r>
      <w:r w:rsidR="00A36823">
        <w:t xml:space="preserve"> and </w:t>
      </w:r>
      <w:proofErr w:type="spellStart"/>
      <w:r w:rsidR="00A36823" w:rsidRPr="00A36823">
        <w:rPr>
          <w:i/>
        </w:rPr>
        <w:t>Stenotrophomonas</w:t>
      </w:r>
      <w:proofErr w:type="spellEnd"/>
      <w:r w:rsidR="00A36823" w:rsidRPr="00A36823">
        <w:rPr>
          <w:i/>
        </w:rPr>
        <w:t xml:space="preserve"> </w:t>
      </w:r>
      <w:proofErr w:type="spellStart"/>
      <w:r w:rsidR="00A36823" w:rsidRPr="00A36823">
        <w:rPr>
          <w:i/>
        </w:rPr>
        <w:t>maltophilia</w:t>
      </w:r>
      <w:proofErr w:type="spellEnd"/>
      <w:r w:rsidR="00A36823">
        <w:t>.</w:t>
      </w:r>
    </w:p>
    <w:p w14:paraId="7281110A" w14:textId="4ED229B2" w:rsidR="00F4383D" w:rsidRDefault="00F4383D" w:rsidP="00F4383D">
      <w:pPr>
        <w:pStyle w:val="a0"/>
        <w:spacing w:before="0" w:after="0"/>
        <w:rPr>
          <w:lang w:eastAsia="zh-CN"/>
        </w:rPr>
      </w:pPr>
      <w:r w:rsidRPr="00030602">
        <w:rPr>
          <w:rFonts w:hint="eastAsia"/>
          <w:b/>
          <w:lang w:eastAsia="zh-CN"/>
        </w:rPr>
        <w:t>(</w:t>
      </w:r>
      <w:r w:rsidR="00923570">
        <w:rPr>
          <w:b/>
          <w:lang w:eastAsia="zh-CN"/>
        </w:rPr>
        <w:t>b</w:t>
      </w:r>
      <w:r w:rsidRPr="00030602">
        <w:rPr>
          <w:b/>
          <w:lang w:eastAsia="zh-CN"/>
        </w:rPr>
        <w:t>)</w:t>
      </w:r>
      <w:r>
        <w:rPr>
          <w:lang w:eastAsia="zh-CN"/>
        </w:rPr>
        <w:t xml:space="preserve"> </w:t>
      </w:r>
      <w:r w:rsidRPr="00030602">
        <w:rPr>
          <w:lang w:eastAsia="zh-CN"/>
        </w:rPr>
        <w:t xml:space="preserve">Spearman's rank correlation between the </w:t>
      </w:r>
      <w:r>
        <w:rPr>
          <w:lang w:eastAsia="zh-CN"/>
        </w:rPr>
        <w:t>number of ARGs</w:t>
      </w:r>
      <w:r w:rsidRPr="00030602">
        <w:rPr>
          <w:lang w:eastAsia="zh-CN"/>
        </w:rPr>
        <w:t xml:space="preserve"> and </w:t>
      </w:r>
      <w:r>
        <w:rPr>
          <w:lang w:eastAsia="zh-CN"/>
        </w:rPr>
        <w:t xml:space="preserve">the number of VFs identified in these five </w:t>
      </w:r>
      <w:proofErr w:type="spellStart"/>
      <w:r>
        <w:rPr>
          <w:lang w:eastAsia="zh-CN"/>
        </w:rPr>
        <w:t>pathobiont</w:t>
      </w:r>
      <w:proofErr w:type="spellEnd"/>
      <w:r>
        <w:rPr>
          <w:lang w:eastAsia="zh-CN"/>
        </w:rPr>
        <w:t xml:space="preserve"> species</w:t>
      </w:r>
      <w:r w:rsidRPr="00030602">
        <w:rPr>
          <w:lang w:eastAsia="zh-CN"/>
        </w:rPr>
        <w:t>. The p-value and rho are annotated on the plot.</w:t>
      </w:r>
      <w:r>
        <w:br/>
      </w:r>
      <w:r>
        <w:rPr>
          <w:b/>
          <w:bCs/>
        </w:rPr>
        <w:t>(</w:t>
      </w:r>
      <w:r w:rsidR="00923570">
        <w:rPr>
          <w:b/>
          <w:bCs/>
        </w:rPr>
        <w:t>c</w:t>
      </w:r>
      <w:r>
        <w:rPr>
          <w:b/>
          <w:bCs/>
        </w:rPr>
        <w:t>)</w:t>
      </w:r>
      <w:r>
        <w:t xml:space="preserve"> </w:t>
      </w:r>
      <w:r w:rsidRPr="00F07E5E">
        <w:t xml:space="preserve">Panels showing the variations of </w:t>
      </w:r>
      <w:r>
        <w:t>ARG</w:t>
      </w:r>
      <w:r w:rsidRPr="00F07E5E">
        <w:t xml:space="preserve"> </w:t>
      </w:r>
      <w:r>
        <w:t>profile</w:t>
      </w:r>
      <w:r w:rsidRPr="00F07E5E">
        <w:t xml:space="preserve"> among strains </w:t>
      </w:r>
      <w:r>
        <w:t>collected from each hospital.</w:t>
      </w:r>
      <w:r>
        <w:rPr>
          <w:rFonts w:hint="eastAsia"/>
          <w:lang w:eastAsia="zh-CN"/>
        </w:rPr>
        <w:t xml:space="preserve"> </w:t>
      </w:r>
      <w:r w:rsidRPr="00F07E5E">
        <w:t>The F-ratio and associated p-value calculated with Adonis analysis are shown.</w:t>
      </w:r>
      <w:r>
        <w:br/>
      </w:r>
      <w:r>
        <w:rPr>
          <w:b/>
          <w:bCs/>
        </w:rPr>
        <w:t>(</w:t>
      </w:r>
      <w:r w:rsidR="00923570">
        <w:rPr>
          <w:b/>
          <w:bCs/>
        </w:rPr>
        <w:t>d</w:t>
      </w:r>
      <w:r>
        <w:rPr>
          <w:b/>
          <w:bCs/>
        </w:rPr>
        <w:t>)</w:t>
      </w:r>
      <w:r>
        <w:t xml:space="preserve"> </w:t>
      </w:r>
      <w:r w:rsidRPr="00F07E5E">
        <w:t xml:space="preserve">Panels showing the variations of </w:t>
      </w:r>
      <w:r>
        <w:t xml:space="preserve">virulence gene profile </w:t>
      </w:r>
      <w:r w:rsidRPr="00F07E5E">
        <w:t xml:space="preserve">among strains </w:t>
      </w:r>
      <w:r>
        <w:t>collected from each hospital.</w:t>
      </w:r>
      <w:r>
        <w:rPr>
          <w:rFonts w:hint="eastAsia"/>
          <w:lang w:eastAsia="zh-CN"/>
        </w:rPr>
        <w:t xml:space="preserve"> </w:t>
      </w:r>
      <w:r w:rsidRPr="00F07E5E">
        <w:t>The F-ratio and associated p-value calculated with Adonis analysis are shown.</w:t>
      </w:r>
    </w:p>
    <w:p w14:paraId="5C77B394" w14:textId="67FC749E" w:rsidR="00F4383D" w:rsidRDefault="00DC67E4" w:rsidP="00F4383D">
      <w:pPr>
        <w:pStyle w:val="3"/>
      </w:pPr>
      <w:bookmarkStart w:id="1" w:name="header-n30"/>
      <w:r w:rsidRPr="00903C15">
        <w:rPr>
          <w:lang w:eastAsia="zh-CN"/>
        </w:rPr>
        <w:t xml:space="preserve">Extended Data </w:t>
      </w:r>
      <w:r>
        <w:t xml:space="preserve">Fig. </w:t>
      </w:r>
      <w:r w:rsidR="00923570">
        <w:t>6 |</w:t>
      </w:r>
      <w:r w:rsidR="00F4383D">
        <w:t xml:space="preserve"> Overview of the </w:t>
      </w:r>
      <w:proofErr w:type="spellStart"/>
      <w:r w:rsidR="00F4383D">
        <w:t>mobilome</w:t>
      </w:r>
      <w:proofErr w:type="spellEnd"/>
      <w:r w:rsidR="00F4383D">
        <w:t xml:space="preserve"> content and plasmid comparisons.</w:t>
      </w:r>
    </w:p>
    <w:p w14:paraId="773113D9" w14:textId="34EE993B" w:rsidR="00F4383D" w:rsidRPr="00C30354" w:rsidRDefault="00F4383D" w:rsidP="00F4383D">
      <w:pPr>
        <w:pStyle w:val="FirstParagraph"/>
        <w:spacing w:before="0" w:after="0"/>
        <w:rPr>
          <w:bCs/>
        </w:rPr>
      </w:pPr>
      <w:r w:rsidRPr="00C30354">
        <w:rPr>
          <w:b/>
          <w:bCs/>
        </w:rPr>
        <w:t>(</w:t>
      </w:r>
      <w:r w:rsidR="00923570">
        <w:rPr>
          <w:b/>
          <w:bCs/>
        </w:rPr>
        <w:t>a</w:t>
      </w:r>
      <w:r w:rsidRPr="00C30354">
        <w:rPr>
          <w:b/>
          <w:bCs/>
        </w:rPr>
        <w:t>)</w:t>
      </w:r>
      <w:r w:rsidRPr="00C30354">
        <w:rPr>
          <w:bCs/>
        </w:rPr>
        <w:t xml:space="preserve"> Bar plot showing the prevalence of the top six most abundant mobile genetic elements (MGEs) identified in the </w:t>
      </w:r>
      <w:r>
        <w:rPr>
          <w:bCs/>
        </w:rPr>
        <w:t>LRT</w:t>
      </w:r>
      <w:r w:rsidRPr="00C30354">
        <w:rPr>
          <w:bCs/>
        </w:rPr>
        <w:t xml:space="preserve"> microbiome.</w:t>
      </w:r>
    </w:p>
    <w:p w14:paraId="370767EC" w14:textId="1DCFAFDB" w:rsidR="00F4383D" w:rsidRPr="008546D0" w:rsidRDefault="00F4383D" w:rsidP="00F4383D">
      <w:pPr>
        <w:pStyle w:val="FirstParagraph"/>
        <w:spacing w:before="0" w:after="0"/>
        <w:rPr>
          <w:lang w:eastAsia="zh-CN"/>
        </w:rPr>
      </w:pPr>
      <w:r>
        <w:rPr>
          <w:b/>
          <w:bCs/>
        </w:rPr>
        <w:t>(</w:t>
      </w:r>
      <w:r w:rsidR="00923570">
        <w:rPr>
          <w:b/>
          <w:bCs/>
        </w:rPr>
        <w:t>b</w:t>
      </w:r>
      <w:r>
        <w:rPr>
          <w:b/>
          <w:bCs/>
        </w:rPr>
        <w:t>)</w:t>
      </w:r>
      <w:r>
        <w:t xml:space="preserve"> Bar plot showing the most prevalent transferable ARGs identified in the </w:t>
      </w:r>
      <w:r>
        <w:rPr>
          <w:bCs/>
        </w:rPr>
        <w:t xml:space="preserve">LRT </w:t>
      </w:r>
      <w:r>
        <w:t>microbiome.</w:t>
      </w:r>
      <w:r>
        <w:br/>
      </w:r>
      <w:r>
        <w:rPr>
          <w:b/>
          <w:bCs/>
        </w:rPr>
        <w:t>(</w:t>
      </w:r>
      <w:r w:rsidR="00923570">
        <w:rPr>
          <w:b/>
          <w:bCs/>
        </w:rPr>
        <w:t>c</w:t>
      </w:r>
      <w:r>
        <w:rPr>
          <w:b/>
          <w:bCs/>
        </w:rPr>
        <w:t>)</w:t>
      </w:r>
      <w:r>
        <w:t xml:space="preserve"> </w:t>
      </w:r>
      <w:r w:rsidRPr="00B61D7E">
        <w:t>Percentage of detected samples for the</w:t>
      </w:r>
      <w:r>
        <w:t xml:space="preserve"> 10</w:t>
      </w:r>
      <w:r w:rsidRPr="00B61D7E">
        <w:t xml:space="preserve"> microbial species present in the LRT microbiome from Hospital A (red), Hospital B (yellow), and Hospital C (blue), respectively.</w:t>
      </w:r>
      <w:r w:rsidR="00621FAE">
        <w:t xml:space="preserve"> </w:t>
      </w:r>
      <w:r w:rsidR="00621FAE" w:rsidRPr="00B61D7E">
        <w:rPr>
          <w:lang w:eastAsia="zh-CN"/>
        </w:rPr>
        <w:t xml:space="preserve">EHMOS represents a group of less prevalent opportunistic pathogens including </w:t>
      </w:r>
      <w:proofErr w:type="spellStart"/>
      <w:r w:rsidR="00621FAE" w:rsidRPr="00B61D7E">
        <w:rPr>
          <w:i/>
          <w:lang w:eastAsia="zh-CN"/>
        </w:rPr>
        <w:t>Elizabethkingia</w:t>
      </w:r>
      <w:proofErr w:type="spellEnd"/>
      <w:r w:rsidR="00621FAE" w:rsidRPr="00B61D7E">
        <w:rPr>
          <w:i/>
          <w:lang w:eastAsia="zh-CN"/>
        </w:rPr>
        <w:t xml:space="preserve"> </w:t>
      </w:r>
      <w:proofErr w:type="spellStart"/>
      <w:r w:rsidR="00621FAE" w:rsidRPr="00B61D7E">
        <w:rPr>
          <w:i/>
          <w:lang w:eastAsia="zh-CN"/>
        </w:rPr>
        <w:t>anophelis</w:t>
      </w:r>
      <w:proofErr w:type="spellEnd"/>
      <w:r w:rsidR="00621FAE" w:rsidRPr="00B61D7E">
        <w:rPr>
          <w:lang w:eastAsia="zh-CN"/>
        </w:rPr>
        <w:t xml:space="preserve"> (E), </w:t>
      </w:r>
      <w:proofErr w:type="spellStart"/>
      <w:r w:rsidR="00621FAE" w:rsidRPr="00B61D7E">
        <w:rPr>
          <w:i/>
          <w:lang w:eastAsia="zh-CN"/>
        </w:rPr>
        <w:t>Haemophilus</w:t>
      </w:r>
      <w:proofErr w:type="spellEnd"/>
      <w:r w:rsidR="00621FAE" w:rsidRPr="00B61D7E">
        <w:rPr>
          <w:i/>
          <w:lang w:eastAsia="zh-CN"/>
        </w:rPr>
        <w:t xml:space="preserve"> </w:t>
      </w:r>
      <w:proofErr w:type="spellStart"/>
      <w:r w:rsidR="00621FAE" w:rsidRPr="00B61D7E">
        <w:rPr>
          <w:i/>
          <w:lang w:eastAsia="zh-CN"/>
        </w:rPr>
        <w:t>influenzae</w:t>
      </w:r>
      <w:proofErr w:type="spellEnd"/>
      <w:r w:rsidR="00621FAE" w:rsidRPr="00B61D7E">
        <w:rPr>
          <w:lang w:eastAsia="zh-CN"/>
        </w:rPr>
        <w:t xml:space="preserve"> (H), </w:t>
      </w:r>
      <w:proofErr w:type="spellStart"/>
      <w:r w:rsidR="00621FAE" w:rsidRPr="00B61D7E">
        <w:rPr>
          <w:i/>
          <w:lang w:eastAsia="zh-CN"/>
        </w:rPr>
        <w:t>Prevotella</w:t>
      </w:r>
      <w:proofErr w:type="spellEnd"/>
      <w:r w:rsidR="00621FAE" w:rsidRPr="00B61D7E">
        <w:rPr>
          <w:i/>
          <w:lang w:eastAsia="zh-CN"/>
        </w:rPr>
        <w:t xml:space="preserve"> </w:t>
      </w:r>
      <w:proofErr w:type="spellStart"/>
      <w:r w:rsidR="00621FAE" w:rsidRPr="00B61D7E">
        <w:rPr>
          <w:i/>
          <w:lang w:eastAsia="zh-CN"/>
        </w:rPr>
        <w:t>melaninogenica</w:t>
      </w:r>
      <w:proofErr w:type="spellEnd"/>
      <w:r w:rsidR="00621FAE" w:rsidRPr="00B61D7E">
        <w:rPr>
          <w:lang w:eastAsia="zh-CN"/>
        </w:rPr>
        <w:t xml:space="preserve"> (M), </w:t>
      </w:r>
      <w:proofErr w:type="spellStart"/>
      <w:r w:rsidR="00621FAE" w:rsidRPr="00B61D7E">
        <w:rPr>
          <w:i/>
          <w:lang w:eastAsia="zh-CN"/>
        </w:rPr>
        <w:t>Prevotella</w:t>
      </w:r>
      <w:proofErr w:type="spellEnd"/>
      <w:r w:rsidR="00621FAE" w:rsidRPr="00B61D7E">
        <w:rPr>
          <w:i/>
          <w:lang w:eastAsia="zh-CN"/>
        </w:rPr>
        <w:t xml:space="preserve"> </w:t>
      </w:r>
      <w:proofErr w:type="spellStart"/>
      <w:r w:rsidR="00621FAE" w:rsidRPr="00B61D7E">
        <w:rPr>
          <w:i/>
          <w:lang w:eastAsia="zh-CN"/>
        </w:rPr>
        <w:t>oris</w:t>
      </w:r>
      <w:proofErr w:type="spellEnd"/>
      <w:r w:rsidR="00621FAE" w:rsidRPr="00B61D7E">
        <w:rPr>
          <w:lang w:eastAsia="zh-CN"/>
        </w:rPr>
        <w:t xml:space="preserve"> (O), and </w:t>
      </w:r>
      <w:r w:rsidR="00621FAE" w:rsidRPr="00B61D7E">
        <w:rPr>
          <w:i/>
          <w:lang w:eastAsia="zh-CN"/>
        </w:rPr>
        <w:t xml:space="preserve">Neisseria </w:t>
      </w:r>
      <w:proofErr w:type="spellStart"/>
      <w:r w:rsidR="00621FAE" w:rsidRPr="00B61D7E">
        <w:rPr>
          <w:i/>
          <w:lang w:eastAsia="zh-CN"/>
        </w:rPr>
        <w:t>subflava</w:t>
      </w:r>
      <w:proofErr w:type="spellEnd"/>
      <w:r w:rsidR="00621FAE" w:rsidRPr="00B61D7E">
        <w:rPr>
          <w:lang w:eastAsia="zh-CN"/>
        </w:rPr>
        <w:t xml:space="preserve"> (S).</w:t>
      </w:r>
      <w:r w:rsidR="00621FAE">
        <w:br/>
      </w:r>
      <w:r w:rsidRPr="008546D0">
        <w:rPr>
          <w:rFonts w:hint="eastAsia"/>
          <w:b/>
          <w:lang w:eastAsia="zh-CN"/>
        </w:rPr>
        <w:t>(</w:t>
      </w:r>
      <w:r w:rsidR="00923570">
        <w:rPr>
          <w:b/>
          <w:lang w:eastAsia="zh-CN"/>
        </w:rPr>
        <w:t>d and e</w:t>
      </w:r>
      <w:r w:rsidRPr="008546D0">
        <w:rPr>
          <w:b/>
          <w:lang w:eastAsia="zh-CN"/>
        </w:rPr>
        <w:t>)</w:t>
      </w:r>
      <w:r>
        <w:rPr>
          <w:lang w:eastAsia="zh-CN"/>
        </w:rPr>
        <w:t xml:space="preserve"> Box plots showing the percentage of detected samples (</w:t>
      </w:r>
      <w:r w:rsidR="00923570">
        <w:rPr>
          <w:lang w:eastAsia="zh-CN"/>
        </w:rPr>
        <w:t>d</w:t>
      </w:r>
      <w:r>
        <w:rPr>
          <w:lang w:eastAsia="zh-CN"/>
        </w:rPr>
        <w:t>) and the number of identified MGEs (</w:t>
      </w:r>
      <w:r w:rsidR="00923570">
        <w:rPr>
          <w:lang w:eastAsia="zh-CN"/>
        </w:rPr>
        <w:t>e</w:t>
      </w:r>
      <w:r>
        <w:rPr>
          <w:lang w:eastAsia="zh-CN"/>
        </w:rPr>
        <w:t xml:space="preserve">) for the five more prevalent species and EHMOS. </w:t>
      </w:r>
      <w:r>
        <w:rPr>
          <w:rFonts w:hint="eastAsia"/>
          <w:lang w:eastAsia="zh-CN"/>
        </w:rPr>
        <w:t>Mo</w:t>
      </w:r>
      <w:r>
        <w:rPr>
          <w:lang w:eastAsia="zh-CN"/>
        </w:rPr>
        <w:t xml:space="preserve">re prevalent species include </w:t>
      </w:r>
      <w:proofErr w:type="spellStart"/>
      <w:r>
        <w:rPr>
          <w:i/>
          <w:iCs/>
        </w:rPr>
        <w:t>Acinetobacter</w:t>
      </w:r>
      <w:proofErr w:type="spellEnd"/>
      <w:r>
        <w:rPr>
          <w:i/>
          <w:iCs/>
        </w:rPr>
        <w:t xml:space="preserve"> </w:t>
      </w:r>
      <w:proofErr w:type="spellStart"/>
      <w:r>
        <w:rPr>
          <w:i/>
          <w:iCs/>
        </w:rPr>
        <w:t>baumannii</w:t>
      </w:r>
      <w:proofErr w:type="spellEnd"/>
      <w:r w:rsidRPr="00CE008F">
        <w:rPr>
          <w:iCs/>
        </w:rPr>
        <w:t>,</w:t>
      </w:r>
      <w:r>
        <w:rPr>
          <w:iCs/>
        </w:rPr>
        <w:t xml:space="preserve"> </w:t>
      </w:r>
      <w:proofErr w:type="spellStart"/>
      <w:r w:rsidRPr="00CE008F">
        <w:rPr>
          <w:i/>
          <w:iCs/>
        </w:rPr>
        <w:t>Corynebacterium</w:t>
      </w:r>
      <w:proofErr w:type="spellEnd"/>
      <w:r w:rsidRPr="00CE008F">
        <w:rPr>
          <w:i/>
          <w:iCs/>
        </w:rPr>
        <w:t xml:space="preserve"> striatum</w:t>
      </w:r>
      <w:r>
        <w:rPr>
          <w:iCs/>
        </w:rPr>
        <w:t xml:space="preserve">, </w:t>
      </w:r>
      <w:proofErr w:type="spellStart"/>
      <w:r w:rsidRPr="00CE008F">
        <w:rPr>
          <w:i/>
          <w:iCs/>
        </w:rPr>
        <w:t>Klebsiella</w:t>
      </w:r>
      <w:proofErr w:type="spellEnd"/>
      <w:r w:rsidRPr="00CE008F">
        <w:rPr>
          <w:i/>
          <w:iCs/>
        </w:rPr>
        <w:t xml:space="preserve"> </w:t>
      </w:r>
      <w:proofErr w:type="spellStart"/>
      <w:r w:rsidRPr="00CE008F">
        <w:rPr>
          <w:i/>
          <w:iCs/>
        </w:rPr>
        <w:t>pneumoniae</w:t>
      </w:r>
      <w:proofErr w:type="spellEnd"/>
      <w:r>
        <w:rPr>
          <w:iCs/>
        </w:rPr>
        <w:t xml:space="preserve">, </w:t>
      </w:r>
      <w:r w:rsidRPr="00CE008F">
        <w:rPr>
          <w:i/>
          <w:iCs/>
        </w:rPr>
        <w:t>Pseudomonas aeruginosa</w:t>
      </w:r>
      <w:r>
        <w:rPr>
          <w:iCs/>
        </w:rPr>
        <w:t xml:space="preserve">, and </w:t>
      </w:r>
      <w:proofErr w:type="spellStart"/>
      <w:r w:rsidRPr="00CE008F">
        <w:rPr>
          <w:i/>
          <w:iCs/>
        </w:rPr>
        <w:t>Stenotrophomonas</w:t>
      </w:r>
      <w:proofErr w:type="spellEnd"/>
      <w:r w:rsidRPr="00CE008F">
        <w:rPr>
          <w:i/>
          <w:iCs/>
        </w:rPr>
        <w:t xml:space="preserve"> </w:t>
      </w:r>
      <w:proofErr w:type="spellStart"/>
      <w:r w:rsidRPr="00CE008F">
        <w:rPr>
          <w:i/>
          <w:iCs/>
        </w:rPr>
        <w:t>maltophilia</w:t>
      </w:r>
      <w:proofErr w:type="spellEnd"/>
      <w:r>
        <w:rPr>
          <w:iCs/>
        </w:rPr>
        <w:t>.</w:t>
      </w:r>
      <w:r>
        <w:rPr>
          <w:rFonts w:hint="eastAsia"/>
          <w:lang w:eastAsia="zh-CN"/>
        </w:rPr>
        <w:t xml:space="preserve"> </w:t>
      </w:r>
      <w:r>
        <w:rPr>
          <w:b/>
          <w:bCs/>
        </w:rPr>
        <w:t>(</w:t>
      </w:r>
      <w:r w:rsidR="00923570">
        <w:rPr>
          <w:b/>
          <w:bCs/>
        </w:rPr>
        <w:t>f</w:t>
      </w:r>
      <w:r>
        <w:rPr>
          <w:b/>
          <w:bCs/>
        </w:rPr>
        <w:t xml:space="preserve"> and </w:t>
      </w:r>
      <w:r w:rsidR="00923570">
        <w:rPr>
          <w:b/>
          <w:bCs/>
        </w:rPr>
        <w:t>g</w:t>
      </w:r>
      <w:r>
        <w:rPr>
          <w:b/>
          <w:bCs/>
        </w:rPr>
        <w:t>)</w:t>
      </w:r>
      <w:r>
        <w:t xml:space="preserve"> Panels showing the pairwise comparisons of aligned regions among closely related plasmids collected from </w:t>
      </w:r>
      <w:proofErr w:type="spellStart"/>
      <w:r>
        <w:rPr>
          <w:i/>
          <w:iCs/>
        </w:rPr>
        <w:t>Acinetobacter</w:t>
      </w:r>
      <w:proofErr w:type="spellEnd"/>
      <w:r>
        <w:rPr>
          <w:i/>
          <w:iCs/>
        </w:rPr>
        <w:t xml:space="preserve"> </w:t>
      </w:r>
      <w:proofErr w:type="spellStart"/>
      <w:r>
        <w:rPr>
          <w:i/>
          <w:iCs/>
        </w:rPr>
        <w:t>baumannii</w:t>
      </w:r>
      <w:proofErr w:type="spellEnd"/>
      <w:r w:rsidR="00923570">
        <w:t xml:space="preserve"> (f</w:t>
      </w:r>
      <w:r>
        <w:t xml:space="preserve">) and </w:t>
      </w:r>
      <w:proofErr w:type="spellStart"/>
      <w:r>
        <w:rPr>
          <w:i/>
          <w:iCs/>
        </w:rPr>
        <w:t>Klebsiella</w:t>
      </w:r>
      <w:proofErr w:type="spellEnd"/>
      <w:r>
        <w:rPr>
          <w:i/>
          <w:iCs/>
        </w:rPr>
        <w:t xml:space="preserve"> </w:t>
      </w:r>
      <w:proofErr w:type="spellStart"/>
      <w:r>
        <w:rPr>
          <w:i/>
          <w:iCs/>
        </w:rPr>
        <w:t>pneumoniae</w:t>
      </w:r>
      <w:proofErr w:type="spellEnd"/>
      <w:r>
        <w:t xml:space="preserve"> (</w:t>
      </w:r>
      <w:r w:rsidR="00923570">
        <w:t>g</w:t>
      </w:r>
      <w:r>
        <w:t xml:space="preserve">), respectively. Additional metadata, including NCBI </w:t>
      </w:r>
      <w:proofErr w:type="spellStart"/>
      <w:r>
        <w:t>RefSeq</w:t>
      </w:r>
      <w:proofErr w:type="spellEnd"/>
      <w:r>
        <w:t xml:space="preserve"> ID, sampling site, and collection time of each plasmid sequence, is annotated on the plot. The metadata for the plasmid assembled from our samples is highlighted with red text. Frequent plasmid chromosomal reorganizations could be observed.</w:t>
      </w:r>
      <w:r>
        <w:br/>
      </w:r>
      <w:r w:rsidR="00923570">
        <w:rPr>
          <w:b/>
          <w:bCs/>
        </w:rPr>
        <w:t>(h</w:t>
      </w:r>
      <w:r>
        <w:rPr>
          <w:b/>
          <w:bCs/>
        </w:rPr>
        <w:t>)</w:t>
      </w:r>
      <w:r>
        <w:t xml:space="preserve"> Pairwise average nucleotide identity analysis of a highly conserved plasmid in </w:t>
      </w:r>
      <w:proofErr w:type="spellStart"/>
      <w:r>
        <w:rPr>
          <w:i/>
          <w:iCs/>
        </w:rPr>
        <w:t>Klebsiella</w:t>
      </w:r>
      <w:proofErr w:type="spellEnd"/>
      <w:r>
        <w:rPr>
          <w:i/>
          <w:iCs/>
        </w:rPr>
        <w:t xml:space="preserve"> </w:t>
      </w:r>
      <w:proofErr w:type="spellStart"/>
      <w:r>
        <w:rPr>
          <w:i/>
          <w:iCs/>
        </w:rPr>
        <w:t>pneumoniae</w:t>
      </w:r>
      <w:proofErr w:type="spellEnd"/>
      <w:r>
        <w:t xml:space="preserve">. Additional metadata, including the NCBI </w:t>
      </w:r>
      <w:proofErr w:type="spellStart"/>
      <w:r>
        <w:t>RefSeq</w:t>
      </w:r>
      <w:proofErr w:type="spellEnd"/>
      <w:r>
        <w:t xml:space="preserve"> ID, sampling </w:t>
      </w:r>
      <w:r>
        <w:lastRenderedPageBreak/>
        <w:t>site, and collection time of each plasmid sequence, is annotated on the plot. The metadata for the plasmid assembled from our samples is highlighted with red text.</w:t>
      </w:r>
    </w:p>
    <w:p w14:paraId="322A8AD3" w14:textId="509223A4" w:rsidR="00F4383D" w:rsidRDefault="00DC67E4" w:rsidP="00F4383D">
      <w:pPr>
        <w:pStyle w:val="3"/>
      </w:pPr>
      <w:bookmarkStart w:id="2" w:name="header-n32"/>
      <w:bookmarkEnd w:id="1"/>
      <w:r w:rsidRPr="00903C15">
        <w:rPr>
          <w:lang w:eastAsia="zh-CN"/>
        </w:rPr>
        <w:t xml:space="preserve">Extended Data </w:t>
      </w:r>
      <w:r>
        <w:t xml:space="preserve">Fig. </w:t>
      </w:r>
      <w:r w:rsidR="00A62EC0">
        <w:t>7 |</w:t>
      </w:r>
      <w:r w:rsidR="00F4383D">
        <w:t xml:space="preserve"> Phylogenetic relationships and recombination hotspots in </w:t>
      </w:r>
      <w:proofErr w:type="spellStart"/>
      <w:r w:rsidR="00F4383D">
        <w:rPr>
          <w:i/>
          <w:iCs/>
        </w:rPr>
        <w:t>Acinetobacter</w:t>
      </w:r>
      <w:proofErr w:type="spellEnd"/>
      <w:r w:rsidR="00F4383D">
        <w:rPr>
          <w:i/>
          <w:iCs/>
        </w:rPr>
        <w:t xml:space="preserve"> </w:t>
      </w:r>
      <w:proofErr w:type="spellStart"/>
      <w:r w:rsidR="00F4383D">
        <w:rPr>
          <w:i/>
          <w:iCs/>
        </w:rPr>
        <w:t>baumannii</w:t>
      </w:r>
      <w:proofErr w:type="spellEnd"/>
      <w:r w:rsidR="00F4383D">
        <w:t xml:space="preserve"> and </w:t>
      </w:r>
      <w:proofErr w:type="spellStart"/>
      <w:r w:rsidR="00F4383D">
        <w:rPr>
          <w:i/>
          <w:iCs/>
        </w:rPr>
        <w:t>Klebsiella</w:t>
      </w:r>
      <w:proofErr w:type="spellEnd"/>
      <w:r w:rsidR="00F4383D">
        <w:rPr>
          <w:i/>
          <w:iCs/>
        </w:rPr>
        <w:t xml:space="preserve"> </w:t>
      </w:r>
      <w:proofErr w:type="spellStart"/>
      <w:r w:rsidR="00F4383D">
        <w:rPr>
          <w:i/>
          <w:iCs/>
        </w:rPr>
        <w:t>pneumoniae</w:t>
      </w:r>
      <w:proofErr w:type="spellEnd"/>
      <w:r w:rsidR="00F4383D">
        <w:t xml:space="preserve"> strains.</w:t>
      </w:r>
    </w:p>
    <w:p w14:paraId="251C7C13" w14:textId="4949C021" w:rsidR="00F4383D" w:rsidRPr="00FB34F8" w:rsidRDefault="00F4383D" w:rsidP="00F4383D">
      <w:pPr>
        <w:pStyle w:val="a0"/>
        <w:spacing w:before="0" w:after="0"/>
        <w:rPr>
          <w:lang w:eastAsia="zh-CN"/>
        </w:rPr>
      </w:pPr>
      <w:r w:rsidRPr="00F210DB">
        <w:rPr>
          <w:rFonts w:hint="eastAsia"/>
          <w:b/>
          <w:lang w:eastAsia="zh-CN"/>
        </w:rPr>
        <w:t>(</w:t>
      </w:r>
      <w:r w:rsidR="00A62EC0">
        <w:rPr>
          <w:b/>
          <w:lang w:eastAsia="zh-CN"/>
        </w:rPr>
        <w:t>a</w:t>
      </w:r>
      <w:r w:rsidRPr="00F210DB">
        <w:rPr>
          <w:b/>
          <w:lang w:eastAsia="zh-CN"/>
        </w:rPr>
        <w:t>)</w:t>
      </w:r>
      <w:r w:rsidRPr="00FB34F8">
        <w:t xml:space="preserve"> </w:t>
      </w:r>
      <w:r>
        <w:rPr>
          <w:lang w:eastAsia="zh-CN"/>
        </w:rPr>
        <w:t>Panels</w:t>
      </w:r>
      <w:r w:rsidRPr="00FB34F8">
        <w:rPr>
          <w:lang w:eastAsia="zh-CN"/>
        </w:rPr>
        <w:t xml:space="preserve"> showing the distribution of identified synonymous (blue) and nonsynonymous (red) </w:t>
      </w:r>
      <w:r>
        <w:rPr>
          <w:lang w:eastAsia="zh-CN"/>
        </w:rPr>
        <w:t>SNPs</w:t>
      </w:r>
      <w:r w:rsidRPr="00FB34F8">
        <w:rPr>
          <w:lang w:eastAsia="zh-CN"/>
        </w:rPr>
        <w:t xml:space="preserve"> in</w:t>
      </w:r>
      <w:r>
        <w:rPr>
          <w:lang w:eastAsia="zh-CN"/>
        </w:rPr>
        <w:t xml:space="preserve"> the</w:t>
      </w:r>
      <w:r w:rsidRPr="00FB34F8">
        <w:rPr>
          <w:lang w:eastAsia="zh-CN"/>
        </w:rPr>
        <w:t xml:space="preserve"> coding regions of </w:t>
      </w:r>
      <w:proofErr w:type="spellStart"/>
      <w:r w:rsidRPr="00F210DB">
        <w:rPr>
          <w:i/>
          <w:lang w:eastAsia="zh-CN"/>
        </w:rPr>
        <w:t>Corynebacterium</w:t>
      </w:r>
      <w:proofErr w:type="spellEnd"/>
      <w:r w:rsidRPr="00F210DB">
        <w:rPr>
          <w:i/>
          <w:lang w:eastAsia="zh-CN"/>
        </w:rPr>
        <w:t xml:space="preserve"> striatum</w:t>
      </w:r>
      <w:r>
        <w:rPr>
          <w:lang w:eastAsia="zh-CN"/>
        </w:rPr>
        <w:t xml:space="preserve">, </w:t>
      </w:r>
      <w:r w:rsidRPr="00F210DB">
        <w:rPr>
          <w:i/>
          <w:lang w:eastAsia="zh-CN"/>
        </w:rPr>
        <w:t>Pseudomonas aeruginosa</w:t>
      </w:r>
      <w:r>
        <w:rPr>
          <w:i/>
          <w:lang w:eastAsia="zh-CN"/>
        </w:rPr>
        <w:t>,</w:t>
      </w:r>
      <w:r w:rsidRPr="00FB34F8">
        <w:rPr>
          <w:lang w:eastAsia="zh-CN"/>
        </w:rPr>
        <w:t xml:space="preserve"> and</w:t>
      </w:r>
      <w:r>
        <w:rPr>
          <w:lang w:eastAsia="zh-CN"/>
        </w:rPr>
        <w:t xml:space="preserve"> </w:t>
      </w:r>
      <w:proofErr w:type="spellStart"/>
      <w:r w:rsidRPr="00F210DB">
        <w:rPr>
          <w:i/>
          <w:lang w:eastAsia="zh-CN"/>
        </w:rPr>
        <w:t>Stenotrophomonas</w:t>
      </w:r>
      <w:proofErr w:type="spellEnd"/>
      <w:r w:rsidRPr="00F210DB">
        <w:rPr>
          <w:i/>
          <w:lang w:eastAsia="zh-CN"/>
        </w:rPr>
        <w:t xml:space="preserve"> </w:t>
      </w:r>
      <w:proofErr w:type="spellStart"/>
      <w:r w:rsidRPr="00F210DB">
        <w:rPr>
          <w:i/>
          <w:lang w:eastAsia="zh-CN"/>
        </w:rPr>
        <w:t>maltophilia</w:t>
      </w:r>
      <w:proofErr w:type="spellEnd"/>
      <w:r w:rsidRPr="00FB34F8">
        <w:rPr>
          <w:lang w:eastAsia="zh-CN"/>
        </w:rPr>
        <w:t>.</w:t>
      </w:r>
    </w:p>
    <w:p w14:paraId="6210E1EF" w14:textId="0BEF9777" w:rsidR="00621FAE" w:rsidRPr="00621FAE" w:rsidRDefault="00F4383D" w:rsidP="00482775">
      <w:pPr>
        <w:pStyle w:val="a0"/>
        <w:spacing w:before="0" w:after="0"/>
      </w:pPr>
      <w:r>
        <w:rPr>
          <w:b/>
          <w:bCs/>
        </w:rPr>
        <w:t>(</w:t>
      </w:r>
      <w:r w:rsidR="00A62EC0">
        <w:rPr>
          <w:b/>
          <w:bCs/>
        </w:rPr>
        <w:t>b</w:t>
      </w:r>
      <w:r>
        <w:rPr>
          <w:b/>
          <w:bCs/>
        </w:rPr>
        <w:t>)</w:t>
      </w:r>
      <w:r>
        <w:t xml:space="preserve"> Phylogenetic tree of 444 publicly available </w:t>
      </w:r>
      <w:proofErr w:type="spellStart"/>
      <w:r>
        <w:rPr>
          <w:i/>
          <w:iCs/>
        </w:rPr>
        <w:t>Acinetobacter</w:t>
      </w:r>
      <w:proofErr w:type="spellEnd"/>
      <w:r>
        <w:rPr>
          <w:i/>
          <w:iCs/>
        </w:rPr>
        <w:t xml:space="preserve"> </w:t>
      </w:r>
      <w:proofErr w:type="spellStart"/>
      <w:r>
        <w:rPr>
          <w:i/>
          <w:iCs/>
        </w:rPr>
        <w:t>baumannii</w:t>
      </w:r>
      <w:proofErr w:type="spellEnd"/>
      <w:r>
        <w:t xml:space="preserve"> genomes from the NCBI database and 27 additional genomes assembled from our samples. A distantly related strain (GCA_014171935.1) was used as an outgroup for phylogenetic analysis. The </w:t>
      </w:r>
      <w:proofErr w:type="spellStart"/>
      <w:r>
        <w:rPr>
          <w:i/>
          <w:iCs/>
        </w:rPr>
        <w:t>Acinetobacter</w:t>
      </w:r>
      <w:proofErr w:type="spellEnd"/>
      <w:r>
        <w:rPr>
          <w:i/>
          <w:iCs/>
        </w:rPr>
        <w:t xml:space="preserve"> </w:t>
      </w:r>
      <w:proofErr w:type="spellStart"/>
      <w:r>
        <w:rPr>
          <w:i/>
          <w:iCs/>
        </w:rPr>
        <w:t>baumannii</w:t>
      </w:r>
      <w:proofErr w:type="spellEnd"/>
      <w:r>
        <w:t xml:space="preserve"> strains derived from our samples are highlighted with red branches. The red star represents 100% bootstrap support.</w:t>
      </w:r>
      <w:r>
        <w:br/>
      </w:r>
      <w:r>
        <w:rPr>
          <w:b/>
          <w:bCs/>
        </w:rPr>
        <w:t>(</w:t>
      </w:r>
      <w:r w:rsidR="00A62EC0">
        <w:rPr>
          <w:b/>
          <w:bCs/>
        </w:rPr>
        <w:t>c</w:t>
      </w:r>
      <w:r>
        <w:rPr>
          <w:b/>
          <w:bCs/>
        </w:rPr>
        <w:t>)</w:t>
      </w:r>
      <w:r>
        <w:t xml:space="preserve"> Phylogenetic tree of 1640 publicly available </w:t>
      </w:r>
      <w:proofErr w:type="spellStart"/>
      <w:r>
        <w:rPr>
          <w:i/>
          <w:iCs/>
        </w:rPr>
        <w:t>Klebsiella</w:t>
      </w:r>
      <w:proofErr w:type="spellEnd"/>
      <w:r>
        <w:rPr>
          <w:i/>
          <w:iCs/>
        </w:rPr>
        <w:t xml:space="preserve"> </w:t>
      </w:r>
      <w:proofErr w:type="spellStart"/>
      <w:r>
        <w:rPr>
          <w:i/>
          <w:iCs/>
        </w:rPr>
        <w:t>pneumoniae</w:t>
      </w:r>
      <w:proofErr w:type="spellEnd"/>
      <w:r>
        <w:t xml:space="preserve"> genomes from NCBI database and 13 additional genomes assembled from our samples. A distantly related strain (GCA_013426775.1) was used as an outgroup for phylogenetic analysis. The </w:t>
      </w:r>
      <w:proofErr w:type="spellStart"/>
      <w:r>
        <w:rPr>
          <w:i/>
          <w:iCs/>
        </w:rPr>
        <w:t>Klebsiella</w:t>
      </w:r>
      <w:proofErr w:type="spellEnd"/>
      <w:r>
        <w:rPr>
          <w:i/>
          <w:iCs/>
        </w:rPr>
        <w:t xml:space="preserve"> </w:t>
      </w:r>
      <w:proofErr w:type="spellStart"/>
      <w:r>
        <w:rPr>
          <w:i/>
          <w:iCs/>
        </w:rPr>
        <w:t>pneumoniae</w:t>
      </w:r>
      <w:proofErr w:type="spellEnd"/>
      <w:r>
        <w:t xml:space="preserve"> strains derived from our samples are highlighted with red branches. The red star represents 100% bootstrap support.</w:t>
      </w:r>
      <w:r>
        <w:br/>
      </w:r>
      <w:r>
        <w:rPr>
          <w:b/>
          <w:bCs/>
        </w:rPr>
        <w:t>(</w:t>
      </w:r>
      <w:r w:rsidR="00A62EC0">
        <w:rPr>
          <w:b/>
          <w:bCs/>
        </w:rPr>
        <w:t>d</w:t>
      </w:r>
      <w:r>
        <w:rPr>
          <w:b/>
          <w:bCs/>
        </w:rPr>
        <w:t>)</w:t>
      </w:r>
      <w:r>
        <w:t xml:space="preserve"> A combination of the phylogenetic tree, associated metadata, and genomic information showing the distribution of detected recombination blocks in our </w:t>
      </w:r>
      <w:proofErr w:type="spellStart"/>
      <w:r>
        <w:rPr>
          <w:i/>
          <w:iCs/>
        </w:rPr>
        <w:t>Acinetobacter</w:t>
      </w:r>
      <w:proofErr w:type="spellEnd"/>
      <w:r>
        <w:rPr>
          <w:i/>
          <w:iCs/>
        </w:rPr>
        <w:t xml:space="preserve"> </w:t>
      </w:r>
      <w:proofErr w:type="spellStart"/>
      <w:r>
        <w:rPr>
          <w:i/>
          <w:iCs/>
        </w:rPr>
        <w:t>baumannii</w:t>
      </w:r>
      <w:proofErr w:type="spellEnd"/>
      <w:r>
        <w:t xml:space="preserve"> strains. The phylogenetic tree was constructed based on the alignment of non-recombinant regions in the core genome. Each specific node in the phylogenetic tree is labeled with the associated patient ID, indicating the host of the corresponding </w:t>
      </w:r>
      <w:proofErr w:type="spellStart"/>
      <w:r>
        <w:rPr>
          <w:i/>
          <w:iCs/>
        </w:rPr>
        <w:t>Acinetobacter</w:t>
      </w:r>
      <w:proofErr w:type="spellEnd"/>
      <w:r>
        <w:rPr>
          <w:i/>
          <w:iCs/>
        </w:rPr>
        <w:t xml:space="preserve"> </w:t>
      </w:r>
      <w:proofErr w:type="spellStart"/>
      <w:r>
        <w:rPr>
          <w:i/>
          <w:iCs/>
        </w:rPr>
        <w:t>baumannii</w:t>
      </w:r>
      <w:proofErr w:type="spellEnd"/>
      <w:r>
        <w:t xml:space="preserve"> strain. Red blocks indicate the detected recombination blocks </w:t>
      </w:r>
      <w:r w:rsidR="00621FAE">
        <w:t xml:space="preserve">in </w:t>
      </w:r>
      <w:r>
        <w:t>each cluster. Blue blocks indicate the detected recombination blocks in single isolates.</w:t>
      </w:r>
      <w:r>
        <w:br/>
      </w:r>
      <w:r>
        <w:rPr>
          <w:b/>
          <w:bCs/>
        </w:rPr>
        <w:t>(</w:t>
      </w:r>
      <w:r w:rsidR="00442E74">
        <w:rPr>
          <w:b/>
          <w:bCs/>
        </w:rPr>
        <w:t>e</w:t>
      </w:r>
      <w:r w:rsidR="00BB34D9">
        <w:rPr>
          <w:b/>
          <w:bCs/>
        </w:rPr>
        <w:t xml:space="preserve"> and </w:t>
      </w:r>
      <w:r w:rsidR="00442E74">
        <w:rPr>
          <w:b/>
          <w:bCs/>
        </w:rPr>
        <w:t>f</w:t>
      </w:r>
      <w:r>
        <w:rPr>
          <w:b/>
          <w:bCs/>
        </w:rPr>
        <w:t>)</w:t>
      </w:r>
      <w:r>
        <w:t xml:space="preserve"> Nucleotide diversity and detected recombination blocks across the genome of </w:t>
      </w:r>
      <w:proofErr w:type="spellStart"/>
      <w:r>
        <w:rPr>
          <w:i/>
          <w:iCs/>
        </w:rPr>
        <w:t>Klebsiella</w:t>
      </w:r>
      <w:proofErr w:type="spellEnd"/>
      <w:r>
        <w:rPr>
          <w:i/>
          <w:iCs/>
        </w:rPr>
        <w:t xml:space="preserve"> </w:t>
      </w:r>
      <w:proofErr w:type="spellStart"/>
      <w:r>
        <w:rPr>
          <w:i/>
          <w:iCs/>
        </w:rPr>
        <w:t>pneumoniae</w:t>
      </w:r>
      <w:proofErr w:type="spellEnd"/>
      <w:r>
        <w:t xml:space="preserve"> are shown in (</w:t>
      </w:r>
      <w:r w:rsidR="00442E74">
        <w:t>e</w:t>
      </w:r>
      <w:r>
        <w:t>) and (</w:t>
      </w:r>
      <w:r w:rsidR="00442E74">
        <w:t>f</w:t>
      </w:r>
      <w:r>
        <w:t>), respectively. (</w:t>
      </w:r>
      <w:r w:rsidR="00442E74">
        <w:t>f</w:t>
      </w:r>
      <w:r>
        <w:t xml:space="preserve">), Clusters are constructed using the phylogeny of our </w:t>
      </w:r>
      <w:proofErr w:type="spellStart"/>
      <w:r>
        <w:rPr>
          <w:i/>
          <w:iCs/>
        </w:rPr>
        <w:t>Klebsiella</w:t>
      </w:r>
      <w:proofErr w:type="spellEnd"/>
      <w:r>
        <w:rPr>
          <w:i/>
          <w:iCs/>
        </w:rPr>
        <w:t xml:space="preserve"> </w:t>
      </w:r>
      <w:proofErr w:type="spellStart"/>
      <w:r>
        <w:rPr>
          <w:i/>
          <w:iCs/>
        </w:rPr>
        <w:t>pneumoniae</w:t>
      </w:r>
      <w:proofErr w:type="spellEnd"/>
      <w:r>
        <w:t xml:space="preserve"> strains based on the </w:t>
      </w:r>
      <w:proofErr w:type="spellStart"/>
      <w:r>
        <w:t>Gubbins</w:t>
      </w:r>
      <w:proofErr w:type="spellEnd"/>
      <w:r>
        <w:t xml:space="preserve"> outputs. Blue blocks indicate the detected recombination blocks in the genome. The value of r/m represents the ratio of the number of </w:t>
      </w:r>
      <w:r w:rsidRPr="009A493F">
        <w:rPr>
          <w:lang w:eastAsia="zh-CN"/>
        </w:rPr>
        <w:t>SNPs introduced through recombination</w:t>
      </w:r>
      <w:r>
        <w:t xml:space="preserve"> relative to those arising through random mutation outside recombination blocks.</w:t>
      </w:r>
      <w:bookmarkEnd w:id="2"/>
    </w:p>
    <w:p w14:paraId="5A1553CB" w14:textId="60D98D0E" w:rsidR="0064238A" w:rsidRDefault="00BB34D9" w:rsidP="00B75BA6">
      <w:pPr>
        <w:pStyle w:val="FirstParagraph"/>
        <w:spacing w:before="0" w:after="0"/>
      </w:pPr>
      <w:r>
        <w:rPr>
          <w:b/>
          <w:bCs/>
        </w:rPr>
        <w:t>(</w:t>
      </w:r>
      <w:r w:rsidR="00442E74">
        <w:rPr>
          <w:b/>
          <w:bCs/>
        </w:rPr>
        <w:t>g</w:t>
      </w:r>
      <w:r>
        <w:rPr>
          <w:b/>
          <w:bCs/>
        </w:rPr>
        <w:t xml:space="preserve"> and </w:t>
      </w:r>
      <w:r w:rsidR="00442E74">
        <w:rPr>
          <w:b/>
          <w:bCs/>
        </w:rPr>
        <w:t>h</w:t>
      </w:r>
      <w:r>
        <w:rPr>
          <w:b/>
          <w:bCs/>
        </w:rPr>
        <w:t>)</w:t>
      </w:r>
      <w:r>
        <w:t xml:space="preserve"> Summary of the top 15 Kyoto Encyclopedia of Genes and Genomes (KEGG) pathways identified for the genes with shared missense SNPs </w:t>
      </w:r>
      <w:r w:rsidR="00621FAE">
        <w:t>among strains of</w:t>
      </w:r>
      <w:r>
        <w:t xml:space="preserve"> </w:t>
      </w:r>
      <w:proofErr w:type="spellStart"/>
      <w:r>
        <w:rPr>
          <w:i/>
          <w:iCs/>
        </w:rPr>
        <w:t>Acinetobacter</w:t>
      </w:r>
      <w:proofErr w:type="spellEnd"/>
      <w:r>
        <w:rPr>
          <w:i/>
          <w:iCs/>
        </w:rPr>
        <w:t xml:space="preserve"> </w:t>
      </w:r>
      <w:proofErr w:type="spellStart"/>
      <w:r>
        <w:rPr>
          <w:i/>
          <w:iCs/>
        </w:rPr>
        <w:t>baumannii</w:t>
      </w:r>
      <w:proofErr w:type="spellEnd"/>
      <w:r>
        <w:t xml:space="preserve"> (</w:t>
      </w:r>
      <w:r w:rsidR="00EC49AC">
        <w:t>g</w:t>
      </w:r>
      <w:r>
        <w:t xml:space="preserve">) and </w:t>
      </w:r>
      <w:proofErr w:type="spellStart"/>
      <w:r>
        <w:rPr>
          <w:i/>
          <w:iCs/>
        </w:rPr>
        <w:t>Klebsiella</w:t>
      </w:r>
      <w:proofErr w:type="spellEnd"/>
      <w:r>
        <w:rPr>
          <w:i/>
          <w:iCs/>
        </w:rPr>
        <w:t xml:space="preserve"> </w:t>
      </w:r>
      <w:proofErr w:type="spellStart"/>
      <w:r>
        <w:rPr>
          <w:i/>
          <w:iCs/>
        </w:rPr>
        <w:t>pneumoniae</w:t>
      </w:r>
      <w:proofErr w:type="spellEnd"/>
      <w:r>
        <w:t xml:space="preserve"> (</w:t>
      </w:r>
      <w:r w:rsidR="00EC49AC">
        <w:t>h</w:t>
      </w:r>
      <w:r>
        <w:t>). The x-axis denotes the proportion of each KEGG pathway identified in the set of genes with shared missense SNPs.</w:t>
      </w:r>
    </w:p>
    <w:p w14:paraId="15052FC0" w14:textId="498B5ECB" w:rsidR="008427F6" w:rsidRDefault="008427F6" w:rsidP="008427F6">
      <w:pPr>
        <w:pStyle w:val="a0"/>
      </w:pPr>
    </w:p>
    <w:p w14:paraId="1FE282C0" w14:textId="77777777" w:rsidR="008427F6" w:rsidRPr="00612471" w:rsidRDefault="008427F6" w:rsidP="008427F6">
      <w:pPr>
        <w:pStyle w:val="2"/>
      </w:pPr>
      <w:r w:rsidRPr="00612471">
        <w:t xml:space="preserve">Supplementary </w:t>
      </w:r>
      <w:r>
        <w:t>table legends</w:t>
      </w:r>
    </w:p>
    <w:p w14:paraId="4FBED2B2" w14:textId="50F1E8BB" w:rsidR="008427F6" w:rsidRDefault="008427F6" w:rsidP="00C068EF">
      <w:pPr>
        <w:pStyle w:val="a0"/>
      </w:pPr>
      <w:r>
        <w:t xml:space="preserve">Table </w:t>
      </w:r>
      <w:r>
        <w:rPr>
          <w:rFonts w:hint="eastAsia"/>
          <w:lang w:eastAsia="zh-CN"/>
        </w:rPr>
        <w:t>S</w:t>
      </w:r>
      <w:r>
        <w:t>1. Demographic factors, clinical variables, and treatment characteristics for ICU patients in three hospitals.</w:t>
      </w:r>
      <w:r>
        <w:br/>
      </w:r>
      <w:r>
        <w:lastRenderedPageBreak/>
        <w:t xml:space="preserve">Table </w:t>
      </w:r>
      <w:r>
        <w:rPr>
          <w:rFonts w:hint="eastAsia"/>
          <w:lang w:eastAsia="zh-CN"/>
        </w:rPr>
        <w:t>S</w:t>
      </w:r>
      <w:r>
        <w:t xml:space="preserve">2. </w:t>
      </w:r>
      <w:r w:rsidRPr="008427F6">
        <w:t>Comparison of the relative abundance of genus-level taxa identified in 16 replicate samples from both control and treatment groups</w:t>
      </w:r>
      <w:r>
        <w:t xml:space="preserve">. </w:t>
      </w:r>
      <w:r w:rsidR="00C068EF" w:rsidRPr="00753964">
        <w:t xml:space="preserve">The control group </w:t>
      </w:r>
      <w:r w:rsidR="00C068EF">
        <w:t xml:space="preserve">represents </w:t>
      </w:r>
      <w:r w:rsidR="00C068EF" w:rsidRPr="00753964">
        <w:t>samples processed with direct DNA extraction. The treatment group</w:t>
      </w:r>
      <w:r w:rsidR="00C068EF">
        <w:t xml:space="preserve"> represents </w:t>
      </w:r>
      <w:r w:rsidR="00C068EF" w:rsidRPr="00753964">
        <w:t>sample</w:t>
      </w:r>
      <w:r w:rsidR="00C068EF">
        <w:t>s</w:t>
      </w:r>
      <w:r w:rsidR="00C068EF" w:rsidRPr="00753964">
        <w:t xml:space="preserve"> processed using the </w:t>
      </w:r>
      <w:r w:rsidR="00C068EF">
        <w:rPr>
          <w:rFonts w:hint="eastAsia"/>
          <w:lang w:eastAsia="zh-CN"/>
        </w:rPr>
        <w:t>CMEM</w:t>
      </w:r>
      <w:r w:rsidR="00C068EF">
        <w:t>.</w:t>
      </w:r>
    </w:p>
    <w:p w14:paraId="4B7B505D" w14:textId="138F437E" w:rsidR="008427F6" w:rsidRDefault="008427F6" w:rsidP="008427F6">
      <w:pPr>
        <w:pStyle w:val="a0"/>
      </w:pPr>
      <w:r>
        <w:t xml:space="preserve">Table </w:t>
      </w:r>
      <w:r>
        <w:rPr>
          <w:rFonts w:hint="eastAsia"/>
          <w:lang w:eastAsia="zh-CN"/>
        </w:rPr>
        <w:t>S</w:t>
      </w:r>
      <w:r>
        <w:t xml:space="preserve">3. </w:t>
      </w:r>
      <w:r w:rsidRPr="008427F6">
        <w:t xml:space="preserve">The bacterial species detected in </w:t>
      </w:r>
      <w:proofErr w:type="spellStart"/>
      <w:r w:rsidRPr="008427F6">
        <w:t>metagenomic</w:t>
      </w:r>
      <w:proofErr w:type="spellEnd"/>
      <w:r w:rsidRPr="008427F6">
        <w:t xml:space="preserve"> sequencing of negative controls.</w:t>
      </w:r>
    </w:p>
    <w:p w14:paraId="7A1CFB28" w14:textId="2CF92EF7" w:rsidR="008427F6" w:rsidRPr="008427F6" w:rsidRDefault="008427F6" w:rsidP="008427F6">
      <w:pPr>
        <w:pStyle w:val="a0"/>
      </w:pPr>
      <w:r>
        <w:t xml:space="preserve">Table </w:t>
      </w:r>
      <w:r>
        <w:rPr>
          <w:rFonts w:hint="eastAsia"/>
          <w:lang w:eastAsia="zh-CN"/>
        </w:rPr>
        <w:t>S</w:t>
      </w:r>
      <w:r>
        <w:t xml:space="preserve">4. </w:t>
      </w:r>
      <w:r w:rsidRPr="008427F6">
        <w:t>Comparison of species identified in clinical microbio</w:t>
      </w:r>
      <w:r>
        <w:t>lo</w:t>
      </w:r>
      <w:r w:rsidRPr="008427F6">
        <w:t xml:space="preserve">gy culture and </w:t>
      </w:r>
      <w:proofErr w:type="spellStart"/>
      <w:r w:rsidRPr="008427F6">
        <w:t>metagenomic</w:t>
      </w:r>
      <w:proofErr w:type="spellEnd"/>
      <w:r w:rsidRPr="008427F6">
        <w:t xml:space="preserve"> sequencing.</w:t>
      </w:r>
    </w:p>
    <w:p w14:paraId="66A5D36C" w14:textId="54F95CEF" w:rsidR="008427F6" w:rsidRDefault="008427F6" w:rsidP="008427F6">
      <w:pPr>
        <w:pStyle w:val="a0"/>
      </w:pPr>
      <w:r>
        <w:t xml:space="preserve">Table </w:t>
      </w:r>
      <w:r>
        <w:rPr>
          <w:rFonts w:hint="eastAsia"/>
          <w:lang w:eastAsia="zh-CN"/>
        </w:rPr>
        <w:t>S</w:t>
      </w:r>
      <w:r>
        <w:t xml:space="preserve">5. List of species-level taxa identified in our LRT samples and the frequency of detection for each species. A microbial species was considered detected if there were over 500 </w:t>
      </w:r>
      <w:proofErr w:type="spellStart"/>
      <w:r>
        <w:t>rpM</w:t>
      </w:r>
      <w:proofErr w:type="spellEnd"/>
      <w:r>
        <w:t xml:space="preserve"> assigned to that species in the Kraken2 outputs.</w:t>
      </w:r>
    </w:p>
    <w:p w14:paraId="02ACD17F" w14:textId="18474648" w:rsidR="008427F6" w:rsidRDefault="008427F6" w:rsidP="008427F6">
      <w:pPr>
        <w:pStyle w:val="a0"/>
      </w:pPr>
      <w:r>
        <w:t>Table S6. Statistics of the 433 metagenome-assembled genomes (MAGs), their taxonomy, and quality assessments based on GTDB outputs.</w:t>
      </w:r>
    </w:p>
    <w:p w14:paraId="3AEDA0E5" w14:textId="6B8C7834" w:rsidR="008427F6" w:rsidRDefault="008427F6" w:rsidP="008427F6">
      <w:pPr>
        <w:pStyle w:val="a0"/>
      </w:pPr>
      <w:r>
        <w:t>Table S7. List of ARG subtypes identified in our LRT samples and their frequency of detection in each hospital.</w:t>
      </w:r>
    </w:p>
    <w:p w14:paraId="49424E08" w14:textId="37C30BC9" w:rsidR="008427F6" w:rsidRDefault="008427F6" w:rsidP="008427F6">
      <w:pPr>
        <w:pStyle w:val="a0"/>
      </w:pPr>
      <w:r>
        <w:t>Table S8. Metadata for the strain transmission events that occurred in each hospital, including hospitalization period for each patient, ICU room type, the taxonomy of the transmission strain, and summary statistics for SNP-level analysis.</w:t>
      </w:r>
    </w:p>
    <w:p w14:paraId="0FB85569" w14:textId="0E833129" w:rsidR="008427F6" w:rsidRDefault="008427F6" w:rsidP="008427F6">
      <w:pPr>
        <w:pStyle w:val="a0"/>
      </w:pPr>
      <w:r>
        <w:t>Table S9. List of plasmids recovered from our LRT samples and statistics for describing the mapping quality, patient source, and sampling site for each plasmid.</w:t>
      </w:r>
    </w:p>
    <w:p w14:paraId="2DB16214" w14:textId="24C2E84E" w:rsidR="008427F6" w:rsidRDefault="008427F6" w:rsidP="008427F6">
      <w:pPr>
        <w:pStyle w:val="a0"/>
      </w:pPr>
      <w:r>
        <w:t xml:space="preserve">Table S10. Functional annotation for the genes in the recombination hotspot region (near 3,000,000 </w:t>
      </w:r>
      <w:proofErr w:type="spellStart"/>
      <w:r>
        <w:t>bp</w:t>
      </w:r>
      <w:proofErr w:type="spellEnd"/>
      <w:r>
        <w:t xml:space="preserve">) of </w:t>
      </w:r>
      <w:proofErr w:type="spellStart"/>
      <w:r w:rsidRPr="00A1210F">
        <w:rPr>
          <w:i/>
        </w:rPr>
        <w:t>Acinetobacter</w:t>
      </w:r>
      <w:proofErr w:type="spellEnd"/>
      <w:r w:rsidRPr="00A1210F">
        <w:rPr>
          <w:i/>
        </w:rPr>
        <w:t xml:space="preserve"> </w:t>
      </w:r>
      <w:proofErr w:type="spellStart"/>
      <w:r w:rsidRPr="00A1210F">
        <w:rPr>
          <w:i/>
        </w:rPr>
        <w:t>baumannii</w:t>
      </w:r>
      <w:proofErr w:type="spellEnd"/>
      <w:r>
        <w:t xml:space="preserve"> using the </w:t>
      </w:r>
      <w:proofErr w:type="spellStart"/>
      <w:r>
        <w:t>eggNOG</w:t>
      </w:r>
      <w:proofErr w:type="spellEnd"/>
      <w:r>
        <w:t xml:space="preserve"> 5 database. The locus tag number for each gene was related to Fig</w:t>
      </w:r>
      <w:r w:rsidR="00BF3C53">
        <w:t>.</w:t>
      </w:r>
      <w:r>
        <w:t xml:space="preserve"> 7</w:t>
      </w:r>
      <w:r w:rsidR="00BF3C53">
        <w:t>e</w:t>
      </w:r>
      <w:r>
        <w:t>.</w:t>
      </w:r>
    </w:p>
    <w:p w14:paraId="02C07FAC" w14:textId="77777777" w:rsidR="008427F6" w:rsidRPr="008427F6" w:rsidRDefault="008427F6" w:rsidP="008427F6">
      <w:pPr>
        <w:pStyle w:val="a0"/>
      </w:pPr>
    </w:p>
    <w:sectPr w:rsidR="008427F6" w:rsidRPr="008427F6" w:rsidSect="00B7004C">
      <w:footerReference w:type="default" r:id="rId8"/>
      <w:pgSz w:w="12240" w:h="15840"/>
      <w:pgMar w:top="1440" w:right="1800" w:bottom="1440" w:left="1800" w:header="72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E2950A" w16cid:durableId="28809C83"/>
  <w16cid:commentId w16cid:paraId="3760A68A" w16cid:durableId="28809C8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E9926" w14:textId="77777777" w:rsidR="00110452" w:rsidRDefault="00110452">
      <w:pPr>
        <w:spacing w:after="0"/>
      </w:pPr>
      <w:r>
        <w:separator/>
      </w:r>
    </w:p>
  </w:endnote>
  <w:endnote w:type="continuationSeparator" w:id="0">
    <w:p w14:paraId="0F2BD585" w14:textId="77777777" w:rsidR="00110452" w:rsidRDefault="001104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890155"/>
      <w:docPartObj>
        <w:docPartGallery w:val="Page Numbers (Bottom of Page)"/>
        <w:docPartUnique/>
      </w:docPartObj>
    </w:sdtPr>
    <w:sdtEndPr>
      <w:rPr>
        <w:b/>
        <w:color w:val="4F81BD" w:themeColor="accent1"/>
        <w:sz w:val="24"/>
        <w:szCs w:val="24"/>
      </w:rPr>
    </w:sdtEndPr>
    <w:sdtContent>
      <w:p w14:paraId="7756CC1F" w14:textId="463E0C65" w:rsidR="009B4A18" w:rsidRPr="00002A19" w:rsidRDefault="009B4A18">
        <w:pPr>
          <w:pStyle w:val="afc"/>
          <w:jc w:val="center"/>
          <w:rPr>
            <w:b/>
            <w:color w:val="4F81BD" w:themeColor="accent1"/>
            <w:sz w:val="24"/>
            <w:szCs w:val="24"/>
          </w:rPr>
        </w:pPr>
        <w:r w:rsidRPr="00002A19">
          <w:rPr>
            <w:b/>
            <w:color w:val="4F81BD" w:themeColor="accent1"/>
            <w:sz w:val="24"/>
            <w:szCs w:val="24"/>
          </w:rPr>
          <w:fldChar w:fldCharType="begin"/>
        </w:r>
        <w:r w:rsidRPr="00002A19">
          <w:rPr>
            <w:b/>
            <w:color w:val="4F81BD" w:themeColor="accent1"/>
            <w:sz w:val="24"/>
            <w:szCs w:val="24"/>
          </w:rPr>
          <w:instrText>PAGE   \* MERGEFORMAT</w:instrText>
        </w:r>
        <w:r w:rsidRPr="00002A19">
          <w:rPr>
            <w:b/>
            <w:color w:val="4F81BD" w:themeColor="accent1"/>
            <w:sz w:val="24"/>
            <w:szCs w:val="24"/>
          </w:rPr>
          <w:fldChar w:fldCharType="separate"/>
        </w:r>
        <w:r w:rsidR="00DC05A9" w:rsidRPr="00DC05A9">
          <w:rPr>
            <w:b/>
            <w:noProof/>
            <w:color w:val="4F81BD" w:themeColor="accent1"/>
            <w:sz w:val="24"/>
            <w:szCs w:val="24"/>
            <w:lang w:val="zh-CN" w:eastAsia="zh-CN"/>
          </w:rPr>
          <w:t>5</w:t>
        </w:r>
        <w:r w:rsidRPr="00002A19">
          <w:rPr>
            <w:b/>
            <w:color w:val="4F81BD" w:themeColor="accent1"/>
            <w:sz w:val="24"/>
            <w:szCs w:val="24"/>
          </w:rPr>
          <w:fldChar w:fldCharType="end"/>
        </w:r>
      </w:p>
    </w:sdtContent>
  </w:sdt>
  <w:p w14:paraId="0088CEB0" w14:textId="77777777" w:rsidR="009B4A18" w:rsidRDefault="009B4A18">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8BACF" w14:textId="77777777" w:rsidR="00110452" w:rsidRDefault="00110452">
      <w:r>
        <w:separator/>
      </w:r>
    </w:p>
  </w:footnote>
  <w:footnote w:type="continuationSeparator" w:id="0">
    <w:p w14:paraId="31A06492" w14:textId="77777777" w:rsidR="00110452" w:rsidRDefault="001104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EA16043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BD0"/>
    <w:rsid w:val="00001E7D"/>
    <w:rsid w:val="00002A19"/>
    <w:rsid w:val="00004B15"/>
    <w:rsid w:val="00004E72"/>
    <w:rsid w:val="00007F90"/>
    <w:rsid w:val="00011C46"/>
    <w:rsid w:val="00014DD6"/>
    <w:rsid w:val="00017E91"/>
    <w:rsid w:val="00021976"/>
    <w:rsid w:val="00023444"/>
    <w:rsid w:val="000247EB"/>
    <w:rsid w:val="000252C2"/>
    <w:rsid w:val="00034765"/>
    <w:rsid w:val="00035632"/>
    <w:rsid w:val="000405B3"/>
    <w:rsid w:val="0004265A"/>
    <w:rsid w:val="00042B9F"/>
    <w:rsid w:val="00043429"/>
    <w:rsid w:val="000435B7"/>
    <w:rsid w:val="00045BBD"/>
    <w:rsid w:val="00047427"/>
    <w:rsid w:val="00053277"/>
    <w:rsid w:val="00053BD8"/>
    <w:rsid w:val="00055DD9"/>
    <w:rsid w:val="00057419"/>
    <w:rsid w:val="000628D5"/>
    <w:rsid w:val="00063EA1"/>
    <w:rsid w:val="00070733"/>
    <w:rsid w:val="000727FA"/>
    <w:rsid w:val="00072FD1"/>
    <w:rsid w:val="0007398A"/>
    <w:rsid w:val="00073BFE"/>
    <w:rsid w:val="00080D03"/>
    <w:rsid w:val="00082406"/>
    <w:rsid w:val="000845D3"/>
    <w:rsid w:val="00085634"/>
    <w:rsid w:val="000859B7"/>
    <w:rsid w:val="00091DC7"/>
    <w:rsid w:val="00091FF8"/>
    <w:rsid w:val="0009429B"/>
    <w:rsid w:val="00095856"/>
    <w:rsid w:val="0009733B"/>
    <w:rsid w:val="000A04D4"/>
    <w:rsid w:val="000A2D3B"/>
    <w:rsid w:val="000A3A1A"/>
    <w:rsid w:val="000A3F88"/>
    <w:rsid w:val="000A5960"/>
    <w:rsid w:val="000B0554"/>
    <w:rsid w:val="000B0946"/>
    <w:rsid w:val="000B368F"/>
    <w:rsid w:val="000B4983"/>
    <w:rsid w:val="000B6EA9"/>
    <w:rsid w:val="000B77CD"/>
    <w:rsid w:val="000C0AEB"/>
    <w:rsid w:val="000C135B"/>
    <w:rsid w:val="000C2256"/>
    <w:rsid w:val="000C44F7"/>
    <w:rsid w:val="000C531C"/>
    <w:rsid w:val="000C7638"/>
    <w:rsid w:val="000D368E"/>
    <w:rsid w:val="000D3ECA"/>
    <w:rsid w:val="000D4AD3"/>
    <w:rsid w:val="000D4BE5"/>
    <w:rsid w:val="000D5653"/>
    <w:rsid w:val="000D5D61"/>
    <w:rsid w:val="000E01EA"/>
    <w:rsid w:val="000E134C"/>
    <w:rsid w:val="000E1A02"/>
    <w:rsid w:val="000E4119"/>
    <w:rsid w:val="000E6153"/>
    <w:rsid w:val="000E674C"/>
    <w:rsid w:val="000F02BF"/>
    <w:rsid w:val="000F0E9D"/>
    <w:rsid w:val="000F6A49"/>
    <w:rsid w:val="00101837"/>
    <w:rsid w:val="001018BD"/>
    <w:rsid w:val="00101D37"/>
    <w:rsid w:val="00103456"/>
    <w:rsid w:val="00103DA1"/>
    <w:rsid w:val="00110452"/>
    <w:rsid w:val="00110A63"/>
    <w:rsid w:val="00120271"/>
    <w:rsid w:val="0012463F"/>
    <w:rsid w:val="00124978"/>
    <w:rsid w:val="00125377"/>
    <w:rsid w:val="00125E1D"/>
    <w:rsid w:val="00127BEB"/>
    <w:rsid w:val="00127F3E"/>
    <w:rsid w:val="0013090D"/>
    <w:rsid w:val="001312DF"/>
    <w:rsid w:val="00134343"/>
    <w:rsid w:val="00137817"/>
    <w:rsid w:val="00137D46"/>
    <w:rsid w:val="00140F82"/>
    <w:rsid w:val="00140FF7"/>
    <w:rsid w:val="00142370"/>
    <w:rsid w:val="00147569"/>
    <w:rsid w:val="00150102"/>
    <w:rsid w:val="00150A08"/>
    <w:rsid w:val="00152D95"/>
    <w:rsid w:val="00153DEA"/>
    <w:rsid w:val="00155920"/>
    <w:rsid w:val="001565FB"/>
    <w:rsid w:val="00156E7C"/>
    <w:rsid w:val="0015742A"/>
    <w:rsid w:val="00157C5E"/>
    <w:rsid w:val="00161072"/>
    <w:rsid w:val="00163504"/>
    <w:rsid w:val="00163985"/>
    <w:rsid w:val="00165142"/>
    <w:rsid w:val="001705CC"/>
    <w:rsid w:val="0017062F"/>
    <w:rsid w:val="001706DC"/>
    <w:rsid w:val="00170AC1"/>
    <w:rsid w:val="0017366C"/>
    <w:rsid w:val="00174555"/>
    <w:rsid w:val="001748D8"/>
    <w:rsid w:val="001754A9"/>
    <w:rsid w:val="001800DD"/>
    <w:rsid w:val="00183742"/>
    <w:rsid w:val="00186EC5"/>
    <w:rsid w:val="00195C2D"/>
    <w:rsid w:val="00196440"/>
    <w:rsid w:val="001A164D"/>
    <w:rsid w:val="001A1767"/>
    <w:rsid w:val="001A2942"/>
    <w:rsid w:val="001A6F2D"/>
    <w:rsid w:val="001A6FD0"/>
    <w:rsid w:val="001A7562"/>
    <w:rsid w:val="001B0796"/>
    <w:rsid w:val="001B3035"/>
    <w:rsid w:val="001B380D"/>
    <w:rsid w:val="001B7AA2"/>
    <w:rsid w:val="001B7BD0"/>
    <w:rsid w:val="001C1078"/>
    <w:rsid w:val="001C24AD"/>
    <w:rsid w:val="001C2547"/>
    <w:rsid w:val="001C2B65"/>
    <w:rsid w:val="001C39F7"/>
    <w:rsid w:val="001C3AA4"/>
    <w:rsid w:val="001C470E"/>
    <w:rsid w:val="001C71B0"/>
    <w:rsid w:val="001D120E"/>
    <w:rsid w:val="001D4445"/>
    <w:rsid w:val="001D4A07"/>
    <w:rsid w:val="001D6226"/>
    <w:rsid w:val="001D6D3A"/>
    <w:rsid w:val="001D747A"/>
    <w:rsid w:val="001D76DD"/>
    <w:rsid w:val="001E178B"/>
    <w:rsid w:val="001E22AA"/>
    <w:rsid w:val="001E608E"/>
    <w:rsid w:val="001E7161"/>
    <w:rsid w:val="001E7395"/>
    <w:rsid w:val="001F085B"/>
    <w:rsid w:val="001F0D4C"/>
    <w:rsid w:val="001F19F3"/>
    <w:rsid w:val="001F2EEC"/>
    <w:rsid w:val="001F5235"/>
    <w:rsid w:val="001F5A9F"/>
    <w:rsid w:val="001F7D72"/>
    <w:rsid w:val="0020105A"/>
    <w:rsid w:val="002023BB"/>
    <w:rsid w:val="00205206"/>
    <w:rsid w:val="00205A39"/>
    <w:rsid w:val="00205AB3"/>
    <w:rsid w:val="00210F66"/>
    <w:rsid w:val="00217A5B"/>
    <w:rsid w:val="00221C62"/>
    <w:rsid w:val="00221C6A"/>
    <w:rsid w:val="002234BD"/>
    <w:rsid w:val="00223974"/>
    <w:rsid w:val="00226E73"/>
    <w:rsid w:val="00232D13"/>
    <w:rsid w:val="00234983"/>
    <w:rsid w:val="00236245"/>
    <w:rsid w:val="00236591"/>
    <w:rsid w:val="00236924"/>
    <w:rsid w:val="00242958"/>
    <w:rsid w:val="00243CB1"/>
    <w:rsid w:val="00247654"/>
    <w:rsid w:val="0024798D"/>
    <w:rsid w:val="002505DF"/>
    <w:rsid w:val="0025078F"/>
    <w:rsid w:val="00251A6F"/>
    <w:rsid w:val="0025275B"/>
    <w:rsid w:val="002537DF"/>
    <w:rsid w:val="0025455F"/>
    <w:rsid w:val="00255B02"/>
    <w:rsid w:val="00257450"/>
    <w:rsid w:val="00263023"/>
    <w:rsid w:val="00263892"/>
    <w:rsid w:val="002667BE"/>
    <w:rsid w:val="00267739"/>
    <w:rsid w:val="00273714"/>
    <w:rsid w:val="0027448C"/>
    <w:rsid w:val="00276842"/>
    <w:rsid w:val="0028060B"/>
    <w:rsid w:val="0028150B"/>
    <w:rsid w:val="002823E9"/>
    <w:rsid w:val="00282AF6"/>
    <w:rsid w:val="002830CD"/>
    <w:rsid w:val="00283BDA"/>
    <w:rsid w:val="00284884"/>
    <w:rsid w:val="002941DA"/>
    <w:rsid w:val="002978A8"/>
    <w:rsid w:val="002A0063"/>
    <w:rsid w:val="002A0320"/>
    <w:rsid w:val="002A1072"/>
    <w:rsid w:val="002A3A32"/>
    <w:rsid w:val="002A4551"/>
    <w:rsid w:val="002A51DB"/>
    <w:rsid w:val="002A5C0E"/>
    <w:rsid w:val="002A78CC"/>
    <w:rsid w:val="002B176D"/>
    <w:rsid w:val="002B241D"/>
    <w:rsid w:val="002B573F"/>
    <w:rsid w:val="002C13D0"/>
    <w:rsid w:val="002C5D19"/>
    <w:rsid w:val="002D0782"/>
    <w:rsid w:val="002D177B"/>
    <w:rsid w:val="002D4208"/>
    <w:rsid w:val="002D455D"/>
    <w:rsid w:val="002D5BB0"/>
    <w:rsid w:val="002D68DC"/>
    <w:rsid w:val="002E2118"/>
    <w:rsid w:val="002E3B29"/>
    <w:rsid w:val="002E3B77"/>
    <w:rsid w:val="002E6501"/>
    <w:rsid w:val="002E7087"/>
    <w:rsid w:val="002E7099"/>
    <w:rsid w:val="002E7A36"/>
    <w:rsid w:val="00300417"/>
    <w:rsid w:val="00300555"/>
    <w:rsid w:val="00300FFE"/>
    <w:rsid w:val="0030114C"/>
    <w:rsid w:val="00301D35"/>
    <w:rsid w:val="00310870"/>
    <w:rsid w:val="00312196"/>
    <w:rsid w:val="00312794"/>
    <w:rsid w:val="0031315F"/>
    <w:rsid w:val="00313675"/>
    <w:rsid w:val="00315997"/>
    <w:rsid w:val="003202AB"/>
    <w:rsid w:val="003238C0"/>
    <w:rsid w:val="003244AD"/>
    <w:rsid w:val="00325193"/>
    <w:rsid w:val="003307BC"/>
    <w:rsid w:val="0033161A"/>
    <w:rsid w:val="00335AAE"/>
    <w:rsid w:val="003361C5"/>
    <w:rsid w:val="003364D4"/>
    <w:rsid w:val="003365C7"/>
    <w:rsid w:val="003377D2"/>
    <w:rsid w:val="00345247"/>
    <w:rsid w:val="00345B60"/>
    <w:rsid w:val="00345E69"/>
    <w:rsid w:val="0035091E"/>
    <w:rsid w:val="00352DE7"/>
    <w:rsid w:val="0035302D"/>
    <w:rsid w:val="00357623"/>
    <w:rsid w:val="0036393A"/>
    <w:rsid w:val="003644D3"/>
    <w:rsid w:val="00365C53"/>
    <w:rsid w:val="00371249"/>
    <w:rsid w:val="00373579"/>
    <w:rsid w:val="00373867"/>
    <w:rsid w:val="00373894"/>
    <w:rsid w:val="00375027"/>
    <w:rsid w:val="00380ED3"/>
    <w:rsid w:val="00381ECC"/>
    <w:rsid w:val="00382ADC"/>
    <w:rsid w:val="00383AEE"/>
    <w:rsid w:val="00386359"/>
    <w:rsid w:val="00386D6E"/>
    <w:rsid w:val="003944A5"/>
    <w:rsid w:val="00394A11"/>
    <w:rsid w:val="003952C2"/>
    <w:rsid w:val="00395349"/>
    <w:rsid w:val="003955B0"/>
    <w:rsid w:val="00396E51"/>
    <w:rsid w:val="003A031A"/>
    <w:rsid w:val="003A0348"/>
    <w:rsid w:val="003A0555"/>
    <w:rsid w:val="003A2102"/>
    <w:rsid w:val="003A614B"/>
    <w:rsid w:val="003A7202"/>
    <w:rsid w:val="003B19F1"/>
    <w:rsid w:val="003B1C29"/>
    <w:rsid w:val="003B2BBD"/>
    <w:rsid w:val="003B3DCC"/>
    <w:rsid w:val="003B4442"/>
    <w:rsid w:val="003B6C62"/>
    <w:rsid w:val="003B7AE3"/>
    <w:rsid w:val="003C1A65"/>
    <w:rsid w:val="003C3215"/>
    <w:rsid w:val="003D4C5C"/>
    <w:rsid w:val="003D5FD1"/>
    <w:rsid w:val="003D6053"/>
    <w:rsid w:val="003E150F"/>
    <w:rsid w:val="003E344C"/>
    <w:rsid w:val="003E5552"/>
    <w:rsid w:val="003E55BC"/>
    <w:rsid w:val="003E7655"/>
    <w:rsid w:val="003F2D96"/>
    <w:rsid w:val="003F3D39"/>
    <w:rsid w:val="003F43E5"/>
    <w:rsid w:val="003F493E"/>
    <w:rsid w:val="003F725F"/>
    <w:rsid w:val="0040231A"/>
    <w:rsid w:val="00402901"/>
    <w:rsid w:val="00406539"/>
    <w:rsid w:val="00410515"/>
    <w:rsid w:val="00411C5F"/>
    <w:rsid w:val="00411DF1"/>
    <w:rsid w:val="00413EC0"/>
    <w:rsid w:val="004141C5"/>
    <w:rsid w:val="00416267"/>
    <w:rsid w:val="00417C1F"/>
    <w:rsid w:val="00420966"/>
    <w:rsid w:val="00421DF1"/>
    <w:rsid w:val="0042238A"/>
    <w:rsid w:val="00424BEB"/>
    <w:rsid w:val="00424C4C"/>
    <w:rsid w:val="004325A4"/>
    <w:rsid w:val="004328C7"/>
    <w:rsid w:val="00432C2C"/>
    <w:rsid w:val="004339B9"/>
    <w:rsid w:val="00433E59"/>
    <w:rsid w:val="00434A26"/>
    <w:rsid w:val="00435F45"/>
    <w:rsid w:val="0043796C"/>
    <w:rsid w:val="00437E96"/>
    <w:rsid w:val="00441BC8"/>
    <w:rsid w:val="00442E74"/>
    <w:rsid w:val="004448B4"/>
    <w:rsid w:val="00445AD1"/>
    <w:rsid w:val="004514D5"/>
    <w:rsid w:val="00453CD0"/>
    <w:rsid w:val="00454E3B"/>
    <w:rsid w:val="004563ED"/>
    <w:rsid w:val="00456831"/>
    <w:rsid w:val="0045743A"/>
    <w:rsid w:val="00462A0F"/>
    <w:rsid w:val="004654F9"/>
    <w:rsid w:val="00466B86"/>
    <w:rsid w:val="00467784"/>
    <w:rsid w:val="00471B96"/>
    <w:rsid w:val="004724D2"/>
    <w:rsid w:val="004725E9"/>
    <w:rsid w:val="00473179"/>
    <w:rsid w:val="00477006"/>
    <w:rsid w:val="0048041E"/>
    <w:rsid w:val="00480963"/>
    <w:rsid w:val="00480C07"/>
    <w:rsid w:val="00482775"/>
    <w:rsid w:val="00483B83"/>
    <w:rsid w:val="0048448B"/>
    <w:rsid w:val="004871C0"/>
    <w:rsid w:val="00487FF0"/>
    <w:rsid w:val="00490048"/>
    <w:rsid w:val="00495E29"/>
    <w:rsid w:val="00496B9C"/>
    <w:rsid w:val="004A236B"/>
    <w:rsid w:val="004A2EFF"/>
    <w:rsid w:val="004A3D99"/>
    <w:rsid w:val="004A6BFE"/>
    <w:rsid w:val="004A6C23"/>
    <w:rsid w:val="004A70CE"/>
    <w:rsid w:val="004A78C5"/>
    <w:rsid w:val="004B34BD"/>
    <w:rsid w:val="004B36DD"/>
    <w:rsid w:val="004B5C5F"/>
    <w:rsid w:val="004B7F41"/>
    <w:rsid w:val="004C1642"/>
    <w:rsid w:val="004C2528"/>
    <w:rsid w:val="004C30DA"/>
    <w:rsid w:val="004C428E"/>
    <w:rsid w:val="004D001A"/>
    <w:rsid w:val="004D4B21"/>
    <w:rsid w:val="004E3490"/>
    <w:rsid w:val="004E48E2"/>
    <w:rsid w:val="004E6A95"/>
    <w:rsid w:val="004F026D"/>
    <w:rsid w:val="004F0319"/>
    <w:rsid w:val="004F13E6"/>
    <w:rsid w:val="004F3702"/>
    <w:rsid w:val="004F5DD9"/>
    <w:rsid w:val="004F6671"/>
    <w:rsid w:val="004F6843"/>
    <w:rsid w:val="00501A6B"/>
    <w:rsid w:val="00501EB2"/>
    <w:rsid w:val="005026D7"/>
    <w:rsid w:val="00511B81"/>
    <w:rsid w:val="0051240C"/>
    <w:rsid w:val="0051272A"/>
    <w:rsid w:val="00512A1C"/>
    <w:rsid w:val="00513A51"/>
    <w:rsid w:val="00513E0D"/>
    <w:rsid w:val="00514666"/>
    <w:rsid w:val="00516C0D"/>
    <w:rsid w:val="005225D6"/>
    <w:rsid w:val="0052391B"/>
    <w:rsid w:val="00523F52"/>
    <w:rsid w:val="0052444A"/>
    <w:rsid w:val="00525997"/>
    <w:rsid w:val="00525B45"/>
    <w:rsid w:val="00527676"/>
    <w:rsid w:val="005353D7"/>
    <w:rsid w:val="0053615A"/>
    <w:rsid w:val="00537509"/>
    <w:rsid w:val="005421FB"/>
    <w:rsid w:val="0055257C"/>
    <w:rsid w:val="0055376F"/>
    <w:rsid w:val="005548E1"/>
    <w:rsid w:val="00555A1D"/>
    <w:rsid w:val="00556B32"/>
    <w:rsid w:val="00560880"/>
    <w:rsid w:val="005634D4"/>
    <w:rsid w:val="0056673A"/>
    <w:rsid w:val="005668E9"/>
    <w:rsid w:val="00570A4A"/>
    <w:rsid w:val="00570C9A"/>
    <w:rsid w:val="005720AE"/>
    <w:rsid w:val="005733FE"/>
    <w:rsid w:val="005759D0"/>
    <w:rsid w:val="00580CBC"/>
    <w:rsid w:val="00580E03"/>
    <w:rsid w:val="00581B20"/>
    <w:rsid w:val="00583DFE"/>
    <w:rsid w:val="005911B8"/>
    <w:rsid w:val="00591E58"/>
    <w:rsid w:val="00591E6C"/>
    <w:rsid w:val="005930AC"/>
    <w:rsid w:val="005A0808"/>
    <w:rsid w:val="005A49FE"/>
    <w:rsid w:val="005A57D5"/>
    <w:rsid w:val="005A59E9"/>
    <w:rsid w:val="005C04A4"/>
    <w:rsid w:val="005C244F"/>
    <w:rsid w:val="005C30F3"/>
    <w:rsid w:val="005C318B"/>
    <w:rsid w:val="005C3EED"/>
    <w:rsid w:val="005C54C6"/>
    <w:rsid w:val="005C70F7"/>
    <w:rsid w:val="005C7327"/>
    <w:rsid w:val="005C750A"/>
    <w:rsid w:val="005C7E75"/>
    <w:rsid w:val="005D0CE4"/>
    <w:rsid w:val="005D340E"/>
    <w:rsid w:val="005D6359"/>
    <w:rsid w:val="005E286B"/>
    <w:rsid w:val="005E3DEA"/>
    <w:rsid w:val="005E3E8D"/>
    <w:rsid w:val="005F752F"/>
    <w:rsid w:val="005F7EDF"/>
    <w:rsid w:val="006004DE"/>
    <w:rsid w:val="00601835"/>
    <w:rsid w:val="0060256F"/>
    <w:rsid w:val="00602FC3"/>
    <w:rsid w:val="0060679A"/>
    <w:rsid w:val="00606DD1"/>
    <w:rsid w:val="00607944"/>
    <w:rsid w:val="006101CB"/>
    <w:rsid w:val="0061100E"/>
    <w:rsid w:val="00611138"/>
    <w:rsid w:val="00612471"/>
    <w:rsid w:val="00615AD7"/>
    <w:rsid w:val="006175C3"/>
    <w:rsid w:val="00617A88"/>
    <w:rsid w:val="00617C5F"/>
    <w:rsid w:val="00621420"/>
    <w:rsid w:val="00621FAE"/>
    <w:rsid w:val="00622942"/>
    <w:rsid w:val="00623227"/>
    <w:rsid w:val="0062349E"/>
    <w:rsid w:val="006258FC"/>
    <w:rsid w:val="00630274"/>
    <w:rsid w:val="0063289D"/>
    <w:rsid w:val="00635644"/>
    <w:rsid w:val="006359C1"/>
    <w:rsid w:val="00641D29"/>
    <w:rsid w:val="00641EC2"/>
    <w:rsid w:val="0064238A"/>
    <w:rsid w:val="006424E6"/>
    <w:rsid w:val="00643118"/>
    <w:rsid w:val="00643673"/>
    <w:rsid w:val="00647141"/>
    <w:rsid w:val="0065323B"/>
    <w:rsid w:val="00654DBB"/>
    <w:rsid w:val="00654ECE"/>
    <w:rsid w:val="006552D2"/>
    <w:rsid w:val="00656097"/>
    <w:rsid w:val="00657691"/>
    <w:rsid w:val="00657FD0"/>
    <w:rsid w:val="0066282F"/>
    <w:rsid w:val="006664A4"/>
    <w:rsid w:val="006669E2"/>
    <w:rsid w:val="0067114A"/>
    <w:rsid w:val="006711CA"/>
    <w:rsid w:val="006720A2"/>
    <w:rsid w:val="006720A9"/>
    <w:rsid w:val="00672FE3"/>
    <w:rsid w:val="00673ED3"/>
    <w:rsid w:val="00675E48"/>
    <w:rsid w:val="00676E4E"/>
    <w:rsid w:val="00681BD1"/>
    <w:rsid w:val="00685C39"/>
    <w:rsid w:val="00687DE8"/>
    <w:rsid w:val="0069153B"/>
    <w:rsid w:val="00693372"/>
    <w:rsid w:val="006965EE"/>
    <w:rsid w:val="00696AF5"/>
    <w:rsid w:val="006A55F9"/>
    <w:rsid w:val="006B1854"/>
    <w:rsid w:val="006B18FC"/>
    <w:rsid w:val="006B3F7B"/>
    <w:rsid w:val="006B5090"/>
    <w:rsid w:val="006B5C39"/>
    <w:rsid w:val="006B66B0"/>
    <w:rsid w:val="006C5205"/>
    <w:rsid w:val="006C6B92"/>
    <w:rsid w:val="006D0080"/>
    <w:rsid w:val="006D00A6"/>
    <w:rsid w:val="006D3714"/>
    <w:rsid w:val="006D5C6E"/>
    <w:rsid w:val="006D774E"/>
    <w:rsid w:val="006E10CA"/>
    <w:rsid w:val="006E27EA"/>
    <w:rsid w:val="006E349D"/>
    <w:rsid w:val="006E39FA"/>
    <w:rsid w:val="006F0426"/>
    <w:rsid w:val="006F069B"/>
    <w:rsid w:val="006F18DB"/>
    <w:rsid w:val="006F5A2B"/>
    <w:rsid w:val="006F5B8A"/>
    <w:rsid w:val="006F5E4C"/>
    <w:rsid w:val="00700BBB"/>
    <w:rsid w:val="007021E3"/>
    <w:rsid w:val="00702DB0"/>
    <w:rsid w:val="007030D9"/>
    <w:rsid w:val="007032F8"/>
    <w:rsid w:val="00703643"/>
    <w:rsid w:val="007046C2"/>
    <w:rsid w:val="00704C4E"/>
    <w:rsid w:val="007107E6"/>
    <w:rsid w:val="007110FB"/>
    <w:rsid w:val="007143C0"/>
    <w:rsid w:val="00715850"/>
    <w:rsid w:val="00716089"/>
    <w:rsid w:val="00716AD6"/>
    <w:rsid w:val="00720B83"/>
    <w:rsid w:val="0072545E"/>
    <w:rsid w:val="00726742"/>
    <w:rsid w:val="0073059E"/>
    <w:rsid w:val="0073197C"/>
    <w:rsid w:val="00743912"/>
    <w:rsid w:val="007452D7"/>
    <w:rsid w:val="007452E3"/>
    <w:rsid w:val="0074754F"/>
    <w:rsid w:val="007476F0"/>
    <w:rsid w:val="00751EFB"/>
    <w:rsid w:val="00753964"/>
    <w:rsid w:val="00753FF7"/>
    <w:rsid w:val="00754A4D"/>
    <w:rsid w:val="00755807"/>
    <w:rsid w:val="00755F92"/>
    <w:rsid w:val="00761A12"/>
    <w:rsid w:val="007646F6"/>
    <w:rsid w:val="00765147"/>
    <w:rsid w:val="0076685D"/>
    <w:rsid w:val="00767816"/>
    <w:rsid w:val="0077005D"/>
    <w:rsid w:val="00770913"/>
    <w:rsid w:val="00772774"/>
    <w:rsid w:val="00773770"/>
    <w:rsid w:val="007755D9"/>
    <w:rsid w:val="0077655F"/>
    <w:rsid w:val="007802C8"/>
    <w:rsid w:val="007808F0"/>
    <w:rsid w:val="00782C9A"/>
    <w:rsid w:val="00786687"/>
    <w:rsid w:val="00787607"/>
    <w:rsid w:val="00787F25"/>
    <w:rsid w:val="00787F4B"/>
    <w:rsid w:val="0079015A"/>
    <w:rsid w:val="00790DAB"/>
    <w:rsid w:val="0079298B"/>
    <w:rsid w:val="00793BA9"/>
    <w:rsid w:val="007955CD"/>
    <w:rsid w:val="007A2777"/>
    <w:rsid w:val="007A426A"/>
    <w:rsid w:val="007A5A28"/>
    <w:rsid w:val="007A614C"/>
    <w:rsid w:val="007B00E2"/>
    <w:rsid w:val="007B2479"/>
    <w:rsid w:val="007B3446"/>
    <w:rsid w:val="007B6B90"/>
    <w:rsid w:val="007B7037"/>
    <w:rsid w:val="007C0535"/>
    <w:rsid w:val="007C0537"/>
    <w:rsid w:val="007C0E8B"/>
    <w:rsid w:val="007C279B"/>
    <w:rsid w:val="007C2BF1"/>
    <w:rsid w:val="007C3557"/>
    <w:rsid w:val="007C3D37"/>
    <w:rsid w:val="007C4242"/>
    <w:rsid w:val="007C55A1"/>
    <w:rsid w:val="007C5870"/>
    <w:rsid w:val="007D0633"/>
    <w:rsid w:val="007D139C"/>
    <w:rsid w:val="007D2304"/>
    <w:rsid w:val="007D4C3A"/>
    <w:rsid w:val="007E1154"/>
    <w:rsid w:val="007E1999"/>
    <w:rsid w:val="007E3255"/>
    <w:rsid w:val="007E44CE"/>
    <w:rsid w:val="007E508C"/>
    <w:rsid w:val="007E5791"/>
    <w:rsid w:val="007E5BF9"/>
    <w:rsid w:val="007E5EF0"/>
    <w:rsid w:val="007E746B"/>
    <w:rsid w:val="007F02AF"/>
    <w:rsid w:val="007F22C1"/>
    <w:rsid w:val="007F22C3"/>
    <w:rsid w:val="007F6B53"/>
    <w:rsid w:val="00800691"/>
    <w:rsid w:val="0080156B"/>
    <w:rsid w:val="00806B28"/>
    <w:rsid w:val="00806CB7"/>
    <w:rsid w:val="00811045"/>
    <w:rsid w:val="008111CF"/>
    <w:rsid w:val="008132A0"/>
    <w:rsid w:val="0081340F"/>
    <w:rsid w:val="00813EB6"/>
    <w:rsid w:val="00813FC2"/>
    <w:rsid w:val="00815539"/>
    <w:rsid w:val="008203BA"/>
    <w:rsid w:val="008205BC"/>
    <w:rsid w:val="00820AF0"/>
    <w:rsid w:val="00822AA8"/>
    <w:rsid w:val="0082341D"/>
    <w:rsid w:val="008236FC"/>
    <w:rsid w:val="00825863"/>
    <w:rsid w:val="00826F1A"/>
    <w:rsid w:val="00827162"/>
    <w:rsid w:val="0082759D"/>
    <w:rsid w:val="008276D1"/>
    <w:rsid w:val="008304AA"/>
    <w:rsid w:val="0083239E"/>
    <w:rsid w:val="008327B3"/>
    <w:rsid w:val="008334D5"/>
    <w:rsid w:val="00833651"/>
    <w:rsid w:val="00835278"/>
    <w:rsid w:val="00835738"/>
    <w:rsid w:val="008404F9"/>
    <w:rsid w:val="0084167B"/>
    <w:rsid w:val="00841A06"/>
    <w:rsid w:val="008427F6"/>
    <w:rsid w:val="00846612"/>
    <w:rsid w:val="008473FE"/>
    <w:rsid w:val="00850F11"/>
    <w:rsid w:val="00854055"/>
    <w:rsid w:val="00854516"/>
    <w:rsid w:val="00857181"/>
    <w:rsid w:val="008628C8"/>
    <w:rsid w:val="00863CBA"/>
    <w:rsid w:val="00864289"/>
    <w:rsid w:val="0087109A"/>
    <w:rsid w:val="008720D1"/>
    <w:rsid w:val="00872AA9"/>
    <w:rsid w:val="00872CF5"/>
    <w:rsid w:val="0087326A"/>
    <w:rsid w:val="0087408D"/>
    <w:rsid w:val="00874EEA"/>
    <w:rsid w:val="00875287"/>
    <w:rsid w:val="00877145"/>
    <w:rsid w:val="008775D6"/>
    <w:rsid w:val="00880284"/>
    <w:rsid w:val="00880409"/>
    <w:rsid w:val="0088079D"/>
    <w:rsid w:val="00885B78"/>
    <w:rsid w:val="0088714B"/>
    <w:rsid w:val="0089163A"/>
    <w:rsid w:val="00893670"/>
    <w:rsid w:val="008978E8"/>
    <w:rsid w:val="008A0D8D"/>
    <w:rsid w:val="008A283F"/>
    <w:rsid w:val="008A4A99"/>
    <w:rsid w:val="008A5439"/>
    <w:rsid w:val="008A72A3"/>
    <w:rsid w:val="008B17D5"/>
    <w:rsid w:val="008B3B7E"/>
    <w:rsid w:val="008B630F"/>
    <w:rsid w:val="008C019B"/>
    <w:rsid w:val="008C0B04"/>
    <w:rsid w:val="008C0F29"/>
    <w:rsid w:val="008C33A5"/>
    <w:rsid w:val="008C34D2"/>
    <w:rsid w:val="008D112C"/>
    <w:rsid w:val="008D16C2"/>
    <w:rsid w:val="008D1792"/>
    <w:rsid w:val="008D4D48"/>
    <w:rsid w:val="008E021D"/>
    <w:rsid w:val="008E2ED4"/>
    <w:rsid w:val="008E3BF7"/>
    <w:rsid w:val="008E3C23"/>
    <w:rsid w:val="008E6B81"/>
    <w:rsid w:val="008E76E6"/>
    <w:rsid w:val="008F0FD0"/>
    <w:rsid w:val="008F5B96"/>
    <w:rsid w:val="008F6FD2"/>
    <w:rsid w:val="0090017C"/>
    <w:rsid w:val="00900BF1"/>
    <w:rsid w:val="009015F8"/>
    <w:rsid w:val="00901649"/>
    <w:rsid w:val="009034E0"/>
    <w:rsid w:val="00903F90"/>
    <w:rsid w:val="00904B88"/>
    <w:rsid w:val="009111D5"/>
    <w:rsid w:val="00912A60"/>
    <w:rsid w:val="00914266"/>
    <w:rsid w:val="00916CC8"/>
    <w:rsid w:val="00916E4C"/>
    <w:rsid w:val="00920AE6"/>
    <w:rsid w:val="0092124A"/>
    <w:rsid w:val="0092287D"/>
    <w:rsid w:val="00922E89"/>
    <w:rsid w:val="00923570"/>
    <w:rsid w:val="009260C4"/>
    <w:rsid w:val="0092700F"/>
    <w:rsid w:val="009274A2"/>
    <w:rsid w:val="00927895"/>
    <w:rsid w:val="00931220"/>
    <w:rsid w:val="00931DC0"/>
    <w:rsid w:val="0093212E"/>
    <w:rsid w:val="00935766"/>
    <w:rsid w:val="00940C69"/>
    <w:rsid w:val="00945193"/>
    <w:rsid w:val="00946D74"/>
    <w:rsid w:val="00947642"/>
    <w:rsid w:val="00950DC6"/>
    <w:rsid w:val="009529A6"/>
    <w:rsid w:val="00952D2E"/>
    <w:rsid w:val="0095335D"/>
    <w:rsid w:val="00953D35"/>
    <w:rsid w:val="0095454B"/>
    <w:rsid w:val="009579C4"/>
    <w:rsid w:val="00957F9D"/>
    <w:rsid w:val="009663AD"/>
    <w:rsid w:val="009666CE"/>
    <w:rsid w:val="00970690"/>
    <w:rsid w:val="009720EA"/>
    <w:rsid w:val="0097694B"/>
    <w:rsid w:val="00977719"/>
    <w:rsid w:val="00980789"/>
    <w:rsid w:val="009819AF"/>
    <w:rsid w:val="00982117"/>
    <w:rsid w:val="0098396E"/>
    <w:rsid w:val="00984458"/>
    <w:rsid w:val="00985485"/>
    <w:rsid w:val="009855DE"/>
    <w:rsid w:val="00987810"/>
    <w:rsid w:val="009902C1"/>
    <w:rsid w:val="009915DC"/>
    <w:rsid w:val="00993A7C"/>
    <w:rsid w:val="009A17B4"/>
    <w:rsid w:val="009A3C83"/>
    <w:rsid w:val="009A448C"/>
    <w:rsid w:val="009A714A"/>
    <w:rsid w:val="009B0236"/>
    <w:rsid w:val="009B324D"/>
    <w:rsid w:val="009B472E"/>
    <w:rsid w:val="009B4A18"/>
    <w:rsid w:val="009B6525"/>
    <w:rsid w:val="009B77CB"/>
    <w:rsid w:val="009C2962"/>
    <w:rsid w:val="009C3370"/>
    <w:rsid w:val="009C4404"/>
    <w:rsid w:val="009C6590"/>
    <w:rsid w:val="009C70AA"/>
    <w:rsid w:val="009D3CE8"/>
    <w:rsid w:val="009D47EF"/>
    <w:rsid w:val="009D4C1B"/>
    <w:rsid w:val="009D4EA6"/>
    <w:rsid w:val="009D7CA7"/>
    <w:rsid w:val="009E06D4"/>
    <w:rsid w:val="009E1392"/>
    <w:rsid w:val="009E2686"/>
    <w:rsid w:val="009E2A3A"/>
    <w:rsid w:val="009E3FC1"/>
    <w:rsid w:val="009F0D99"/>
    <w:rsid w:val="009F1CC9"/>
    <w:rsid w:val="009F2393"/>
    <w:rsid w:val="009F63BD"/>
    <w:rsid w:val="009F7C6A"/>
    <w:rsid w:val="009F7FFC"/>
    <w:rsid w:val="00A0202D"/>
    <w:rsid w:val="00A02674"/>
    <w:rsid w:val="00A027AA"/>
    <w:rsid w:val="00A04C6C"/>
    <w:rsid w:val="00A06A22"/>
    <w:rsid w:val="00A06D1D"/>
    <w:rsid w:val="00A101DB"/>
    <w:rsid w:val="00A1210F"/>
    <w:rsid w:val="00A15F03"/>
    <w:rsid w:val="00A1617D"/>
    <w:rsid w:val="00A2208A"/>
    <w:rsid w:val="00A233DE"/>
    <w:rsid w:val="00A2361F"/>
    <w:rsid w:val="00A24EBB"/>
    <w:rsid w:val="00A27819"/>
    <w:rsid w:val="00A339D0"/>
    <w:rsid w:val="00A36823"/>
    <w:rsid w:val="00A36839"/>
    <w:rsid w:val="00A37D51"/>
    <w:rsid w:val="00A42431"/>
    <w:rsid w:val="00A42E50"/>
    <w:rsid w:val="00A43772"/>
    <w:rsid w:val="00A44D0B"/>
    <w:rsid w:val="00A52A13"/>
    <w:rsid w:val="00A52A15"/>
    <w:rsid w:val="00A52B6F"/>
    <w:rsid w:val="00A540FC"/>
    <w:rsid w:val="00A57B48"/>
    <w:rsid w:val="00A60BF7"/>
    <w:rsid w:val="00A6108F"/>
    <w:rsid w:val="00A6159D"/>
    <w:rsid w:val="00A62EC0"/>
    <w:rsid w:val="00A646B4"/>
    <w:rsid w:val="00A66284"/>
    <w:rsid w:val="00A66934"/>
    <w:rsid w:val="00A66E80"/>
    <w:rsid w:val="00A6741D"/>
    <w:rsid w:val="00A70145"/>
    <w:rsid w:val="00A73F53"/>
    <w:rsid w:val="00A74A88"/>
    <w:rsid w:val="00A757D6"/>
    <w:rsid w:val="00A8241B"/>
    <w:rsid w:val="00A85162"/>
    <w:rsid w:val="00A85C27"/>
    <w:rsid w:val="00A86333"/>
    <w:rsid w:val="00A86E9B"/>
    <w:rsid w:val="00A87475"/>
    <w:rsid w:val="00A87DA2"/>
    <w:rsid w:val="00A927D0"/>
    <w:rsid w:val="00A92CAA"/>
    <w:rsid w:val="00A93C65"/>
    <w:rsid w:val="00A943F6"/>
    <w:rsid w:val="00AA1071"/>
    <w:rsid w:val="00AA1ACE"/>
    <w:rsid w:val="00AA3DCC"/>
    <w:rsid w:val="00AA61C2"/>
    <w:rsid w:val="00AA7851"/>
    <w:rsid w:val="00AB21DD"/>
    <w:rsid w:val="00AB2CF6"/>
    <w:rsid w:val="00AB418C"/>
    <w:rsid w:val="00AB77AC"/>
    <w:rsid w:val="00AC0461"/>
    <w:rsid w:val="00AC1326"/>
    <w:rsid w:val="00AC2094"/>
    <w:rsid w:val="00AC2553"/>
    <w:rsid w:val="00AC2CF5"/>
    <w:rsid w:val="00AC3726"/>
    <w:rsid w:val="00AC3A38"/>
    <w:rsid w:val="00AC500D"/>
    <w:rsid w:val="00AC504C"/>
    <w:rsid w:val="00AC6AC1"/>
    <w:rsid w:val="00AC701A"/>
    <w:rsid w:val="00AD3184"/>
    <w:rsid w:val="00AE0673"/>
    <w:rsid w:val="00AE24CE"/>
    <w:rsid w:val="00AE2C15"/>
    <w:rsid w:val="00AE3504"/>
    <w:rsid w:val="00AE3868"/>
    <w:rsid w:val="00AE3DF3"/>
    <w:rsid w:val="00AE512C"/>
    <w:rsid w:val="00AE6445"/>
    <w:rsid w:val="00AF1A5A"/>
    <w:rsid w:val="00AF22C0"/>
    <w:rsid w:val="00AF2416"/>
    <w:rsid w:val="00AF2A8C"/>
    <w:rsid w:val="00AF4B70"/>
    <w:rsid w:val="00B0116C"/>
    <w:rsid w:val="00B012CC"/>
    <w:rsid w:val="00B073E2"/>
    <w:rsid w:val="00B07DB9"/>
    <w:rsid w:val="00B12C5E"/>
    <w:rsid w:val="00B14359"/>
    <w:rsid w:val="00B156EC"/>
    <w:rsid w:val="00B204A4"/>
    <w:rsid w:val="00B213B7"/>
    <w:rsid w:val="00B22E29"/>
    <w:rsid w:val="00B2319F"/>
    <w:rsid w:val="00B31E59"/>
    <w:rsid w:val="00B33687"/>
    <w:rsid w:val="00B373E9"/>
    <w:rsid w:val="00B4028A"/>
    <w:rsid w:val="00B4364D"/>
    <w:rsid w:val="00B446B4"/>
    <w:rsid w:val="00B44D99"/>
    <w:rsid w:val="00B46055"/>
    <w:rsid w:val="00B4645F"/>
    <w:rsid w:val="00B46C90"/>
    <w:rsid w:val="00B53217"/>
    <w:rsid w:val="00B5733E"/>
    <w:rsid w:val="00B60855"/>
    <w:rsid w:val="00B628AA"/>
    <w:rsid w:val="00B62B79"/>
    <w:rsid w:val="00B63696"/>
    <w:rsid w:val="00B6528B"/>
    <w:rsid w:val="00B67644"/>
    <w:rsid w:val="00B7004C"/>
    <w:rsid w:val="00B716DB"/>
    <w:rsid w:val="00B71D01"/>
    <w:rsid w:val="00B72923"/>
    <w:rsid w:val="00B74D6C"/>
    <w:rsid w:val="00B753E3"/>
    <w:rsid w:val="00B75653"/>
    <w:rsid w:val="00B75BA6"/>
    <w:rsid w:val="00B76693"/>
    <w:rsid w:val="00B83225"/>
    <w:rsid w:val="00B878C9"/>
    <w:rsid w:val="00B87FF5"/>
    <w:rsid w:val="00B92D43"/>
    <w:rsid w:val="00B935EE"/>
    <w:rsid w:val="00B958AE"/>
    <w:rsid w:val="00BA1952"/>
    <w:rsid w:val="00BA2BDF"/>
    <w:rsid w:val="00BA33F0"/>
    <w:rsid w:val="00BA3F74"/>
    <w:rsid w:val="00BA545D"/>
    <w:rsid w:val="00BA765D"/>
    <w:rsid w:val="00BB10F7"/>
    <w:rsid w:val="00BB132F"/>
    <w:rsid w:val="00BB2602"/>
    <w:rsid w:val="00BB3335"/>
    <w:rsid w:val="00BB34D9"/>
    <w:rsid w:val="00BB3F1C"/>
    <w:rsid w:val="00BB5320"/>
    <w:rsid w:val="00BB5840"/>
    <w:rsid w:val="00BB617C"/>
    <w:rsid w:val="00BC0556"/>
    <w:rsid w:val="00BC21EC"/>
    <w:rsid w:val="00BC28E7"/>
    <w:rsid w:val="00BC3693"/>
    <w:rsid w:val="00BD272A"/>
    <w:rsid w:val="00BD3350"/>
    <w:rsid w:val="00BD3A96"/>
    <w:rsid w:val="00BD5B6C"/>
    <w:rsid w:val="00BD6C44"/>
    <w:rsid w:val="00BE3113"/>
    <w:rsid w:val="00BE3198"/>
    <w:rsid w:val="00BE4719"/>
    <w:rsid w:val="00BE4F00"/>
    <w:rsid w:val="00BE4FE6"/>
    <w:rsid w:val="00BE65EF"/>
    <w:rsid w:val="00BE6870"/>
    <w:rsid w:val="00BF01B7"/>
    <w:rsid w:val="00BF0675"/>
    <w:rsid w:val="00BF1323"/>
    <w:rsid w:val="00BF2CBF"/>
    <w:rsid w:val="00BF2DD7"/>
    <w:rsid w:val="00BF31E5"/>
    <w:rsid w:val="00BF3C53"/>
    <w:rsid w:val="00BF5082"/>
    <w:rsid w:val="00BF6B13"/>
    <w:rsid w:val="00BF75B0"/>
    <w:rsid w:val="00BF79A2"/>
    <w:rsid w:val="00C003AE"/>
    <w:rsid w:val="00C03BAE"/>
    <w:rsid w:val="00C040CF"/>
    <w:rsid w:val="00C065A4"/>
    <w:rsid w:val="00C068EF"/>
    <w:rsid w:val="00C0721D"/>
    <w:rsid w:val="00C10450"/>
    <w:rsid w:val="00C11F7F"/>
    <w:rsid w:val="00C1289E"/>
    <w:rsid w:val="00C132CA"/>
    <w:rsid w:val="00C15C58"/>
    <w:rsid w:val="00C169B3"/>
    <w:rsid w:val="00C16B3D"/>
    <w:rsid w:val="00C20043"/>
    <w:rsid w:val="00C20DFF"/>
    <w:rsid w:val="00C24BA6"/>
    <w:rsid w:val="00C2536E"/>
    <w:rsid w:val="00C26792"/>
    <w:rsid w:val="00C27233"/>
    <w:rsid w:val="00C27FEF"/>
    <w:rsid w:val="00C3356D"/>
    <w:rsid w:val="00C33F25"/>
    <w:rsid w:val="00C34377"/>
    <w:rsid w:val="00C359F1"/>
    <w:rsid w:val="00C377B2"/>
    <w:rsid w:val="00C408B3"/>
    <w:rsid w:val="00C40DFF"/>
    <w:rsid w:val="00C4260A"/>
    <w:rsid w:val="00C4489F"/>
    <w:rsid w:val="00C44D36"/>
    <w:rsid w:val="00C46951"/>
    <w:rsid w:val="00C479A3"/>
    <w:rsid w:val="00C509B1"/>
    <w:rsid w:val="00C525A1"/>
    <w:rsid w:val="00C5283B"/>
    <w:rsid w:val="00C52DD6"/>
    <w:rsid w:val="00C60070"/>
    <w:rsid w:val="00C6067A"/>
    <w:rsid w:val="00C61939"/>
    <w:rsid w:val="00C622CE"/>
    <w:rsid w:val="00C65844"/>
    <w:rsid w:val="00C65DE3"/>
    <w:rsid w:val="00C721BE"/>
    <w:rsid w:val="00C754B3"/>
    <w:rsid w:val="00C75FAA"/>
    <w:rsid w:val="00C765A8"/>
    <w:rsid w:val="00C81517"/>
    <w:rsid w:val="00C81C6F"/>
    <w:rsid w:val="00C834E8"/>
    <w:rsid w:val="00C865AD"/>
    <w:rsid w:val="00C978D4"/>
    <w:rsid w:val="00CA12DC"/>
    <w:rsid w:val="00CA40FB"/>
    <w:rsid w:val="00CB1A8B"/>
    <w:rsid w:val="00CB6240"/>
    <w:rsid w:val="00CB62F6"/>
    <w:rsid w:val="00CC07D2"/>
    <w:rsid w:val="00CC0F47"/>
    <w:rsid w:val="00CC13DF"/>
    <w:rsid w:val="00CC1F32"/>
    <w:rsid w:val="00CC3A5C"/>
    <w:rsid w:val="00CC633A"/>
    <w:rsid w:val="00CC7664"/>
    <w:rsid w:val="00CD135B"/>
    <w:rsid w:val="00CD3CF7"/>
    <w:rsid w:val="00CD3ED5"/>
    <w:rsid w:val="00CD442B"/>
    <w:rsid w:val="00CE0774"/>
    <w:rsid w:val="00CE1394"/>
    <w:rsid w:val="00CE3B03"/>
    <w:rsid w:val="00CE488F"/>
    <w:rsid w:val="00CE6EBC"/>
    <w:rsid w:val="00CE708C"/>
    <w:rsid w:val="00CE755D"/>
    <w:rsid w:val="00CF4930"/>
    <w:rsid w:val="00CF49FE"/>
    <w:rsid w:val="00CF6382"/>
    <w:rsid w:val="00CF6ECC"/>
    <w:rsid w:val="00CF73B0"/>
    <w:rsid w:val="00CF7760"/>
    <w:rsid w:val="00D020E5"/>
    <w:rsid w:val="00D02737"/>
    <w:rsid w:val="00D02B58"/>
    <w:rsid w:val="00D03758"/>
    <w:rsid w:val="00D03ADF"/>
    <w:rsid w:val="00D06017"/>
    <w:rsid w:val="00D061D8"/>
    <w:rsid w:val="00D065C7"/>
    <w:rsid w:val="00D107C9"/>
    <w:rsid w:val="00D1271A"/>
    <w:rsid w:val="00D1497F"/>
    <w:rsid w:val="00D15391"/>
    <w:rsid w:val="00D15B52"/>
    <w:rsid w:val="00D165DB"/>
    <w:rsid w:val="00D2172E"/>
    <w:rsid w:val="00D22991"/>
    <w:rsid w:val="00D2304A"/>
    <w:rsid w:val="00D230F6"/>
    <w:rsid w:val="00D23246"/>
    <w:rsid w:val="00D23AB9"/>
    <w:rsid w:val="00D26752"/>
    <w:rsid w:val="00D270E7"/>
    <w:rsid w:val="00D30106"/>
    <w:rsid w:val="00D31035"/>
    <w:rsid w:val="00D31676"/>
    <w:rsid w:val="00D33959"/>
    <w:rsid w:val="00D36416"/>
    <w:rsid w:val="00D37183"/>
    <w:rsid w:val="00D37969"/>
    <w:rsid w:val="00D37D72"/>
    <w:rsid w:val="00D37F4E"/>
    <w:rsid w:val="00D41159"/>
    <w:rsid w:val="00D4564A"/>
    <w:rsid w:val="00D47783"/>
    <w:rsid w:val="00D501D3"/>
    <w:rsid w:val="00D50ED4"/>
    <w:rsid w:val="00D525A6"/>
    <w:rsid w:val="00D54C38"/>
    <w:rsid w:val="00D573CB"/>
    <w:rsid w:val="00D60A5E"/>
    <w:rsid w:val="00D64401"/>
    <w:rsid w:val="00D7121C"/>
    <w:rsid w:val="00D7268B"/>
    <w:rsid w:val="00D73002"/>
    <w:rsid w:val="00D74489"/>
    <w:rsid w:val="00D76562"/>
    <w:rsid w:val="00D7694F"/>
    <w:rsid w:val="00D77691"/>
    <w:rsid w:val="00D81E77"/>
    <w:rsid w:val="00D82758"/>
    <w:rsid w:val="00D836C4"/>
    <w:rsid w:val="00D8519C"/>
    <w:rsid w:val="00D861D0"/>
    <w:rsid w:val="00D86A2F"/>
    <w:rsid w:val="00D9466E"/>
    <w:rsid w:val="00D96EEC"/>
    <w:rsid w:val="00DA62CF"/>
    <w:rsid w:val="00DB0160"/>
    <w:rsid w:val="00DB44A4"/>
    <w:rsid w:val="00DB4CC0"/>
    <w:rsid w:val="00DB6CCF"/>
    <w:rsid w:val="00DC05A9"/>
    <w:rsid w:val="00DC1E8F"/>
    <w:rsid w:val="00DC4595"/>
    <w:rsid w:val="00DC461D"/>
    <w:rsid w:val="00DC5463"/>
    <w:rsid w:val="00DC67E4"/>
    <w:rsid w:val="00DD1DFF"/>
    <w:rsid w:val="00DD2CB1"/>
    <w:rsid w:val="00DD4C7F"/>
    <w:rsid w:val="00DD5A22"/>
    <w:rsid w:val="00DD664E"/>
    <w:rsid w:val="00DD7D66"/>
    <w:rsid w:val="00DE0DCE"/>
    <w:rsid w:val="00DE3B11"/>
    <w:rsid w:val="00DE44D1"/>
    <w:rsid w:val="00DE7D92"/>
    <w:rsid w:val="00DF1FBA"/>
    <w:rsid w:val="00DF2A4B"/>
    <w:rsid w:val="00DF3083"/>
    <w:rsid w:val="00DF30E5"/>
    <w:rsid w:val="00DF54F5"/>
    <w:rsid w:val="00DF6CAA"/>
    <w:rsid w:val="00DF7D36"/>
    <w:rsid w:val="00E00617"/>
    <w:rsid w:val="00E0112A"/>
    <w:rsid w:val="00E01FA5"/>
    <w:rsid w:val="00E031A7"/>
    <w:rsid w:val="00E05BEF"/>
    <w:rsid w:val="00E100E2"/>
    <w:rsid w:val="00E111FE"/>
    <w:rsid w:val="00E147A8"/>
    <w:rsid w:val="00E17879"/>
    <w:rsid w:val="00E210A5"/>
    <w:rsid w:val="00E23449"/>
    <w:rsid w:val="00E2445E"/>
    <w:rsid w:val="00E246F8"/>
    <w:rsid w:val="00E25973"/>
    <w:rsid w:val="00E3069F"/>
    <w:rsid w:val="00E345D5"/>
    <w:rsid w:val="00E34BA2"/>
    <w:rsid w:val="00E36356"/>
    <w:rsid w:val="00E365ED"/>
    <w:rsid w:val="00E40F61"/>
    <w:rsid w:val="00E4590B"/>
    <w:rsid w:val="00E52757"/>
    <w:rsid w:val="00E52A63"/>
    <w:rsid w:val="00E52B87"/>
    <w:rsid w:val="00E54211"/>
    <w:rsid w:val="00E561D5"/>
    <w:rsid w:val="00E57A44"/>
    <w:rsid w:val="00E57CDB"/>
    <w:rsid w:val="00E6089D"/>
    <w:rsid w:val="00E6176E"/>
    <w:rsid w:val="00E623D5"/>
    <w:rsid w:val="00E63938"/>
    <w:rsid w:val="00E63A89"/>
    <w:rsid w:val="00E666E0"/>
    <w:rsid w:val="00E67CE5"/>
    <w:rsid w:val="00E703F7"/>
    <w:rsid w:val="00E72AB8"/>
    <w:rsid w:val="00E72C4D"/>
    <w:rsid w:val="00E72FA5"/>
    <w:rsid w:val="00E738AF"/>
    <w:rsid w:val="00E73E82"/>
    <w:rsid w:val="00E74031"/>
    <w:rsid w:val="00E74A93"/>
    <w:rsid w:val="00E74E63"/>
    <w:rsid w:val="00E824F4"/>
    <w:rsid w:val="00E835F9"/>
    <w:rsid w:val="00E83DFA"/>
    <w:rsid w:val="00E87694"/>
    <w:rsid w:val="00E90B0A"/>
    <w:rsid w:val="00E90C59"/>
    <w:rsid w:val="00E924BF"/>
    <w:rsid w:val="00E9552D"/>
    <w:rsid w:val="00E95666"/>
    <w:rsid w:val="00E970FC"/>
    <w:rsid w:val="00EA0989"/>
    <w:rsid w:val="00EA17A5"/>
    <w:rsid w:val="00EA2BAA"/>
    <w:rsid w:val="00EA32C1"/>
    <w:rsid w:val="00EA66C5"/>
    <w:rsid w:val="00EA7330"/>
    <w:rsid w:val="00EB1B25"/>
    <w:rsid w:val="00EB4D61"/>
    <w:rsid w:val="00EB61E3"/>
    <w:rsid w:val="00EB6677"/>
    <w:rsid w:val="00EB6BA1"/>
    <w:rsid w:val="00EC0571"/>
    <w:rsid w:val="00EC1611"/>
    <w:rsid w:val="00EC2E4A"/>
    <w:rsid w:val="00EC38E0"/>
    <w:rsid w:val="00EC49AC"/>
    <w:rsid w:val="00EC649D"/>
    <w:rsid w:val="00EC6FF8"/>
    <w:rsid w:val="00EC717E"/>
    <w:rsid w:val="00ED34BC"/>
    <w:rsid w:val="00ED3597"/>
    <w:rsid w:val="00ED4BD2"/>
    <w:rsid w:val="00ED5F4D"/>
    <w:rsid w:val="00ED691A"/>
    <w:rsid w:val="00ED7397"/>
    <w:rsid w:val="00EE41F4"/>
    <w:rsid w:val="00EE6FAE"/>
    <w:rsid w:val="00EE76D5"/>
    <w:rsid w:val="00EF607D"/>
    <w:rsid w:val="00EF6495"/>
    <w:rsid w:val="00EF7D58"/>
    <w:rsid w:val="00F05699"/>
    <w:rsid w:val="00F0759B"/>
    <w:rsid w:val="00F1096F"/>
    <w:rsid w:val="00F13E44"/>
    <w:rsid w:val="00F144AD"/>
    <w:rsid w:val="00F15B58"/>
    <w:rsid w:val="00F15E17"/>
    <w:rsid w:val="00F179FC"/>
    <w:rsid w:val="00F20ED4"/>
    <w:rsid w:val="00F223CB"/>
    <w:rsid w:val="00F22E98"/>
    <w:rsid w:val="00F2315A"/>
    <w:rsid w:val="00F2325E"/>
    <w:rsid w:val="00F24249"/>
    <w:rsid w:val="00F25449"/>
    <w:rsid w:val="00F255B7"/>
    <w:rsid w:val="00F31171"/>
    <w:rsid w:val="00F313C1"/>
    <w:rsid w:val="00F314A2"/>
    <w:rsid w:val="00F317AB"/>
    <w:rsid w:val="00F318E1"/>
    <w:rsid w:val="00F33CE8"/>
    <w:rsid w:val="00F3425A"/>
    <w:rsid w:val="00F3561C"/>
    <w:rsid w:val="00F4037E"/>
    <w:rsid w:val="00F434EE"/>
    <w:rsid w:val="00F4383D"/>
    <w:rsid w:val="00F44826"/>
    <w:rsid w:val="00F5317A"/>
    <w:rsid w:val="00F54301"/>
    <w:rsid w:val="00F56463"/>
    <w:rsid w:val="00F61023"/>
    <w:rsid w:val="00F634C6"/>
    <w:rsid w:val="00F639F2"/>
    <w:rsid w:val="00F63A8E"/>
    <w:rsid w:val="00F650B1"/>
    <w:rsid w:val="00F66470"/>
    <w:rsid w:val="00F66871"/>
    <w:rsid w:val="00F700E5"/>
    <w:rsid w:val="00F70114"/>
    <w:rsid w:val="00F7190F"/>
    <w:rsid w:val="00F71F08"/>
    <w:rsid w:val="00F72CD0"/>
    <w:rsid w:val="00F73EF7"/>
    <w:rsid w:val="00F75277"/>
    <w:rsid w:val="00F75A66"/>
    <w:rsid w:val="00F75A85"/>
    <w:rsid w:val="00F81667"/>
    <w:rsid w:val="00F83D51"/>
    <w:rsid w:val="00F90440"/>
    <w:rsid w:val="00F92021"/>
    <w:rsid w:val="00F94058"/>
    <w:rsid w:val="00F95549"/>
    <w:rsid w:val="00F969B7"/>
    <w:rsid w:val="00FA118D"/>
    <w:rsid w:val="00FA6886"/>
    <w:rsid w:val="00FA6F39"/>
    <w:rsid w:val="00FB105E"/>
    <w:rsid w:val="00FB1EAC"/>
    <w:rsid w:val="00FB34AF"/>
    <w:rsid w:val="00FB4074"/>
    <w:rsid w:val="00FB5B34"/>
    <w:rsid w:val="00FB73C0"/>
    <w:rsid w:val="00FC150C"/>
    <w:rsid w:val="00FC222F"/>
    <w:rsid w:val="00FC26C3"/>
    <w:rsid w:val="00FC4A23"/>
    <w:rsid w:val="00FC6377"/>
    <w:rsid w:val="00FD1046"/>
    <w:rsid w:val="00FD5D66"/>
    <w:rsid w:val="00FD6033"/>
    <w:rsid w:val="00FD6D31"/>
    <w:rsid w:val="00FE47AC"/>
    <w:rsid w:val="00FE7F22"/>
    <w:rsid w:val="00FE7F41"/>
    <w:rsid w:val="00FF4A08"/>
    <w:rsid w:val="00FF73AB"/>
    <w:rsid w:val="00FF7A58"/>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871EE5"/>
  <w15:docId w15:val="{C8D2AB1E-4335-4EA7-8D7F-C6DC2161A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uiPriority="9" w:qFormat="1"/>
    <w:lsdException w:name="Followed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2">
    <w:name w:val="heading 2"/>
    <w:basedOn w:val="a"/>
    <w:next w:val="a0"/>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
    <w:name w:val="heading 3"/>
    <w:basedOn w:val="a"/>
    <w:next w:val="a0"/>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link w:val="40"/>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5">
    <w:name w:val="heading 5"/>
    <w:basedOn w:val="a"/>
    <w:next w:val="a0"/>
    <w:link w:val="50"/>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6">
    <w:name w:val="heading 6"/>
    <w:basedOn w:val="a"/>
    <w:next w:val="a0"/>
    <w:link w:val="6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link w:val="70"/>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link w:val="80"/>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link w:val="90"/>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5">
    <w:name w:val="Title"/>
    <w:basedOn w:val="a"/>
    <w:next w:val="a0"/>
    <w:link w:val="a6"/>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7">
    <w:name w:val="Subtitle"/>
    <w:basedOn w:val="a5"/>
    <w:next w:val="a0"/>
    <w:link w:val="a8"/>
    <w:qFormat/>
    <w:pPr>
      <w:spacing w:before="240"/>
    </w:pPr>
    <w:rPr>
      <w:sz w:val="30"/>
      <w:szCs w:val="30"/>
    </w:rPr>
  </w:style>
  <w:style w:type="paragraph" w:customStyle="1" w:styleId="Author">
    <w:name w:val="Author"/>
    <w:next w:val="a0"/>
    <w:qFormat/>
    <w:pPr>
      <w:keepNext/>
      <w:keepLines/>
      <w:jc w:val="center"/>
    </w:pPr>
  </w:style>
  <w:style w:type="paragraph" w:styleId="a9">
    <w:name w:val="Date"/>
    <w:next w:val="a0"/>
    <w:link w:val="aa"/>
    <w:qFormat/>
    <w:pPr>
      <w:keepNext/>
      <w:keepLines/>
      <w:jc w:val="center"/>
    </w:pPr>
  </w:style>
  <w:style w:type="paragraph" w:customStyle="1" w:styleId="AbstractTitle">
    <w:name w:val="Abstract Title"/>
    <w:basedOn w:val="a"/>
    <w:next w:val="Abstract"/>
    <w:qFormat/>
    <w:pPr>
      <w:keepNext/>
      <w:keepLines/>
      <w:spacing w:before="300" w:after="0"/>
      <w:jc w:val="center"/>
    </w:pPr>
    <w:rPr>
      <w:b/>
      <w:color w:val="345A8A"/>
      <w:sz w:val="20"/>
      <w:szCs w:val="20"/>
    </w:rPr>
  </w:style>
  <w:style w:type="paragraph" w:customStyle="1" w:styleId="Abstract">
    <w:name w:val="Abstract"/>
    <w:basedOn w:val="a"/>
    <w:next w:val="a0"/>
    <w:qFormat/>
    <w:pPr>
      <w:keepNext/>
      <w:keepLines/>
      <w:spacing w:before="100" w:after="300"/>
    </w:pPr>
    <w:rPr>
      <w:sz w:val="20"/>
      <w:szCs w:val="20"/>
    </w:rPr>
  </w:style>
  <w:style w:type="paragraph" w:styleId="ab">
    <w:name w:val="Bibliography"/>
    <w:basedOn w:val="a"/>
    <w:qFormat/>
    <w:pPr>
      <w:tabs>
        <w:tab w:val="left" w:pos="384"/>
      </w:tabs>
      <w:spacing w:after="0" w:line="480" w:lineRule="auto"/>
      <w:ind w:left="384" w:hanging="384"/>
    </w:pPr>
  </w:style>
  <w:style w:type="paragraph" w:styleId="ac">
    <w:name w:val="Block Text"/>
    <w:basedOn w:val="a0"/>
    <w:next w:val="a0"/>
    <w:uiPriority w:val="9"/>
    <w:unhideWhenUsed/>
    <w:qFormat/>
    <w:pPr>
      <w:spacing w:before="100" w:after="100"/>
      <w:ind w:left="480" w:right="480"/>
    </w:pPr>
  </w:style>
  <w:style w:type="paragraph" w:styleId="ad">
    <w:name w:val="footnote text"/>
    <w:basedOn w:val="a"/>
    <w:link w:val="ae"/>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f">
    <w:name w:val="caption"/>
    <w:basedOn w:val="a"/>
    <w:link w:val="af0"/>
    <w:pPr>
      <w:spacing w:after="120"/>
    </w:pPr>
    <w:rPr>
      <w:i/>
    </w:rPr>
  </w:style>
  <w:style w:type="paragraph" w:customStyle="1" w:styleId="TableCaption">
    <w:name w:val="Table Caption"/>
    <w:basedOn w:val="af"/>
    <w:pPr>
      <w:keepNext/>
    </w:pPr>
  </w:style>
  <w:style w:type="paragraph" w:customStyle="1" w:styleId="ImageCaption">
    <w:name w:val="Image Caption"/>
    <w:basedOn w:val="af"/>
  </w:style>
  <w:style w:type="paragraph" w:customStyle="1" w:styleId="Figure">
    <w:name w:val="Figure"/>
    <w:basedOn w:val="a"/>
  </w:style>
  <w:style w:type="paragraph" w:customStyle="1" w:styleId="CaptionedFigure">
    <w:name w:val="Captioned Figure"/>
    <w:basedOn w:val="Figure"/>
    <w:pPr>
      <w:keepNext/>
    </w:pPr>
  </w:style>
  <w:style w:type="character" w:customStyle="1" w:styleId="af0">
    <w:name w:val="题注 字符"/>
    <w:basedOn w:val="a1"/>
    <w:link w:val="af"/>
  </w:style>
  <w:style w:type="character" w:customStyle="1" w:styleId="VerbatimChar">
    <w:name w:val="Verbatim Char"/>
    <w:basedOn w:val="af0"/>
    <w:link w:val="SourceCode"/>
    <w:rPr>
      <w:rFonts w:ascii="Consolas" w:hAnsi="Consolas"/>
      <w:sz w:val="22"/>
    </w:rPr>
  </w:style>
  <w:style w:type="character" w:customStyle="1" w:styleId="SectionNumber">
    <w:name w:val="Section Number"/>
    <w:basedOn w:val="af0"/>
  </w:style>
  <w:style w:type="character" w:styleId="af1">
    <w:name w:val="footnote reference"/>
    <w:basedOn w:val="af0"/>
    <w:rPr>
      <w:vertAlign w:val="superscript"/>
    </w:rPr>
  </w:style>
  <w:style w:type="character" w:styleId="af2">
    <w:name w:val="Hyperlink"/>
    <w:basedOn w:val="af0"/>
    <w:rPr>
      <w:color w:val="4F81BD" w:themeColor="accent1"/>
    </w:rPr>
  </w:style>
  <w:style w:type="paragraph" w:styleId="TOC">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af3">
    <w:name w:val="annotation reference"/>
    <w:basedOn w:val="a1"/>
    <w:unhideWhenUsed/>
    <w:rsid w:val="00F94058"/>
    <w:rPr>
      <w:sz w:val="21"/>
      <w:szCs w:val="21"/>
    </w:rPr>
  </w:style>
  <w:style w:type="paragraph" w:styleId="af4">
    <w:name w:val="annotation text"/>
    <w:basedOn w:val="a"/>
    <w:link w:val="af5"/>
    <w:semiHidden/>
    <w:unhideWhenUsed/>
    <w:rsid w:val="00F94058"/>
  </w:style>
  <w:style w:type="character" w:customStyle="1" w:styleId="af5">
    <w:name w:val="批注文字 字符"/>
    <w:basedOn w:val="a1"/>
    <w:link w:val="af4"/>
    <w:semiHidden/>
    <w:rsid w:val="00F94058"/>
  </w:style>
  <w:style w:type="paragraph" w:styleId="af6">
    <w:name w:val="annotation subject"/>
    <w:basedOn w:val="af4"/>
    <w:next w:val="af4"/>
    <w:link w:val="af7"/>
    <w:semiHidden/>
    <w:unhideWhenUsed/>
    <w:rsid w:val="00F94058"/>
    <w:rPr>
      <w:b/>
      <w:bCs/>
    </w:rPr>
  </w:style>
  <w:style w:type="character" w:customStyle="1" w:styleId="af7">
    <w:name w:val="批注主题 字符"/>
    <w:basedOn w:val="af5"/>
    <w:link w:val="af6"/>
    <w:semiHidden/>
    <w:rsid w:val="00F94058"/>
    <w:rPr>
      <w:b/>
      <w:bCs/>
    </w:rPr>
  </w:style>
  <w:style w:type="paragraph" w:styleId="af8">
    <w:name w:val="Balloon Text"/>
    <w:basedOn w:val="a"/>
    <w:link w:val="af9"/>
    <w:semiHidden/>
    <w:unhideWhenUsed/>
    <w:rsid w:val="00F94058"/>
    <w:pPr>
      <w:spacing w:after="0"/>
    </w:pPr>
    <w:rPr>
      <w:sz w:val="18"/>
      <w:szCs w:val="18"/>
    </w:rPr>
  </w:style>
  <w:style w:type="character" w:customStyle="1" w:styleId="af9">
    <w:name w:val="批注框文本 字符"/>
    <w:basedOn w:val="a1"/>
    <w:link w:val="af8"/>
    <w:semiHidden/>
    <w:rsid w:val="00F94058"/>
    <w:rPr>
      <w:sz w:val="18"/>
      <w:szCs w:val="18"/>
    </w:rPr>
  </w:style>
  <w:style w:type="paragraph" w:styleId="afa">
    <w:name w:val="header"/>
    <w:basedOn w:val="a"/>
    <w:link w:val="afb"/>
    <w:unhideWhenUsed/>
    <w:rsid w:val="00195C2D"/>
    <w:pPr>
      <w:pBdr>
        <w:bottom w:val="single" w:sz="6" w:space="1" w:color="auto"/>
      </w:pBdr>
      <w:tabs>
        <w:tab w:val="center" w:pos="4153"/>
        <w:tab w:val="right" w:pos="8306"/>
      </w:tabs>
      <w:snapToGrid w:val="0"/>
      <w:jc w:val="center"/>
    </w:pPr>
    <w:rPr>
      <w:sz w:val="18"/>
      <w:szCs w:val="18"/>
    </w:rPr>
  </w:style>
  <w:style w:type="character" w:customStyle="1" w:styleId="afb">
    <w:name w:val="页眉 字符"/>
    <w:basedOn w:val="a1"/>
    <w:link w:val="afa"/>
    <w:rsid w:val="00195C2D"/>
    <w:rPr>
      <w:sz w:val="18"/>
      <w:szCs w:val="18"/>
    </w:rPr>
  </w:style>
  <w:style w:type="paragraph" w:styleId="afc">
    <w:name w:val="footer"/>
    <w:basedOn w:val="a"/>
    <w:link w:val="afd"/>
    <w:uiPriority w:val="99"/>
    <w:unhideWhenUsed/>
    <w:rsid w:val="00195C2D"/>
    <w:pPr>
      <w:tabs>
        <w:tab w:val="center" w:pos="4153"/>
        <w:tab w:val="right" w:pos="8306"/>
      </w:tabs>
      <w:snapToGrid w:val="0"/>
    </w:pPr>
    <w:rPr>
      <w:sz w:val="18"/>
      <w:szCs w:val="18"/>
    </w:rPr>
  </w:style>
  <w:style w:type="character" w:customStyle="1" w:styleId="afd">
    <w:name w:val="页脚 字符"/>
    <w:basedOn w:val="a1"/>
    <w:link w:val="afc"/>
    <w:uiPriority w:val="99"/>
    <w:rsid w:val="00195C2D"/>
    <w:rPr>
      <w:sz w:val="18"/>
      <w:szCs w:val="18"/>
    </w:rPr>
  </w:style>
  <w:style w:type="character" w:customStyle="1" w:styleId="20">
    <w:name w:val="标题 2 字符"/>
    <w:basedOn w:val="a1"/>
    <w:link w:val="2"/>
    <w:uiPriority w:val="9"/>
    <w:rsid w:val="00BE6870"/>
    <w:rPr>
      <w:rFonts w:asciiTheme="majorHAnsi" w:eastAsiaTheme="majorEastAsia" w:hAnsiTheme="majorHAnsi" w:cstheme="majorBidi"/>
      <w:b/>
      <w:bCs/>
      <w:color w:val="4F81BD" w:themeColor="accent1"/>
      <w:sz w:val="28"/>
      <w:szCs w:val="28"/>
    </w:rPr>
  </w:style>
  <w:style w:type="character" w:customStyle="1" w:styleId="a4">
    <w:name w:val="正文文本 字符"/>
    <w:basedOn w:val="a1"/>
    <w:link w:val="a0"/>
    <w:rsid w:val="0025078F"/>
  </w:style>
  <w:style w:type="character" w:customStyle="1" w:styleId="30">
    <w:name w:val="标题 3 字符"/>
    <w:basedOn w:val="a1"/>
    <w:link w:val="3"/>
    <w:uiPriority w:val="9"/>
    <w:rsid w:val="00772774"/>
    <w:rPr>
      <w:rFonts w:asciiTheme="majorHAnsi" w:eastAsiaTheme="majorEastAsia" w:hAnsiTheme="majorHAnsi" w:cstheme="majorBidi"/>
      <w:b/>
      <w:bCs/>
      <w:color w:val="4F81BD" w:themeColor="accent1"/>
    </w:rPr>
  </w:style>
  <w:style w:type="paragraph" w:styleId="afe">
    <w:name w:val="Revision"/>
    <w:hidden/>
    <w:semiHidden/>
    <w:rsid w:val="00103456"/>
    <w:pPr>
      <w:spacing w:after="0"/>
    </w:pPr>
  </w:style>
  <w:style w:type="character" w:customStyle="1" w:styleId="10">
    <w:name w:val="标题 1 字符"/>
    <w:basedOn w:val="a1"/>
    <w:link w:val="1"/>
    <w:uiPriority w:val="9"/>
    <w:rsid w:val="00CC1F32"/>
    <w:rPr>
      <w:rFonts w:asciiTheme="majorHAnsi" w:eastAsiaTheme="majorEastAsia" w:hAnsiTheme="majorHAnsi" w:cstheme="majorBidi"/>
      <w:b/>
      <w:bCs/>
      <w:color w:val="4F81BD" w:themeColor="accent1"/>
      <w:sz w:val="32"/>
      <w:szCs w:val="32"/>
    </w:rPr>
  </w:style>
  <w:style w:type="character" w:customStyle="1" w:styleId="40">
    <w:name w:val="标题 4 字符"/>
    <w:basedOn w:val="a1"/>
    <w:link w:val="4"/>
    <w:uiPriority w:val="9"/>
    <w:rsid w:val="005733FE"/>
    <w:rPr>
      <w:rFonts w:asciiTheme="majorHAnsi" w:eastAsiaTheme="majorEastAsia" w:hAnsiTheme="majorHAnsi" w:cstheme="majorBidi"/>
      <w:bCs/>
      <w:i/>
      <w:color w:val="4F81BD" w:themeColor="accent1"/>
    </w:rPr>
  </w:style>
  <w:style w:type="character" w:customStyle="1" w:styleId="50">
    <w:name w:val="标题 5 字符"/>
    <w:basedOn w:val="a1"/>
    <w:link w:val="5"/>
    <w:uiPriority w:val="9"/>
    <w:rsid w:val="005733FE"/>
    <w:rPr>
      <w:rFonts w:asciiTheme="majorHAnsi" w:eastAsiaTheme="majorEastAsia" w:hAnsiTheme="majorHAnsi" w:cstheme="majorBidi"/>
      <w:iCs/>
      <w:color w:val="4F81BD" w:themeColor="accent1"/>
    </w:rPr>
  </w:style>
  <w:style w:type="character" w:customStyle="1" w:styleId="60">
    <w:name w:val="标题 6 字符"/>
    <w:basedOn w:val="a1"/>
    <w:link w:val="6"/>
    <w:uiPriority w:val="9"/>
    <w:rsid w:val="005733FE"/>
    <w:rPr>
      <w:rFonts w:asciiTheme="majorHAnsi" w:eastAsiaTheme="majorEastAsia" w:hAnsiTheme="majorHAnsi" w:cstheme="majorBidi"/>
      <w:color w:val="4F81BD" w:themeColor="accent1"/>
    </w:rPr>
  </w:style>
  <w:style w:type="character" w:customStyle="1" w:styleId="70">
    <w:name w:val="标题 7 字符"/>
    <w:basedOn w:val="a1"/>
    <w:link w:val="7"/>
    <w:uiPriority w:val="9"/>
    <w:rsid w:val="005733FE"/>
    <w:rPr>
      <w:rFonts w:asciiTheme="majorHAnsi" w:eastAsiaTheme="majorEastAsia" w:hAnsiTheme="majorHAnsi" w:cstheme="majorBidi"/>
      <w:color w:val="4F81BD" w:themeColor="accent1"/>
    </w:rPr>
  </w:style>
  <w:style w:type="character" w:customStyle="1" w:styleId="80">
    <w:name w:val="标题 8 字符"/>
    <w:basedOn w:val="a1"/>
    <w:link w:val="8"/>
    <w:uiPriority w:val="9"/>
    <w:rsid w:val="005733FE"/>
    <w:rPr>
      <w:rFonts w:asciiTheme="majorHAnsi" w:eastAsiaTheme="majorEastAsia" w:hAnsiTheme="majorHAnsi" w:cstheme="majorBidi"/>
      <w:color w:val="4F81BD" w:themeColor="accent1"/>
    </w:rPr>
  </w:style>
  <w:style w:type="character" w:customStyle="1" w:styleId="90">
    <w:name w:val="标题 9 字符"/>
    <w:basedOn w:val="a1"/>
    <w:link w:val="9"/>
    <w:uiPriority w:val="9"/>
    <w:rsid w:val="005733FE"/>
    <w:rPr>
      <w:rFonts w:asciiTheme="majorHAnsi" w:eastAsiaTheme="majorEastAsia" w:hAnsiTheme="majorHAnsi" w:cstheme="majorBidi"/>
      <w:color w:val="4F81BD" w:themeColor="accent1"/>
    </w:rPr>
  </w:style>
  <w:style w:type="character" w:customStyle="1" w:styleId="a6">
    <w:name w:val="标题 字符"/>
    <w:basedOn w:val="a1"/>
    <w:link w:val="a5"/>
    <w:rsid w:val="005733FE"/>
    <w:rPr>
      <w:rFonts w:asciiTheme="majorHAnsi" w:eastAsiaTheme="majorEastAsia" w:hAnsiTheme="majorHAnsi" w:cstheme="majorBidi"/>
      <w:b/>
      <w:bCs/>
      <w:color w:val="345A8A" w:themeColor="accent1" w:themeShade="B5"/>
      <w:sz w:val="36"/>
      <w:szCs w:val="36"/>
    </w:rPr>
  </w:style>
  <w:style w:type="character" w:customStyle="1" w:styleId="a8">
    <w:name w:val="副标题 字符"/>
    <w:basedOn w:val="a1"/>
    <w:link w:val="a7"/>
    <w:rsid w:val="005733FE"/>
    <w:rPr>
      <w:rFonts w:asciiTheme="majorHAnsi" w:eastAsiaTheme="majorEastAsia" w:hAnsiTheme="majorHAnsi" w:cstheme="majorBidi"/>
      <w:b/>
      <w:bCs/>
      <w:color w:val="345A8A" w:themeColor="accent1" w:themeShade="B5"/>
      <w:sz w:val="30"/>
      <w:szCs w:val="30"/>
    </w:rPr>
  </w:style>
  <w:style w:type="character" w:customStyle="1" w:styleId="aa">
    <w:name w:val="日期 字符"/>
    <w:basedOn w:val="a1"/>
    <w:link w:val="a9"/>
    <w:rsid w:val="005733FE"/>
  </w:style>
  <w:style w:type="character" w:customStyle="1" w:styleId="ae">
    <w:name w:val="脚注文本 字符"/>
    <w:basedOn w:val="a1"/>
    <w:link w:val="ad"/>
    <w:uiPriority w:val="9"/>
    <w:rsid w:val="005733FE"/>
  </w:style>
  <w:style w:type="character" w:styleId="aff">
    <w:name w:val="FollowedHyperlink"/>
    <w:basedOn w:val="a1"/>
    <w:uiPriority w:val="99"/>
    <w:unhideWhenUsed/>
    <w:rsid w:val="005733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38953">
      <w:bodyDiv w:val="1"/>
      <w:marLeft w:val="0"/>
      <w:marRight w:val="0"/>
      <w:marTop w:val="0"/>
      <w:marBottom w:val="0"/>
      <w:divBdr>
        <w:top w:val="none" w:sz="0" w:space="0" w:color="auto"/>
        <w:left w:val="none" w:sz="0" w:space="0" w:color="auto"/>
        <w:bottom w:val="none" w:sz="0" w:space="0" w:color="auto"/>
        <w:right w:val="none" w:sz="0" w:space="0" w:color="auto"/>
      </w:divBdr>
    </w:div>
    <w:div w:id="280848006">
      <w:bodyDiv w:val="1"/>
      <w:marLeft w:val="0"/>
      <w:marRight w:val="0"/>
      <w:marTop w:val="0"/>
      <w:marBottom w:val="0"/>
      <w:divBdr>
        <w:top w:val="none" w:sz="0" w:space="0" w:color="auto"/>
        <w:left w:val="none" w:sz="0" w:space="0" w:color="auto"/>
        <w:bottom w:val="none" w:sz="0" w:space="0" w:color="auto"/>
        <w:right w:val="none" w:sz="0" w:space="0" w:color="auto"/>
      </w:divBdr>
    </w:div>
    <w:div w:id="297539366">
      <w:bodyDiv w:val="1"/>
      <w:marLeft w:val="0"/>
      <w:marRight w:val="0"/>
      <w:marTop w:val="0"/>
      <w:marBottom w:val="0"/>
      <w:divBdr>
        <w:top w:val="none" w:sz="0" w:space="0" w:color="auto"/>
        <w:left w:val="none" w:sz="0" w:space="0" w:color="auto"/>
        <w:bottom w:val="none" w:sz="0" w:space="0" w:color="auto"/>
        <w:right w:val="none" w:sz="0" w:space="0" w:color="auto"/>
      </w:divBdr>
    </w:div>
    <w:div w:id="362169954">
      <w:bodyDiv w:val="1"/>
      <w:marLeft w:val="0"/>
      <w:marRight w:val="0"/>
      <w:marTop w:val="0"/>
      <w:marBottom w:val="0"/>
      <w:divBdr>
        <w:top w:val="none" w:sz="0" w:space="0" w:color="auto"/>
        <w:left w:val="none" w:sz="0" w:space="0" w:color="auto"/>
        <w:bottom w:val="none" w:sz="0" w:space="0" w:color="auto"/>
        <w:right w:val="none" w:sz="0" w:space="0" w:color="auto"/>
      </w:divBdr>
      <w:divsChild>
        <w:div w:id="1533034444">
          <w:marLeft w:val="0"/>
          <w:marRight w:val="0"/>
          <w:marTop w:val="0"/>
          <w:marBottom w:val="0"/>
          <w:divBdr>
            <w:top w:val="none" w:sz="0" w:space="0" w:color="auto"/>
            <w:left w:val="none" w:sz="0" w:space="0" w:color="auto"/>
            <w:bottom w:val="none" w:sz="0" w:space="0" w:color="auto"/>
            <w:right w:val="none" w:sz="0" w:space="0" w:color="auto"/>
          </w:divBdr>
          <w:divsChild>
            <w:div w:id="190683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60590">
      <w:bodyDiv w:val="1"/>
      <w:marLeft w:val="0"/>
      <w:marRight w:val="0"/>
      <w:marTop w:val="0"/>
      <w:marBottom w:val="0"/>
      <w:divBdr>
        <w:top w:val="none" w:sz="0" w:space="0" w:color="auto"/>
        <w:left w:val="none" w:sz="0" w:space="0" w:color="auto"/>
        <w:bottom w:val="none" w:sz="0" w:space="0" w:color="auto"/>
        <w:right w:val="none" w:sz="0" w:space="0" w:color="auto"/>
      </w:divBdr>
      <w:divsChild>
        <w:div w:id="532621029">
          <w:marLeft w:val="0"/>
          <w:marRight w:val="0"/>
          <w:marTop w:val="0"/>
          <w:marBottom w:val="0"/>
          <w:divBdr>
            <w:top w:val="none" w:sz="0" w:space="0" w:color="auto"/>
            <w:left w:val="none" w:sz="0" w:space="0" w:color="auto"/>
            <w:bottom w:val="none" w:sz="0" w:space="0" w:color="auto"/>
            <w:right w:val="none" w:sz="0" w:space="0" w:color="auto"/>
          </w:divBdr>
          <w:divsChild>
            <w:div w:id="14299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81253">
      <w:bodyDiv w:val="1"/>
      <w:marLeft w:val="0"/>
      <w:marRight w:val="0"/>
      <w:marTop w:val="0"/>
      <w:marBottom w:val="0"/>
      <w:divBdr>
        <w:top w:val="none" w:sz="0" w:space="0" w:color="auto"/>
        <w:left w:val="none" w:sz="0" w:space="0" w:color="auto"/>
        <w:bottom w:val="none" w:sz="0" w:space="0" w:color="auto"/>
        <w:right w:val="none" w:sz="0" w:space="0" w:color="auto"/>
      </w:divBdr>
      <w:divsChild>
        <w:div w:id="1156992123">
          <w:marLeft w:val="0"/>
          <w:marRight w:val="0"/>
          <w:marTop w:val="0"/>
          <w:marBottom w:val="0"/>
          <w:divBdr>
            <w:top w:val="none" w:sz="0" w:space="0" w:color="auto"/>
            <w:left w:val="none" w:sz="0" w:space="0" w:color="auto"/>
            <w:bottom w:val="none" w:sz="0" w:space="0" w:color="auto"/>
            <w:right w:val="none" w:sz="0" w:space="0" w:color="auto"/>
          </w:divBdr>
          <w:divsChild>
            <w:div w:id="11536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054">
      <w:bodyDiv w:val="1"/>
      <w:marLeft w:val="0"/>
      <w:marRight w:val="0"/>
      <w:marTop w:val="0"/>
      <w:marBottom w:val="0"/>
      <w:divBdr>
        <w:top w:val="none" w:sz="0" w:space="0" w:color="auto"/>
        <w:left w:val="none" w:sz="0" w:space="0" w:color="auto"/>
        <w:bottom w:val="none" w:sz="0" w:space="0" w:color="auto"/>
        <w:right w:val="none" w:sz="0" w:space="0" w:color="auto"/>
      </w:divBdr>
    </w:div>
    <w:div w:id="635525743">
      <w:bodyDiv w:val="1"/>
      <w:marLeft w:val="0"/>
      <w:marRight w:val="0"/>
      <w:marTop w:val="0"/>
      <w:marBottom w:val="0"/>
      <w:divBdr>
        <w:top w:val="none" w:sz="0" w:space="0" w:color="auto"/>
        <w:left w:val="none" w:sz="0" w:space="0" w:color="auto"/>
        <w:bottom w:val="none" w:sz="0" w:space="0" w:color="auto"/>
        <w:right w:val="none" w:sz="0" w:space="0" w:color="auto"/>
      </w:divBdr>
    </w:div>
    <w:div w:id="643005388">
      <w:bodyDiv w:val="1"/>
      <w:marLeft w:val="0"/>
      <w:marRight w:val="0"/>
      <w:marTop w:val="0"/>
      <w:marBottom w:val="0"/>
      <w:divBdr>
        <w:top w:val="none" w:sz="0" w:space="0" w:color="auto"/>
        <w:left w:val="none" w:sz="0" w:space="0" w:color="auto"/>
        <w:bottom w:val="none" w:sz="0" w:space="0" w:color="auto"/>
        <w:right w:val="none" w:sz="0" w:space="0" w:color="auto"/>
      </w:divBdr>
    </w:div>
    <w:div w:id="649792003">
      <w:bodyDiv w:val="1"/>
      <w:marLeft w:val="0"/>
      <w:marRight w:val="0"/>
      <w:marTop w:val="0"/>
      <w:marBottom w:val="0"/>
      <w:divBdr>
        <w:top w:val="none" w:sz="0" w:space="0" w:color="auto"/>
        <w:left w:val="none" w:sz="0" w:space="0" w:color="auto"/>
        <w:bottom w:val="none" w:sz="0" w:space="0" w:color="auto"/>
        <w:right w:val="none" w:sz="0" w:space="0" w:color="auto"/>
      </w:divBdr>
    </w:div>
    <w:div w:id="861280897">
      <w:bodyDiv w:val="1"/>
      <w:marLeft w:val="0"/>
      <w:marRight w:val="0"/>
      <w:marTop w:val="0"/>
      <w:marBottom w:val="0"/>
      <w:divBdr>
        <w:top w:val="none" w:sz="0" w:space="0" w:color="auto"/>
        <w:left w:val="none" w:sz="0" w:space="0" w:color="auto"/>
        <w:bottom w:val="none" w:sz="0" w:space="0" w:color="auto"/>
        <w:right w:val="none" w:sz="0" w:space="0" w:color="auto"/>
      </w:divBdr>
    </w:div>
    <w:div w:id="957638416">
      <w:bodyDiv w:val="1"/>
      <w:marLeft w:val="0"/>
      <w:marRight w:val="0"/>
      <w:marTop w:val="0"/>
      <w:marBottom w:val="0"/>
      <w:divBdr>
        <w:top w:val="none" w:sz="0" w:space="0" w:color="auto"/>
        <w:left w:val="none" w:sz="0" w:space="0" w:color="auto"/>
        <w:bottom w:val="none" w:sz="0" w:space="0" w:color="auto"/>
        <w:right w:val="none" w:sz="0" w:space="0" w:color="auto"/>
      </w:divBdr>
    </w:div>
    <w:div w:id="1050499148">
      <w:bodyDiv w:val="1"/>
      <w:marLeft w:val="0"/>
      <w:marRight w:val="0"/>
      <w:marTop w:val="0"/>
      <w:marBottom w:val="0"/>
      <w:divBdr>
        <w:top w:val="none" w:sz="0" w:space="0" w:color="auto"/>
        <w:left w:val="none" w:sz="0" w:space="0" w:color="auto"/>
        <w:bottom w:val="none" w:sz="0" w:space="0" w:color="auto"/>
        <w:right w:val="none" w:sz="0" w:space="0" w:color="auto"/>
      </w:divBdr>
    </w:div>
    <w:div w:id="1089732906">
      <w:bodyDiv w:val="1"/>
      <w:marLeft w:val="0"/>
      <w:marRight w:val="0"/>
      <w:marTop w:val="0"/>
      <w:marBottom w:val="0"/>
      <w:divBdr>
        <w:top w:val="none" w:sz="0" w:space="0" w:color="auto"/>
        <w:left w:val="none" w:sz="0" w:space="0" w:color="auto"/>
        <w:bottom w:val="none" w:sz="0" w:space="0" w:color="auto"/>
        <w:right w:val="none" w:sz="0" w:space="0" w:color="auto"/>
      </w:divBdr>
    </w:div>
    <w:div w:id="1250772781">
      <w:bodyDiv w:val="1"/>
      <w:marLeft w:val="0"/>
      <w:marRight w:val="0"/>
      <w:marTop w:val="0"/>
      <w:marBottom w:val="0"/>
      <w:divBdr>
        <w:top w:val="none" w:sz="0" w:space="0" w:color="auto"/>
        <w:left w:val="none" w:sz="0" w:space="0" w:color="auto"/>
        <w:bottom w:val="none" w:sz="0" w:space="0" w:color="auto"/>
        <w:right w:val="none" w:sz="0" w:space="0" w:color="auto"/>
      </w:divBdr>
    </w:div>
    <w:div w:id="1311979500">
      <w:bodyDiv w:val="1"/>
      <w:marLeft w:val="0"/>
      <w:marRight w:val="0"/>
      <w:marTop w:val="0"/>
      <w:marBottom w:val="0"/>
      <w:divBdr>
        <w:top w:val="none" w:sz="0" w:space="0" w:color="auto"/>
        <w:left w:val="none" w:sz="0" w:space="0" w:color="auto"/>
        <w:bottom w:val="none" w:sz="0" w:space="0" w:color="auto"/>
        <w:right w:val="none" w:sz="0" w:space="0" w:color="auto"/>
      </w:divBdr>
    </w:div>
    <w:div w:id="1434935520">
      <w:bodyDiv w:val="1"/>
      <w:marLeft w:val="0"/>
      <w:marRight w:val="0"/>
      <w:marTop w:val="0"/>
      <w:marBottom w:val="0"/>
      <w:divBdr>
        <w:top w:val="none" w:sz="0" w:space="0" w:color="auto"/>
        <w:left w:val="none" w:sz="0" w:space="0" w:color="auto"/>
        <w:bottom w:val="none" w:sz="0" w:space="0" w:color="auto"/>
        <w:right w:val="none" w:sz="0" w:space="0" w:color="auto"/>
      </w:divBdr>
    </w:div>
    <w:div w:id="1438677103">
      <w:bodyDiv w:val="1"/>
      <w:marLeft w:val="0"/>
      <w:marRight w:val="0"/>
      <w:marTop w:val="0"/>
      <w:marBottom w:val="0"/>
      <w:divBdr>
        <w:top w:val="none" w:sz="0" w:space="0" w:color="auto"/>
        <w:left w:val="none" w:sz="0" w:space="0" w:color="auto"/>
        <w:bottom w:val="none" w:sz="0" w:space="0" w:color="auto"/>
        <w:right w:val="none" w:sz="0" w:space="0" w:color="auto"/>
      </w:divBdr>
    </w:div>
    <w:div w:id="1615212141">
      <w:bodyDiv w:val="1"/>
      <w:marLeft w:val="0"/>
      <w:marRight w:val="0"/>
      <w:marTop w:val="0"/>
      <w:marBottom w:val="0"/>
      <w:divBdr>
        <w:top w:val="none" w:sz="0" w:space="0" w:color="auto"/>
        <w:left w:val="none" w:sz="0" w:space="0" w:color="auto"/>
        <w:bottom w:val="none" w:sz="0" w:space="0" w:color="auto"/>
        <w:right w:val="none" w:sz="0" w:space="0" w:color="auto"/>
      </w:divBdr>
      <w:divsChild>
        <w:div w:id="78408030">
          <w:marLeft w:val="0"/>
          <w:marRight w:val="0"/>
          <w:marTop w:val="0"/>
          <w:marBottom w:val="0"/>
          <w:divBdr>
            <w:top w:val="none" w:sz="0" w:space="0" w:color="auto"/>
            <w:left w:val="none" w:sz="0" w:space="0" w:color="auto"/>
            <w:bottom w:val="none" w:sz="0" w:space="0" w:color="auto"/>
            <w:right w:val="none" w:sz="0" w:space="0" w:color="auto"/>
          </w:divBdr>
          <w:divsChild>
            <w:div w:id="19601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3788">
      <w:bodyDiv w:val="1"/>
      <w:marLeft w:val="0"/>
      <w:marRight w:val="0"/>
      <w:marTop w:val="0"/>
      <w:marBottom w:val="0"/>
      <w:divBdr>
        <w:top w:val="none" w:sz="0" w:space="0" w:color="auto"/>
        <w:left w:val="none" w:sz="0" w:space="0" w:color="auto"/>
        <w:bottom w:val="none" w:sz="0" w:space="0" w:color="auto"/>
        <w:right w:val="none" w:sz="0" w:space="0" w:color="auto"/>
      </w:divBdr>
    </w:div>
    <w:div w:id="1921602535">
      <w:bodyDiv w:val="1"/>
      <w:marLeft w:val="0"/>
      <w:marRight w:val="0"/>
      <w:marTop w:val="0"/>
      <w:marBottom w:val="0"/>
      <w:divBdr>
        <w:top w:val="none" w:sz="0" w:space="0" w:color="auto"/>
        <w:left w:val="none" w:sz="0" w:space="0" w:color="auto"/>
        <w:bottom w:val="none" w:sz="0" w:space="0" w:color="auto"/>
        <w:right w:val="none" w:sz="0" w:space="0" w:color="auto"/>
      </w:divBdr>
    </w:div>
    <w:div w:id="1954243228">
      <w:bodyDiv w:val="1"/>
      <w:marLeft w:val="0"/>
      <w:marRight w:val="0"/>
      <w:marTop w:val="0"/>
      <w:marBottom w:val="0"/>
      <w:divBdr>
        <w:top w:val="none" w:sz="0" w:space="0" w:color="auto"/>
        <w:left w:val="none" w:sz="0" w:space="0" w:color="auto"/>
        <w:bottom w:val="none" w:sz="0" w:space="0" w:color="auto"/>
        <w:right w:val="none" w:sz="0" w:space="0" w:color="auto"/>
      </w:divBdr>
    </w:div>
    <w:div w:id="1968119327">
      <w:bodyDiv w:val="1"/>
      <w:marLeft w:val="0"/>
      <w:marRight w:val="0"/>
      <w:marTop w:val="0"/>
      <w:marBottom w:val="0"/>
      <w:divBdr>
        <w:top w:val="none" w:sz="0" w:space="0" w:color="auto"/>
        <w:left w:val="none" w:sz="0" w:space="0" w:color="auto"/>
        <w:bottom w:val="none" w:sz="0" w:space="0" w:color="auto"/>
        <w:right w:val="none" w:sz="0" w:space="0" w:color="auto"/>
      </w:divBdr>
      <w:divsChild>
        <w:div w:id="1172842592">
          <w:marLeft w:val="0"/>
          <w:marRight w:val="0"/>
          <w:marTop w:val="0"/>
          <w:marBottom w:val="0"/>
          <w:divBdr>
            <w:top w:val="none" w:sz="0" w:space="0" w:color="auto"/>
            <w:left w:val="none" w:sz="0" w:space="0" w:color="auto"/>
            <w:bottom w:val="none" w:sz="0" w:space="0" w:color="auto"/>
            <w:right w:val="none" w:sz="0" w:space="0" w:color="auto"/>
          </w:divBdr>
          <w:divsChild>
            <w:div w:id="162511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D4493-5822-4C87-ACB5-6A3EC2825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1335</TotalTime>
  <Pages>5</Pages>
  <Words>1940</Words>
  <Characters>11332</Characters>
  <Application>Microsoft Office Word</Application>
  <DocSecurity>0</DocSecurity>
  <Lines>192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Process</dc:creator>
  <cp:keywords/>
  <dc:description/>
  <cp:lastModifiedBy>The Process</cp:lastModifiedBy>
  <cp:revision>386</cp:revision>
  <cp:lastPrinted>2023-08-11T03:18:00Z</cp:lastPrinted>
  <dcterms:created xsi:type="dcterms:W3CDTF">2023-07-13T09:00:00Z</dcterms:created>
  <dcterms:modified xsi:type="dcterms:W3CDTF">2023-10-26T05:52:00Z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60efa1cb08ecc40f5209c2c372d4e0b85b4b29dd5c21b9d56eee97b77d374894</vt:lpwstr>
  </property>
  <property fmtid="{D5CDD505-2E9C-101B-9397-08002B2CF9AE}" pid="3" name="ZOTERO_PREF_1">
    <vt:lpwstr>&lt;data data-version="3" zotero-version="6.0.26"&gt;&lt;session id="s5K9Aylh"/&gt;&lt;style id="http://www.zotero.org/styles/american-journal-of-respiratory-and-critical-care-medicine" hasBibliography="1" bibliographyStyleHasBeenSet="1"/&gt;&lt;prefs&gt;&lt;pref name="fieldType" v</vt:lpwstr>
  </property>
  <property fmtid="{D5CDD505-2E9C-101B-9397-08002B2CF9AE}" pid="4" name="ZOTERO_PREF_2">
    <vt:lpwstr>alue="Field"/&gt;&lt;/prefs&gt;&lt;/data&gt;</vt:lpwstr>
  </property>
</Properties>
</file>