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7B952A" w14:textId="10BD1678" w:rsidR="007C4994" w:rsidRDefault="00FB2EC5" w:rsidP="00364B71">
      <w:pPr>
        <w:pStyle w:val="ListParagraph"/>
        <w:spacing w:line="360" w:lineRule="auto"/>
        <w:ind w:left="0"/>
        <w:rPr>
          <w:rFonts w:ascii="Arial" w:hAnsi="Arial" w:cs="Arial"/>
          <w:b/>
          <w:bCs/>
        </w:rPr>
      </w:pPr>
      <w:r>
        <w:rPr>
          <w:rFonts w:ascii="Arial" w:hAnsi="Arial" w:cs="Arial"/>
          <w:b/>
          <w:bCs/>
        </w:rPr>
        <w:t>Synthesis of a</w:t>
      </w:r>
      <w:r w:rsidR="00A46684">
        <w:rPr>
          <w:rFonts w:ascii="Arial" w:hAnsi="Arial" w:cs="Arial"/>
          <w:b/>
          <w:bCs/>
        </w:rPr>
        <w:t xml:space="preserve"> </w:t>
      </w:r>
      <w:r w:rsidR="00A46684" w:rsidRPr="004046B9">
        <w:rPr>
          <w:rFonts w:ascii="Arial" w:hAnsi="Arial" w:cs="Arial"/>
          <w:b/>
          <w:bCs/>
        </w:rPr>
        <w:t>[4[2+</w:t>
      </w:r>
      <w:proofErr w:type="gramStart"/>
      <w:r w:rsidR="00A46684" w:rsidRPr="004046B9">
        <w:rPr>
          <w:rFonts w:ascii="Arial" w:hAnsi="Arial" w:cs="Arial"/>
          <w:b/>
          <w:bCs/>
        </w:rPr>
        <w:t>3]+</w:t>
      </w:r>
      <w:proofErr w:type="gramEnd"/>
      <w:r w:rsidR="00A46684" w:rsidRPr="004046B9">
        <w:rPr>
          <w:rFonts w:ascii="Arial" w:hAnsi="Arial" w:cs="Arial"/>
          <w:b/>
          <w:bCs/>
        </w:rPr>
        <w:t>6]</w:t>
      </w:r>
      <w:r>
        <w:rPr>
          <w:rFonts w:ascii="Arial" w:hAnsi="Arial" w:cs="Arial"/>
          <w:b/>
          <w:bCs/>
        </w:rPr>
        <w:t xml:space="preserve"> hierarchical p</w:t>
      </w:r>
      <w:r w:rsidRPr="00106A55">
        <w:rPr>
          <w:rFonts w:ascii="Arial" w:hAnsi="Arial" w:cs="Arial"/>
          <w:b/>
        </w:rPr>
        <w:t xml:space="preserve">orous </w:t>
      </w:r>
      <w:r>
        <w:rPr>
          <w:rFonts w:ascii="Arial" w:hAnsi="Arial" w:cs="Arial"/>
          <w:b/>
        </w:rPr>
        <w:t>o</w:t>
      </w:r>
      <w:r w:rsidRPr="00106A55">
        <w:rPr>
          <w:rFonts w:ascii="Arial" w:hAnsi="Arial" w:cs="Arial"/>
          <w:b/>
        </w:rPr>
        <w:t>rganic</w:t>
      </w:r>
      <w:r w:rsidRPr="00106A55">
        <w:rPr>
          <w:rFonts w:ascii="Arial" w:hAnsi="Arial" w:cs="Arial"/>
        </w:rPr>
        <w:t xml:space="preserve"> </w:t>
      </w:r>
      <w:r w:rsidRPr="00D60BB4">
        <w:rPr>
          <w:rFonts w:ascii="Arial" w:hAnsi="Arial" w:cs="Arial"/>
          <w:b/>
          <w:bCs/>
        </w:rPr>
        <w:t>‘</w:t>
      </w:r>
      <w:r>
        <w:rPr>
          <w:rFonts w:ascii="Arial" w:hAnsi="Arial" w:cs="Arial"/>
          <w:b/>
          <w:bCs/>
        </w:rPr>
        <w:t>c</w:t>
      </w:r>
      <w:r w:rsidRPr="00106A55">
        <w:rPr>
          <w:rFonts w:ascii="Arial" w:hAnsi="Arial" w:cs="Arial"/>
          <w:b/>
          <w:bCs/>
        </w:rPr>
        <w:t xml:space="preserve">age of </w:t>
      </w:r>
      <w:r>
        <w:rPr>
          <w:rFonts w:ascii="Arial" w:hAnsi="Arial" w:cs="Arial"/>
          <w:b/>
          <w:bCs/>
        </w:rPr>
        <w:t>c</w:t>
      </w:r>
      <w:r w:rsidRPr="00106A55">
        <w:rPr>
          <w:rFonts w:ascii="Arial" w:hAnsi="Arial" w:cs="Arial"/>
          <w:b/>
          <w:bCs/>
        </w:rPr>
        <w:t>age</w:t>
      </w:r>
      <w:r>
        <w:rPr>
          <w:rFonts w:ascii="Arial" w:hAnsi="Arial" w:cs="Arial"/>
          <w:b/>
          <w:bCs/>
        </w:rPr>
        <w:t>s’</w:t>
      </w:r>
    </w:p>
    <w:p w14:paraId="76E43F84" w14:textId="77777777" w:rsidR="00FB2EC5" w:rsidRPr="00EA1221" w:rsidRDefault="00FB2EC5" w:rsidP="000D55CE">
      <w:pPr>
        <w:pStyle w:val="ListParagraph"/>
        <w:spacing w:line="360" w:lineRule="auto"/>
        <w:ind w:left="0"/>
        <w:jc w:val="center"/>
        <w:rPr>
          <w:rFonts w:ascii="Times New Roman" w:hAnsi="Times New Roman" w:cs="Times New Roman"/>
          <w:b/>
          <w:bCs/>
          <w:lang w:val="en-US"/>
        </w:rPr>
      </w:pPr>
    </w:p>
    <w:p w14:paraId="755DF95A" w14:textId="17C80663" w:rsidR="0049327F" w:rsidRPr="00EB4E34" w:rsidRDefault="00EB4E34" w:rsidP="00AB6756">
      <w:pPr>
        <w:spacing w:after="120"/>
        <w:rPr>
          <w:sz w:val="22"/>
        </w:rPr>
      </w:pPr>
      <w:r w:rsidRPr="00EB4E34">
        <w:t>Qiang Zhu,</w:t>
      </w:r>
      <w:r w:rsidRPr="00EB4E34">
        <w:rPr>
          <w:vertAlign w:val="superscript"/>
        </w:rPr>
        <w:t>1,2</w:t>
      </w:r>
      <w:r w:rsidRPr="00EB4E34">
        <w:t xml:space="preserve"> Hang Qu,</w:t>
      </w:r>
      <w:r w:rsidRPr="00EB4E34">
        <w:rPr>
          <w:vertAlign w:val="superscript"/>
        </w:rPr>
        <w:t>1</w:t>
      </w:r>
      <w:r w:rsidRPr="00EB4E34">
        <w:t xml:space="preserve"> </w:t>
      </w:r>
      <w:r w:rsidR="00745B96" w:rsidRPr="00745B96">
        <w:t>Gokay Avci,</w:t>
      </w:r>
      <w:r w:rsidR="00745B96" w:rsidRPr="00745B96">
        <w:rPr>
          <w:vertAlign w:val="superscript"/>
        </w:rPr>
        <w:t>3</w:t>
      </w:r>
      <w:r w:rsidR="00745B96">
        <w:t xml:space="preserve"> Chengxi Zhao,</w:t>
      </w:r>
      <w:r w:rsidR="001619AA" w:rsidRPr="001619AA">
        <w:rPr>
          <w:vertAlign w:val="superscript"/>
        </w:rPr>
        <w:t>1,5</w:t>
      </w:r>
      <w:r w:rsidR="00745B96" w:rsidRPr="001619AA">
        <w:t xml:space="preserve"> </w:t>
      </w:r>
      <w:r w:rsidR="00745B96" w:rsidRPr="00745B96">
        <w:t>Kim E. Jelfs,</w:t>
      </w:r>
      <w:r w:rsidR="00745B96" w:rsidRPr="00745B96">
        <w:rPr>
          <w:vertAlign w:val="superscript"/>
        </w:rPr>
        <w:t>3</w:t>
      </w:r>
      <w:r w:rsidR="00745B96" w:rsidRPr="00745B96">
        <w:t xml:space="preserve"> </w:t>
      </w:r>
      <w:r w:rsidRPr="00EB4E34">
        <w:t>Marc A. Little</w:t>
      </w:r>
      <w:r w:rsidR="0005020B">
        <w:t>*</w:t>
      </w:r>
      <w:r w:rsidRPr="00EB4E34">
        <w:rPr>
          <w:vertAlign w:val="superscript"/>
        </w:rPr>
        <w:t>1,3</w:t>
      </w:r>
      <w:r w:rsidRPr="00EB4E34">
        <w:t xml:space="preserve"> </w:t>
      </w:r>
      <w:r w:rsidR="00271F5E">
        <w:t xml:space="preserve">and </w:t>
      </w:r>
      <w:r w:rsidRPr="00EB4E34">
        <w:t>Andrew I. Cooper</w:t>
      </w:r>
      <w:r w:rsidR="0005020B">
        <w:t>*</w:t>
      </w:r>
      <w:r w:rsidRPr="00EB4E34">
        <w:rPr>
          <w:vertAlign w:val="superscript"/>
        </w:rPr>
        <w:t>1,2</w:t>
      </w:r>
    </w:p>
    <w:p w14:paraId="20CC39E0" w14:textId="4514EFD8" w:rsidR="000D55CE" w:rsidRPr="00EA1221" w:rsidRDefault="000D55CE" w:rsidP="00EF6BCD">
      <w:pPr>
        <w:rPr>
          <w:sz w:val="22"/>
        </w:rPr>
      </w:pPr>
      <w:r w:rsidRPr="00EA1221">
        <w:rPr>
          <w:sz w:val="22"/>
          <w:vertAlign w:val="superscript"/>
        </w:rPr>
        <w:t>1</w:t>
      </w:r>
      <w:r w:rsidR="007C4994" w:rsidRPr="00EA1221">
        <w:rPr>
          <w:sz w:val="22"/>
          <w:vertAlign w:val="superscript"/>
        </w:rPr>
        <w:t xml:space="preserve"> </w:t>
      </w:r>
      <w:r w:rsidRPr="00EA1221">
        <w:rPr>
          <w:rFonts w:eastAsiaTheme="minorEastAsia"/>
          <w:kern w:val="22"/>
          <w:sz w:val="22"/>
          <w:lang w:eastAsia="en-US"/>
        </w:rPr>
        <w:t>Materials Innovation Factory and Department of Chemistry, University of Liverpool, 51 Oxford Street, Liverpool L7 3NY, UK</w:t>
      </w:r>
      <w:r w:rsidRPr="00EA1221">
        <w:rPr>
          <w:sz w:val="22"/>
        </w:rPr>
        <w:t>.</w:t>
      </w:r>
    </w:p>
    <w:p w14:paraId="55D4F953" w14:textId="764B62A9" w:rsidR="000D55CE" w:rsidRDefault="000D55CE" w:rsidP="00AB6756">
      <w:pPr>
        <w:pStyle w:val="BCAuthorAddress"/>
        <w:jc w:val="both"/>
      </w:pPr>
      <w:r w:rsidRPr="00EA1221">
        <w:rPr>
          <w:vertAlign w:val="superscript"/>
        </w:rPr>
        <w:t>2</w:t>
      </w:r>
      <w:r w:rsidR="007C4994" w:rsidRPr="00EA1221">
        <w:rPr>
          <w:vertAlign w:val="superscript"/>
        </w:rPr>
        <w:t xml:space="preserve"> </w:t>
      </w:r>
      <w:r w:rsidRPr="00EA1221">
        <w:t>Leverhulme Research Centre for Functional Materials Design, University of Liverpool, 51 Oxford Street, Liverpool L7 3NY, UK.</w:t>
      </w:r>
    </w:p>
    <w:p w14:paraId="1222DDCC" w14:textId="6E76392A" w:rsidR="00745B96" w:rsidRPr="00745B96" w:rsidRDefault="00745B96" w:rsidP="00745B96">
      <w:pPr>
        <w:spacing w:after="60"/>
        <w:rPr>
          <w:lang w:val="en-US" w:eastAsia="en-US"/>
        </w:rPr>
      </w:pPr>
      <w:r w:rsidRPr="00745B96">
        <w:rPr>
          <w:sz w:val="22"/>
          <w:szCs w:val="20"/>
          <w:vertAlign w:val="superscript"/>
          <w:lang w:val="en-US"/>
        </w:rPr>
        <w:t>3</w:t>
      </w:r>
      <w:r>
        <w:rPr>
          <w:vertAlign w:val="superscript"/>
          <w:lang w:val="en-US"/>
        </w:rPr>
        <w:t xml:space="preserve"> </w:t>
      </w:r>
      <w:r w:rsidRPr="00745B96">
        <w:rPr>
          <w:sz w:val="22"/>
          <w:szCs w:val="20"/>
        </w:rPr>
        <w:t>Department of Chemistry, Imperial College London, Molecular Sciences Research Hub, White City Campus, Wood Lane, London, W12 0BZ, UK</w:t>
      </w:r>
    </w:p>
    <w:p w14:paraId="1F5C6644" w14:textId="0121E01E" w:rsidR="00233FA2" w:rsidRDefault="00745B96" w:rsidP="00AB6756">
      <w:pPr>
        <w:pStyle w:val="BIEmailAddress"/>
        <w:jc w:val="both"/>
        <w:rPr>
          <w:rFonts w:ascii="Times New Roman" w:hAnsi="Times New Roman"/>
          <w:kern w:val="22"/>
          <w:sz w:val="22"/>
          <w:szCs w:val="22"/>
        </w:rPr>
      </w:pPr>
      <w:r>
        <w:rPr>
          <w:rFonts w:ascii="Times New Roman" w:hAnsi="Times New Roman"/>
          <w:kern w:val="22"/>
          <w:sz w:val="22"/>
          <w:szCs w:val="22"/>
          <w:vertAlign w:val="superscript"/>
        </w:rPr>
        <w:t>4</w:t>
      </w:r>
      <w:r w:rsidR="007C4994" w:rsidRPr="00EA1221">
        <w:rPr>
          <w:rFonts w:ascii="Times New Roman" w:hAnsi="Times New Roman"/>
          <w:kern w:val="22"/>
          <w:sz w:val="22"/>
          <w:szCs w:val="22"/>
          <w:vertAlign w:val="superscript"/>
        </w:rPr>
        <w:t xml:space="preserve"> </w:t>
      </w:r>
      <w:r w:rsidR="00EB4E34" w:rsidRPr="00EB4E34">
        <w:rPr>
          <w:rFonts w:ascii="Times New Roman" w:hAnsi="Times New Roman"/>
          <w:kern w:val="22"/>
          <w:sz w:val="22"/>
          <w:szCs w:val="22"/>
        </w:rPr>
        <w:t>Institute of Chemical Sciences, Heriot-Watt University, Riccarton, Edinburgh, EH14 4AS UK.</w:t>
      </w:r>
    </w:p>
    <w:p w14:paraId="3AD869BD" w14:textId="7BB05D3F" w:rsidR="000D55CE" w:rsidRPr="001619AA" w:rsidRDefault="001619AA" w:rsidP="001619AA">
      <w:pPr>
        <w:pStyle w:val="ListParagraph"/>
        <w:spacing w:line="360" w:lineRule="auto"/>
        <w:ind w:left="0"/>
        <w:jc w:val="both"/>
        <w:rPr>
          <w:rFonts w:ascii="Times New Roman" w:eastAsiaTheme="minorEastAsia" w:hAnsi="Times New Roman" w:cs="Times New Roman"/>
          <w:kern w:val="22"/>
          <w:lang w:val="en-US" w:eastAsia="en-US"/>
        </w:rPr>
      </w:pPr>
      <w:r w:rsidRPr="001619AA">
        <w:rPr>
          <w:rFonts w:ascii="Times New Roman" w:eastAsiaTheme="minorEastAsia" w:hAnsi="Times New Roman" w:cs="Times New Roman"/>
          <w:kern w:val="22"/>
          <w:vertAlign w:val="superscript"/>
          <w:lang w:val="en-US" w:eastAsia="en-US"/>
        </w:rPr>
        <w:t>5</w:t>
      </w:r>
      <w:r>
        <w:rPr>
          <w:rFonts w:ascii="Times New Roman" w:eastAsiaTheme="minorEastAsia" w:hAnsi="Times New Roman" w:cs="Times New Roman"/>
          <w:kern w:val="22"/>
          <w:lang w:val="en-US" w:eastAsia="en-US"/>
        </w:rPr>
        <w:t xml:space="preserve"> </w:t>
      </w:r>
      <w:r w:rsidRPr="001619AA">
        <w:rPr>
          <w:rFonts w:ascii="Times New Roman" w:eastAsiaTheme="minorEastAsia" w:hAnsi="Times New Roman" w:cs="Times New Roman"/>
          <w:kern w:val="22"/>
          <w:lang w:val="en-US" w:eastAsia="en-US"/>
        </w:rPr>
        <w:t xml:space="preserve">Key Laboratory for Advanced Materials and Joint International Research Laboratory of Precision Chemistry and Molecular Engineering, </w:t>
      </w:r>
      <w:proofErr w:type="spellStart"/>
      <w:r w:rsidRPr="001619AA">
        <w:rPr>
          <w:rFonts w:ascii="Times New Roman" w:eastAsiaTheme="minorEastAsia" w:hAnsi="Times New Roman" w:cs="Times New Roman"/>
          <w:kern w:val="22"/>
          <w:lang w:val="en-US" w:eastAsia="en-US"/>
        </w:rPr>
        <w:t>Feringa</w:t>
      </w:r>
      <w:proofErr w:type="spellEnd"/>
      <w:r w:rsidRPr="001619AA">
        <w:rPr>
          <w:rFonts w:ascii="Times New Roman" w:eastAsiaTheme="minorEastAsia" w:hAnsi="Times New Roman" w:cs="Times New Roman"/>
          <w:kern w:val="22"/>
          <w:lang w:val="en-US" w:eastAsia="en-US"/>
        </w:rPr>
        <w:t xml:space="preserve"> Nobel Prize Scientist Joint Research Center, Frontiers Science Center for </w:t>
      </w:r>
      <w:proofErr w:type="spellStart"/>
      <w:r w:rsidRPr="001619AA">
        <w:rPr>
          <w:rFonts w:ascii="Times New Roman" w:eastAsiaTheme="minorEastAsia" w:hAnsi="Times New Roman" w:cs="Times New Roman"/>
          <w:kern w:val="22"/>
          <w:lang w:val="en-US" w:eastAsia="en-US"/>
        </w:rPr>
        <w:t>Materiobiology</w:t>
      </w:r>
      <w:proofErr w:type="spellEnd"/>
      <w:r w:rsidRPr="001619AA">
        <w:rPr>
          <w:rFonts w:ascii="Times New Roman" w:eastAsiaTheme="minorEastAsia" w:hAnsi="Times New Roman" w:cs="Times New Roman"/>
          <w:kern w:val="22"/>
          <w:lang w:val="en-US" w:eastAsia="en-US"/>
        </w:rPr>
        <w:t xml:space="preserve"> and Dynamic Chemistry, Institute of Fine Chemicals, School of Chemistry and Molecular Engineering East China University of Science and Technology, Shanghai 200237, China.</w:t>
      </w:r>
    </w:p>
    <w:p w14:paraId="34A24134" w14:textId="77777777" w:rsidR="00FB2EC5" w:rsidRDefault="00FB2EC5" w:rsidP="000D55CE">
      <w:pPr>
        <w:pStyle w:val="ListParagraph"/>
        <w:spacing w:line="360" w:lineRule="auto"/>
        <w:ind w:left="0"/>
        <w:jc w:val="center"/>
        <w:rPr>
          <w:rFonts w:ascii="Times New Roman" w:hAnsi="Times New Roman" w:cs="Times New Roman"/>
          <w:b/>
          <w:bCs/>
        </w:rPr>
      </w:pPr>
    </w:p>
    <w:p w14:paraId="2794F64B" w14:textId="300D0665" w:rsidR="00FB2EC5" w:rsidRPr="00EA1221" w:rsidRDefault="00FB2EC5" w:rsidP="00364B71">
      <w:pPr>
        <w:jc w:val="center"/>
        <w:rPr>
          <w:b/>
          <w:bCs/>
          <w:szCs w:val="24"/>
        </w:rPr>
      </w:pPr>
      <w:r w:rsidRPr="00EA1221">
        <w:rPr>
          <w:b/>
          <w:bCs/>
          <w:szCs w:val="24"/>
        </w:rPr>
        <w:t>Supporting Information</w:t>
      </w:r>
    </w:p>
    <w:p w14:paraId="6A1BDAAF" w14:textId="77777777" w:rsidR="00FB2EC5" w:rsidRDefault="00FB2EC5" w:rsidP="000D55CE">
      <w:pPr>
        <w:pStyle w:val="ListParagraph"/>
        <w:spacing w:line="360" w:lineRule="auto"/>
        <w:ind w:left="0"/>
        <w:jc w:val="center"/>
        <w:rPr>
          <w:rFonts w:ascii="Times New Roman" w:hAnsi="Times New Roman" w:cs="Times New Roman"/>
          <w:b/>
          <w:bCs/>
        </w:rPr>
      </w:pPr>
    </w:p>
    <w:p w14:paraId="694A95EF" w14:textId="77777777" w:rsidR="00FB2EC5" w:rsidRPr="00EA1221" w:rsidRDefault="00FB2EC5" w:rsidP="000D55CE">
      <w:pPr>
        <w:pStyle w:val="ListParagraph"/>
        <w:spacing w:line="360" w:lineRule="auto"/>
        <w:ind w:left="0"/>
        <w:jc w:val="center"/>
        <w:rPr>
          <w:rFonts w:ascii="Times New Roman" w:hAnsi="Times New Roman" w:cs="Times New Roman"/>
          <w:b/>
          <w:bCs/>
        </w:rPr>
      </w:pPr>
    </w:p>
    <w:p w14:paraId="2B9A0ABA" w14:textId="05B385F0" w:rsidR="00B12051" w:rsidRDefault="00490BBB">
      <w:pPr>
        <w:pStyle w:val="TOC2"/>
        <w:tabs>
          <w:tab w:val="right" w:leader="dot" w:pos="8296"/>
        </w:tabs>
        <w:rPr>
          <w:rFonts w:asciiTheme="minorHAnsi" w:eastAsiaTheme="minorEastAsia" w:hAnsiTheme="minorHAnsi"/>
          <w:noProof/>
          <w:kern w:val="2"/>
          <w:sz w:val="22"/>
          <w14:ligatures w14:val="standardContextual"/>
        </w:rPr>
      </w:pPr>
      <w:r w:rsidRPr="00EA1221">
        <w:rPr>
          <w:rFonts w:cs="Times New Roman"/>
        </w:rPr>
        <w:fldChar w:fldCharType="begin"/>
      </w:r>
      <w:r w:rsidRPr="00EA1221">
        <w:rPr>
          <w:rFonts w:cs="Times New Roman"/>
        </w:rPr>
        <w:instrText xml:space="preserve"> TOC \o "1-2" \h \z \u </w:instrText>
      </w:r>
      <w:r w:rsidRPr="00EA1221">
        <w:rPr>
          <w:rFonts w:cs="Times New Roman"/>
        </w:rPr>
        <w:fldChar w:fldCharType="separate"/>
      </w:r>
      <w:hyperlink w:anchor="_Toc147263830" w:history="1">
        <w:r w:rsidR="00B12051" w:rsidRPr="000551FF">
          <w:rPr>
            <w:rStyle w:val="Hyperlink"/>
            <w:noProof/>
          </w:rPr>
          <w:t>Section 1 Materials and methods</w:t>
        </w:r>
        <w:r w:rsidR="00B12051">
          <w:rPr>
            <w:noProof/>
            <w:webHidden/>
          </w:rPr>
          <w:tab/>
        </w:r>
        <w:r w:rsidR="00B12051">
          <w:rPr>
            <w:noProof/>
            <w:webHidden/>
          </w:rPr>
          <w:fldChar w:fldCharType="begin"/>
        </w:r>
        <w:r w:rsidR="00B12051">
          <w:rPr>
            <w:noProof/>
            <w:webHidden/>
          </w:rPr>
          <w:instrText xml:space="preserve"> PAGEREF _Toc147263830 \h </w:instrText>
        </w:r>
        <w:r w:rsidR="00B12051">
          <w:rPr>
            <w:noProof/>
            <w:webHidden/>
          </w:rPr>
        </w:r>
        <w:r w:rsidR="00B12051">
          <w:rPr>
            <w:noProof/>
            <w:webHidden/>
          </w:rPr>
          <w:fldChar w:fldCharType="separate"/>
        </w:r>
        <w:r w:rsidR="00AB7071">
          <w:rPr>
            <w:noProof/>
            <w:webHidden/>
          </w:rPr>
          <w:t>2</w:t>
        </w:r>
        <w:r w:rsidR="00B12051">
          <w:rPr>
            <w:noProof/>
            <w:webHidden/>
          </w:rPr>
          <w:fldChar w:fldCharType="end"/>
        </w:r>
      </w:hyperlink>
    </w:p>
    <w:p w14:paraId="4F9A429C" w14:textId="29A32C02" w:rsidR="00B12051" w:rsidRDefault="00416109">
      <w:pPr>
        <w:pStyle w:val="TOC2"/>
        <w:tabs>
          <w:tab w:val="right" w:leader="dot" w:pos="8296"/>
        </w:tabs>
        <w:rPr>
          <w:rFonts w:asciiTheme="minorHAnsi" w:eastAsiaTheme="minorEastAsia" w:hAnsiTheme="minorHAnsi"/>
          <w:noProof/>
          <w:kern w:val="2"/>
          <w:sz w:val="22"/>
          <w14:ligatures w14:val="standardContextual"/>
        </w:rPr>
      </w:pPr>
      <w:hyperlink w:anchor="_Toc147263831" w:history="1">
        <w:r w:rsidR="00B12051" w:rsidRPr="000551FF">
          <w:rPr>
            <w:rStyle w:val="Hyperlink"/>
            <w:noProof/>
          </w:rPr>
          <w:t>Section 2 Molecular simulation</w:t>
        </w:r>
        <w:r w:rsidR="00B12051">
          <w:rPr>
            <w:noProof/>
            <w:webHidden/>
          </w:rPr>
          <w:tab/>
        </w:r>
        <w:r w:rsidR="00B12051">
          <w:rPr>
            <w:noProof/>
            <w:webHidden/>
          </w:rPr>
          <w:fldChar w:fldCharType="begin"/>
        </w:r>
        <w:r w:rsidR="00B12051">
          <w:rPr>
            <w:noProof/>
            <w:webHidden/>
          </w:rPr>
          <w:instrText xml:space="preserve"> PAGEREF _Toc147263831 \h </w:instrText>
        </w:r>
        <w:r w:rsidR="00B12051">
          <w:rPr>
            <w:noProof/>
            <w:webHidden/>
          </w:rPr>
        </w:r>
        <w:r w:rsidR="00B12051">
          <w:rPr>
            <w:noProof/>
            <w:webHidden/>
          </w:rPr>
          <w:fldChar w:fldCharType="separate"/>
        </w:r>
        <w:r w:rsidR="00AB7071">
          <w:rPr>
            <w:noProof/>
            <w:webHidden/>
          </w:rPr>
          <w:t>4</w:t>
        </w:r>
        <w:r w:rsidR="00B12051">
          <w:rPr>
            <w:noProof/>
            <w:webHidden/>
          </w:rPr>
          <w:fldChar w:fldCharType="end"/>
        </w:r>
      </w:hyperlink>
    </w:p>
    <w:p w14:paraId="6BFA279F" w14:textId="2FC3A1FE" w:rsidR="00B12051" w:rsidRDefault="00416109">
      <w:pPr>
        <w:pStyle w:val="TOC2"/>
        <w:tabs>
          <w:tab w:val="right" w:leader="dot" w:pos="8296"/>
        </w:tabs>
        <w:rPr>
          <w:rFonts w:asciiTheme="minorHAnsi" w:eastAsiaTheme="minorEastAsia" w:hAnsiTheme="minorHAnsi"/>
          <w:noProof/>
          <w:kern w:val="2"/>
          <w:sz w:val="22"/>
          <w14:ligatures w14:val="standardContextual"/>
        </w:rPr>
      </w:pPr>
      <w:hyperlink w:anchor="_Toc147263832" w:history="1">
        <w:r w:rsidR="00B12051" w:rsidRPr="000551FF">
          <w:rPr>
            <w:rStyle w:val="Hyperlink"/>
            <w:noProof/>
          </w:rPr>
          <w:t>Section 3 Synthetic procedure</w:t>
        </w:r>
        <w:r w:rsidR="00B12051">
          <w:rPr>
            <w:noProof/>
            <w:webHidden/>
          </w:rPr>
          <w:tab/>
        </w:r>
        <w:r w:rsidR="00B12051">
          <w:rPr>
            <w:noProof/>
            <w:webHidden/>
          </w:rPr>
          <w:fldChar w:fldCharType="begin"/>
        </w:r>
        <w:r w:rsidR="00B12051">
          <w:rPr>
            <w:noProof/>
            <w:webHidden/>
          </w:rPr>
          <w:instrText xml:space="preserve"> PAGEREF _Toc147263832 \h </w:instrText>
        </w:r>
        <w:r w:rsidR="00B12051">
          <w:rPr>
            <w:noProof/>
            <w:webHidden/>
          </w:rPr>
        </w:r>
        <w:r w:rsidR="00B12051">
          <w:rPr>
            <w:noProof/>
            <w:webHidden/>
          </w:rPr>
          <w:fldChar w:fldCharType="separate"/>
        </w:r>
        <w:r w:rsidR="00AB7071">
          <w:rPr>
            <w:noProof/>
            <w:webHidden/>
          </w:rPr>
          <w:t>7</w:t>
        </w:r>
        <w:r w:rsidR="00B12051">
          <w:rPr>
            <w:noProof/>
            <w:webHidden/>
          </w:rPr>
          <w:fldChar w:fldCharType="end"/>
        </w:r>
      </w:hyperlink>
    </w:p>
    <w:p w14:paraId="76CEED81" w14:textId="1630FAF1" w:rsidR="00B12051" w:rsidRDefault="00416109">
      <w:pPr>
        <w:pStyle w:val="TOC2"/>
        <w:tabs>
          <w:tab w:val="right" w:leader="dot" w:pos="8296"/>
        </w:tabs>
        <w:rPr>
          <w:rFonts w:asciiTheme="minorHAnsi" w:eastAsiaTheme="minorEastAsia" w:hAnsiTheme="minorHAnsi"/>
          <w:noProof/>
          <w:kern w:val="2"/>
          <w:sz w:val="22"/>
          <w14:ligatures w14:val="standardContextual"/>
        </w:rPr>
      </w:pPr>
      <w:hyperlink w:anchor="_Toc147263833" w:history="1">
        <w:r w:rsidR="00B12051" w:rsidRPr="000551FF">
          <w:rPr>
            <w:rStyle w:val="Hyperlink"/>
            <w:noProof/>
          </w:rPr>
          <w:t>Section 4 Gas sorption analysis</w:t>
        </w:r>
        <w:bookmarkStart w:id="0" w:name="_GoBack"/>
        <w:bookmarkEnd w:id="0"/>
        <w:r w:rsidR="00B12051">
          <w:rPr>
            <w:noProof/>
            <w:webHidden/>
          </w:rPr>
          <w:tab/>
        </w:r>
        <w:r w:rsidR="00B12051">
          <w:rPr>
            <w:noProof/>
            <w:webHidden/>
          </w:rPr>
          <w:fldChar w:fldCharType="begin"/>
        </w:r>
        <w:r w:rsidR="00B12051">
          <w:rPr>
            <w:noProof/>
            <w:webHidden/>
          </w:rPr>
          <w:instrText xml:space="preserve"> PAGEREF _Toc147263833 \h </w:instrText>
        </w:r>
        <w:r w:rsidR="00B12051">
          <w:rPr>
            <w:noProof/>
            <w:webHidden/>
          </w:rPr>
        </w:r>
        <w:r w:rsidR="00B12051">
          <w:rPr>
            <w:noProof/>
            <w:webHidden/>
          </w:rPr>
          <w:fldChar w:fldCharType="separate"/>
        </w:r>
        <w:r w:rsidR="00AB7071">
          <w:rPr>
            <w:noProof/>
            <w:webHidden/>
          </w:rPr>
          <w:t>11</w:t>
        </w:r>
        <w:r w:rsidR="00B12051">
          <w:rPr>
            <w:noProof/>
            <w:webHidden/>
          </w:rPr>
          <w:fldChar w:fldCharType="end"/>
        </w:r>
      </w:hyperlink>
    </w:p>
    <w:p w14:paraId="7B7A59AF" w14:textId="12C07F68" w:rsidR="00B12051" w:rsidRDefault="00416109">
      <w:pPr>
        <w:pStyle w:val="TOC2"/>
        <w:tabs>
          <w:tab w:val="right" w:leader="dot" w:pos="8296"/>
        </w:tabs>
        <w:rPr>
          <w:rFonts w:asciiTheme="minorHAnsi" w:eastAsiaTheme="minorEastAsia" w:hAnsiTheme="minorHAnsi"/>
          <w:noProof/>
          <w:kern w:val="2"/>
          <w:sz w:val="22"/>
          <w14:ligatures w14:val="standardContextual"/>
        </w:rPr>
      </w:pPr>
      <w:hyperlink w:anchor="_Toc147263834" w:history="1">
        <w:r w:rsidR="00B12051" w:rsidRPr="000551FF">
          <w:rPr>
            <w:rStyle w:val="Hyperlink"/>
            <w:noProof/>
          </w:rPr>
          <w:t>Section 5 Crystal structure information</w:t>
        </w:r>
        <w:r w:rsidR="00B12051">
          <w:rPr>
            <w:noProof/>
            <w:webHidden/>
          </w:rPr>
          <w:tab/>
        </w:r>
        <w:r w:rsidR="00B12051">
          <w:rPr>
            <w:noProof/>
            <w:webHidden/>
          </w:rPr>
          <w:fldChar w:fldCharType="begin"/>
        </w:r>
        <w:r w:rsidR="00B12051">
          <w:rPr>
            <w:noProof/>
            <w:webHidden/>
          </w:rPr>
          <w:instrText xml:space="preserve"> PAGEREF _Toc147263834 \h </w:instrText>
        </w:r>
        <w:r w:rsidR="00B12051">
          <w:rPr>
            <w:noProof/>
            <w:webHidden/>
          </w:rPr>
        </w:r>
        <w:r w:rsidR="00B12051">
          <w:rPr>
            <w:noProof/>
            <w:webHidden/>
          </w:rPr>
          <w:fldChar w:fldCharType="separate"/>
        </w:r>
        <w:r w:rsidR="00AB7071">
          <w:rPr>
            <w:noProof/>
            <w:webHidden/>
          </w:rPr>
          <w:t>14</w:t>
        </w:r>
        <w:r w:rsidR="00B12051">
          <w:rPr>
            <w:noProof/>
            <w:webHidden/>
          </w:rPr>
          <w:fldChar w:fldCharType="end"/>
        </w:r>
      </w:hyperlink>
    </w:p>
    <w:p w14:paraId="1FCF771A" w14:textId="285DBC51" w:rsidR="00B12051" w:rsidRDefault="00416109">
      <w:pPr>
        <w:pStyle w:val="TOC2"/>
        <w:tabs>
          <w:tab w:val="right" w:leader="dot" w:pos="8296"/>
        </w:tabs>
        <w:rPr>
          <w:rFonts w:asciiTheme="minorHAnsi" w:eastAsiaTheme="minorEastAsia" w:hAnsiTheme="minorHAnsi"/>
          <w:noProof/>
          <w:kern w:val="2"/>
          <w:sz w:val="22"/>
          <w14:ligatures w14:val="standardContextual"/>
        </w:rPr>
      </w:pPr>
      <w:hyperlink w:anchor="_Toc147263835" w:history="1">
        <w:r w:rsidR="00B12051" w:rsidRPr="000551FF">
          <w:rPr>
            <w:rStyle w:val="Hyperlink"/>
            <w:noProof/>
          </w:rPr>
          <w:t>Reference</w:t>
        </w:r>
        <w:r w:rsidR="00B12051">
          <w:rPr>
            <w:noProof/>
            <w:webHidden/>
          </w:rPr>
          <w:tab/>
        </w:r>
        <w:r w:rsidR="00B12051">
          <w:rPr>
            <w:noProof/>
            <w:webHidden/>
          </w:rPr>
          <w:fldChar w:fldCharType="begin"/>
        </w:r>
        <w:r w:rsidR="00B12051">
          <w:rPr>
            <w:noProof/>
            <w:webHidden/>
          </w:rPr>
          <w:instrText xml:space="preserve"> PAGEREF _Toc147263835 \h </w:instrText>
        </w:r>
        <w:r w:rsidR="00B12051">
          <w:rPr>
            <w:noProof/>
            <w:webHidden/>
          </w:rPr>
        </w:r>
        <w:r w:rsidR="00B12051">
          <w:rPr>
            <w:noProof/>
            <w:webHidden/>
          </w:rPr>
          <w:fldChar w:fldCharType="separate"/>
        </w:r>
        <w:r w:rsidR="00AB7071">
          <w:rPr>
            <w:noProof/>
            <w:webHidden/>
          </w:rPr>
          <w:t>17</w:t>
        </w:r>
        <w:r w:rsidR="00B12051">
          <w:rPr>
            <w:noProof/>
            <w:webHidden/>
          </w:rPr>
          <w:fldChar w:fldCharType="end"/>
        </w:r>
      </w:hyperlink>
    </w:p>
    <w:p w14:paraId="49C512D4" w14:textId="7518E2E7" w:rsidR="000D55CE" w:rsidRPr="00EA1221" w:rsidRDefault="00490BBB" w:rsidP="000D55CE">
      <w:pPr>
        <w:pStyle w:val="ListParagraph"/>
        <w:spacing w:line="360" w:lineRule="auto"/>
        <w:jc w:val="center"/>
        <w:rPr>
          <w:rFonts w:ascii="Times New Roman" w:hAnsi="Times New Roman" w:cs="Times New Roman"/>
        </w:rPr>
      </w:pPr>
      <w:r w:rsidRPr="00EA1221">
        <w:rPr>
          <w:rFonts w:ascii="Times New Roman" w:hAnsi="Times New Roman" w:cs="Times New Roman"/>
        </w:rPr>
        <w:fldChar w:fldCharType="end"/>
      </w:r>
    </w:p>
    <w:p w14:paraId="419C3C7A" w14:textId="2BE01F51" w:rsidR="000D55CE" w:rsidRPr="00EA1221" w:rsidRDefault="000D55CE">
      <w:pPr>
        <w:spacing w:after="160" w:line="259" w:lineRule="auto"/>
        <w:jc w:val="left"/>
        <w:rPr>
          <w:rFonts w:eastAsiaTheme="majorEastAsia" w:cstheme="majorBidi"/>
          <w:b/>
          <w:bCs/>
          <w:szCs w:val="26"/>
        </w:rPr>
      </w:pPr>
      <w:r w:rsidRPr="00EA1221">
        <w:br w:type="page"/>
      </w:r>
    </w:p>
    <w:p w14:paraId="1DF42306" w14:textId="11653017" w:rsidR="004759DF" w:rsidRPr="00EA1221" w:rsidRDefault="004759DF">
      <w:pPr>
        <w:pStyle w:val="Heading2"/>
      </w:pPr>
      <w:bookmarkStart w:id="1" w:name="_Toc147263830"/>
      <w:r w:rsidRPr="00EA1221">
        <w:lastRenderedPageBreak/>
        <w:t xml:space="preserve">Section 1 </w:t>
      </w:r>
      <w:r w:rsidR="004D1FAD" w:rsidRPr="00EA1221">
        <w:t>M</w:t>
      </w:r>
      <w:r w:rsidRPr="00EA1221">
        <w:t>aterials and methods</w:t>
      </w:r>
      <w:bookmarkEnd w:id="1"/>
    </w:p>
    <w:p w14:paraId="66998D89" w14:textId="7F91F86B" w:rsidR="000D55CE" w:rsidRPr="00EA1221" w:rsidRDefault="006B102E" w:rsidP="00D3399A">
      <w:pPr>
        <w:pStyle w:val="Heading3"/>
      </w:pPr>
      <w:r w:rsidRPr="00EA1221">
        <w:t>1.1</w:t>
      </w:r>
      <w:r w:rsidR="000D55CE" w:rsidRPr="00EA1221">
        <w:t xml:space="preserve"> Materials </w:t>
      </w:r>
    </w:p>
    <w:p w14:paraId="2BD7A2ED" w14:textId="3B4E10C7" w:rsidR="000D55CE" w:rsidRPr="00EA1221" w:rsidRDefault="000D55CE" w:rsidP="000D55CE">
      <w:pPr>
        <w:rPr>
          <w:szCs w:val="24"/>
        </w:rPr>
      </w:pPr>
      <w:r w:rsidRPr="00EA1221">
        <w:rPr>
          <w:szCs w:val="24"/>
        </w:rPr>
        <w:t>All reagents were obtained from Sigma-Aldrich, TCI Europe, Fisher,</w:t>
      </w:r>
      <w:r w:rsidR="002D2BC2" w:rsidRPr="00EA1221">
        <w:rPr>
          <w:szCs w:val="24"/>
        </w:rPr>
        <w:t xml:space="preserve"> and </w:t>
      </w:r>
      <w:r w:rsidRPr="00EA1221">
        <w:rPr>
          <w:szCs w:val="24"/>
        </w:rPr>
        <w:t xml:space="preserve">Alfa </w:t>
      </w:r>
      <w:proofErr w:type="spellStart"/>
      <w:r w:rsidRPr="00EA1221">
        <w:rPr>
          <w:szCs w:val="24"/>
        </w:rPr>
        <w:t>Aesar</w:t>
      </w:r>
      <w:proofErr w:type="spellEnd"/>
      <w:r w:rsidRPr="00EA1221">
        <w:rPr>
          <w:szCs w:val="24"/>
        </w:rPr>
        <w:t xml:space="preserve"> and used as received. Anhydrous solvents were purchased from </w:t>
      </w:r>
      <w:proofErr w:type="spellStart"/>
      <w:r w:rsidRPr="00EA1221">
        <w:rPr>
          <w:szCs w:val="24"/>
        </w:rPr>
        <w:t>Acros</w:t>
      </w:r>
      <w:proofErr w:type="spellEnd"/>
      <w:r w:rsidRPr="00EA1221">
        <w:rPr>
          <w:szCs w:val="24"/>
        </w:rPr>
        <w:t xml:space="preserve"> Organics and used without further purification. All gases for sorption analysis were supplied by BOC at a purity of ≥99.9</w:t>
      </w:r>
      <w:r w:rsidR="001B4B2E" w:rsidRPr="00EA1221">
        <w:rPr>
          <w:szCs w:val="24"/>
        </w:rPr>
        <w:t xml:space="preserve"> </w:t>
      </w:r>
      <w:r w:rsidRPr="00EA1221">
        <w:rPr>
          <w:szCs w:val="24"/>
        </w:rPr>
        <w:t xml:space="preserve">%. </w:t>
      </w:r>
    </w:p>
    <w:p w14:paraId="0A9235FE" w14:textId="77777777" w:rsidR="000D55CE" w:rsidRPr="00EA1221" w:rsidRDefault="000D55CE" w:rsidP="000D55CE">
      <w:pPr>
        <w:rPr>
          <w:szCs w:val="24"/>
        </w:rPr>
      </w:pPr>
    </w:p>
    <w:p w14:paraId="262E0739" w14:textId="59E72E5F" w:rsidR="000D55CE" w:rsidRDefault="006B102E" w:rsidP="00D3399A">
      <w:pPr>
        <w:pStyle w:val="Heading3"/>
      </w:pPr>
      <w:r w:rsidRPr="00EA1221">
        <w:t>1.2</w:t>
      </w:r>
      <w:r w:rsidR="000D55CE" w:rsidRPr="00EA1221">
        <w:t xml:space="preserve"> Methods </w:t>
      </w:r>
    </w:p>
    <w:p w14:paraId="14EACB01" w14:textId="18C71CFF" w:rsidR="00BA69EC" w:rsidRDefault="00BA69EC" w:rsidP="00BA69EC">
      <w:r>
        <w:t>1.2.1 Molecular simulation</w:t>
      </w:r>
    </w:p>
    <w:p w14:paraId="3652E465" w14:textId="26AEB07E" w:rsidR="00243855" w:rsidRDefault="009E6A50" w:rsidP="6EC064CE">
      <w:r>
        <w:t>B</w:t>
      </w:r>
      <w:r w:rsidR="6EC064CE">
        <w:t>oth cage and cage-</w:t>
      </w:r>
      <w:r>
        <w:t>of-cages models were constructed</w:t>
      </w:r>
      <w:r w:rsidR="6EC064CE">
        <w:t xml:space="preserve"> in </w:t>
      </w:r>
      <w:r w:rsidR="6EC064CE" w:rsidRPr="6EC064CE">
        <w:rPr>
          <w:b/>
          <w:bCs/>
        </w:rPr>
        <w:t>Tri</w:t>
      </w:r>
      <w:r w:rsidR="6EC064CE" w:rsidRPr="6EC064CE">
        <w:rPr>
          <w:b/>
          <w:bCs/>
          <w:vertAlign w:val="superscript"/>
        </w:rPr>
        <w:t>2</w:t>
      </w:r>
      <w:r w:rsidR="6EC064CE" w:rsidRPr="6EC064CE">
        <w:rPr>
          <w:b/>
          <w:bCs/>
        </w:rPr>
        <w:t>Di</w:t>
      </w:r>
      <w:r w:rsidR="6EC064CE" w:rsidRPr="6EC064CE">
        <w:rPr>
          <w:b/>
          <w:bCs/>
          <w:vertAlign w:val="superscript"/>
        </w:rPr>
        <w:t>3</w:t>
      </w:r>
      <w:r w:rsidR="6EC064CE">
        <w:t xml:space="preserve">, </w:t>
      </w:r>
      <w:r w:rsidR="6EC064CE" w:rsidRPr="6EC064CE">
        <w:rPr>
          <w:b/>
          <w:bCs/>
        </w:rPr>
        <w:t>Tri</w:t>
      </w:r>
      <w:r w:rsidR="6EC064CE" w:rsidRPr="6EC064CE">
        <w:rPr>
          <w:b/>
          <w:bCs/>
          <w:vertAlign w:val="superscript"/>
        </w:rPr>
        <w:t>4</w:t>
      </w:r>
      <w:r w:rsidR="6EC064CE" w:rsidRPr="6EC064CE">
        <w:rPr>
          <w:b/>
          <w:bCs/>
        </w:rPr>
        <w:t>Di</w:t>
      </w:r>
      <w:r w:rsidR="6EC064CE" w:rsidRPr="6EC064CE">
        <w:rPr>
          <w:b/>
          <w:bCs/>
          <w:vertAlign w:val="superscript"/>
        </w:rPr>
        <w:t>6</w:t>
      </w:r>
      <w:r w:rsidR="6EC064CE">
        <w:t xml:space="preserve">, </w:t>
      </w:r>
      <w:r w:rsidR="6EC064CE" w:rsidRPr="6EC064CE">
        <w:rPr>
          <w:b/>
          <w:bCs/>
        </w:rPr>
        <w:t>Tri</w:t>
      </w:r>
      <w:r w:rsidR="6EC064CE" w:rsidRPr="6EC064CE">
        <w:rPr>
          <w:b/>
          <w:bCs/>
          <w:vertAlign w:val="superscript"/>
        </w:rPr>
        <w:t>8</w:t>
      </w:r>
      <w:r w:rsidR="6EC064CE" w:rsidRPr="6EC064CE">
        <w:rPr>
          <w:b/>
          <w:bCs/>
        </w:rPr>
        <w:t>Di</w:t>
      </w:r>
      <w:r w:rsidR="6EC064CE" w:rsidRPr="6EC064CE">
        <w:rPr>
          <w:b/>
          <w:bCs/>
          <w:vertAlign w:val="superscript"/>
        </w:rPr>
        <w:t>12</w:t>
      </w:r>
      <w:r w:rsidR="6EC064CE">
        <w:t xml:space="preserve"> topologies </w:t>
      </w:r>
      <w:r>
        <w:t>using</w:t>
      </w:r>
      <w:r w:rsidR="6EC064CE">
        <w:t xml:space="preserve"> the supramolecular toolkit (</w:t>
      </w:r>
      <w:proofErr w:type="spellStart"/>
      <w:r w:rsidR="6EC064CE" w:rsidRPr="6EC064CE">
        <w:rPr>
          <w:i/>
          <w:iCs/>
        </w:rPr>
        <w:t>stk</w:t>
      </w:r>
      <w:proofErr w:type="spellEnd"/>
      <w:r w:rsidR="6EC064CE">
        <w:t>) software.</w:t>
      </w:r>
      <w:r w:rsidR="00243855">
        <w:fldChar w:fldCharType="begin" w:fldLock="1"/>
      </w:r>
      <w:r w:rsidR="007944FF">
        <w:instrText>ADDIN CSL_CITATION {"citationItems":[{"id":"ITEM-1","itemData":{"DOI":"10.1002/jcc.25377","ISSN":"1096987X","PMID":"30247770","abstract":"A tool for the automated assembly, molecular optimization and property calculation of supramolecular materials is presented. stk is a modular, extensible and open-source Python library that provides a simple Python API and integration with third party computational codes. stk currently supports the construction of linear polymers, small linear oligomers, organic cages in multiple topologies and covalent organic frameworks (COFs) in multiple framework topologies, but is designed to be easy to extend to new, unrelated, supramolecules or new topologies. Extension to metal–organic frameworks (MOFs), metallocycles or supramolecules, such as catenanes, would be straightforward. Through integration with third party codes, stk offers the user the opportunity to explore the potential energy landscape of the assembled supramolecule and then calculate the supramolecule's structural features and properties. stk provides support for high-throughput screening of large batches of supramolecules at a time. The source code of the program can be found at https://github.com/supramolecular-toolkit/stk. © 2018 Wiley Periodicals, Inc.","author":[{"dropping-particle":"","family":"Turcani","given":"Lukas","non-dropping-particle":"","parse-names":false,"suffix":""},{"dropping-particle":"","family":"Berardo","given":"Enrico","non-dropping-particle":"","parse-names":false,"suffix":""},{"dropping-particle":"","family":"Jelfs","given":"Kim E.","non-dropping-particle":"","parse-names":false,"suffix":""}],"container-title":"Journal of Computational Chemistry","id":"ITEM-1","issue":"23","issued":{"date-parts":[["2018"]]},"page":"1931-1942","title":"stk: A python toolkit for supramolecular assembly","type":"article-journal","volume":"39"},"uris":["http://www.mendeley.com/documents/?uuid=6d208999-2c0b-36e4-bc87-58b0f374ca6d","http://www.mendeley.com/documents/?uuid=04a62994-4b2f-4825-996c-2d1dee0759a6"]}],"mendeley":{"formattedCitation":"&lt;sup&gt;1&lt;/sup&gt;","plainTextFormattedCitation":"1","previouslyFormattedCitation":"&lt;sup&gt;1&lt;/sup&gt;"},"properties":{"noteIndex":0},"schema":"https://github.com/citation-style-language/schema/raw/master/csl-citation.json"}</w:instrText>
      </w:r>
      <w:r w:rsidR="00243855">
        <w:fldChar w:fldCharType="separate"/>
      </w:r>
      <w:r w:rsidR="6EC064CE" w:rsidRPr="6EC064CE">
        <w:rPr>
          <w:noProof/>
          <w:vertAlign w:val="superscript"/>
        </w:rPr>
        <w:t>1</w:t>
      </w:r>
      <w:r w:rsidR="00243855">
        <w:fldChar w:fldCharType="end"/>
      </w:r>
      <w:r w:rsidR="6EC064CE">
        <w:t xml:space="preserve"> All cages were annealed with a molecular dynamics simulation at </w:t>
      </w:r>
      <w:r>
        <w:t>700 </w:t>
      </w:r>
      <w:r w:rsidR="6EC064CE">
        <w:t xml:space="preserve">K for 50 ns with a timestep of 0.5 fs after a 100 </w:t>
      </w:r>
      <w:proofErr w:type="spellStart"/>
      <w:r w:rsidR="6EC064CE">
        <w:t>ps</w:t>
      </w:r>
      <w:proofErr w:type="spellEnd"/>
      <w:r w:rsidR="6EC064CE">
        <w:t xml:space="preserve"> equilibration time with OPLS4 force field as implemented in the </w:t>
      </w:r>
      <w:proofErr w:type="spellStart"/>
      <w:r w:rsidR="6EC064CE">
        <w:t>Macromodel</w:t>
      </w:r>
      <w:proofErr w:type="spellEnd"/>
      <w:r w:rsidR="6EC064CE">
        <w:t xml:space="preserve"> Suite.</w:t>
      </w:r>
      <w:r w:rsidR="00243855">
        <w:fldChar w:fldCharType="begin" w:fldLock="1"/>
      </w:r>
      <w:r w:rsidR="007944FF">
        <w:instrText>ADDIN CSL_CITATION {"citationItems":[{"id":"ITEM-1","itemData":{"DOI":"10.1021/acs.jctc.1c00302","ISSN":"15499626","PMID":"34096718","abstract":"We report on the development and validation of the OPLS4 force field. OPLS4 builds upon our previous work with OPLS3e to improve model accuracy on challenging regimes of drug-like chemical space that includes molecular ions and sulfur-containing moieties. A novel parametrization strategy for charged species, which can be extended to other systems, is introduced. OPLS4 leads to improved accuracy on benchmarks that assess small-molecule solvation and protein-ligand binding.","author":[{"dropping-particle":"","family":"Lu","given":"Chao","non-dropping-particle":"","parse-names":false,"suffix":""},{"dropping-particle":"","family":"Wu","given":"Chuanjie","non-dropping-particle":"","parse-names":false,"suffix":""},{"dropping-particle":"","family":"Ghoreishi","given":"Delaram","non-dropping-particle":"","parse-names":false,"suffix":""},{"dropping-particle":"","family":"Chen","given":"Wei","non-dropping-particle":"","parse-names":false,"suffix":""},{"dropping-particle":"","family":"Wang","given":"Lingle","non-dropping-particle":"","parse-names":false,"suffix":""},{"dropping-particle":"","family":"Damm","given":"Wolfgang","non-dropping-particle":"","parse-names":false,"suffix":""},{"dropping-particle":"","family":"Ross","given":"Gregory A.","non-dropping-particle":"","parse-names":false,"suffix":""},{"dropping-particle":"","family":"Dahlgren","given":"Markus K.","non-dropping-particle":"","parse-names":false,"suffix":""},{"dropping-particle":"","family":"Russell","given":"Ellery","non-dropping-particle":"","parse-names":false,"suffix":""},{"dropping-particle":"","family":"Bargen","given":"Christopher D.","non-dropping-particle":"Von","parse-names":false,"suffix":""},{"dropping-particle":"","family":"Abel","given":"Robert","non-dropping-particle":"","parse-names":false,"suffix":""},{"dropping-particle":"","family":"Friesner","given":"Richard A.","non-dropping-particle":"","parse-names":false,"suffix":""},{"dropping-particle":"","family":"Harder","given":"Edward D.","non-dropping-particle":"","parse-names":false,"suffix":""}],"container-title":"Journal of Chemical Theory and Computation","id":"ITEM-1","issue":"7","issued":{"date-parts":[["2021"]]},"page":"4291-4300","title":"OPLS4: Improving force field accuracy on challenging regimes of chemical space","type":"article-journal","volume":"17"},"uris":["http://www.mendeley.com/documents/?uuid=be944fe2-57ee-46d0-a38c-0734a108bb95"]}],"mendeley":{"formattedCitation":"&lt;sup&gt;2&lt;/sup&gt;","plainTextFormattedCitation":"2","previouslyFormattedCitation":"&lt;sup&gt;2&lt;/sup&gt;"},"properties":{"noteIndex":0},"schema":"https://github.com/citation-style-language/schema/raw/master/csl-citation.json"}</w:instrText>
      </w:r>
      <w:r w:rsidR="00243855">
        <w:fldChar w:fldCharType="separate"/>
      </w:r>
      <w:r w:rsidR="6EC064CE" w:rsidRPr="6EC064CE">
        <w:rPr>
          <w:noProof/>
          <w:vertAlign w:val="superscript"/>
        </w:rPr>
        <w:t>2</w:t>
      </w:r>
      <w:r w:rsidR="00243855">
        <w:fldChar w:fldCharType="end"/>
      </w:r>
      <w:r w:rsidR="6EC064CE">
        <w:t xml:space="preserve"> </w:t>
      </w:r>
      <w:r>
        <w:t xml:space="preserve">Five </w:t>
      </w:r>
      <w:proofErr w:type="spellStart"/>
      <w:r>
        <w:t>hundered</w:t>
      </w:r>
      <w:proofErr w:type="spellEnd"/>
      <w:r>
        <w:t xml:space="preserve"> </w:t>
      </w:r>
      <w:r w:rsidR="6EC064CE">
        <w:t>random configurations from the total MD duration were sampled and energy minimized, with the lowest energy configuration selected for Density Functional Theory (DFT) calculations.</w:t>
      </w:r>
    </w:p>
    <w:p w14:paraId="1ED9EE8B" w14:textId="77777777" w:rsidR="009E6A50" w:rsidRPr="00243855" w:rsidRDefault="009E6A50" w:rsidP="6EC064CE"/>
    <w:p w14:paraId="2510C6F1" w14:textId="2826E73C" w:rsidR="00243855" w:rsidRDefault="6EC064CE" w:rsidP="00243855">
      <w:r>
        <w:t>DFT calculations were performed with CP2K 2023.1</w:t>
      </w:r>
      <w:r w:rsidR="003B42B7">
        <w:fldChar w:fldCharType="begin" w:fldLock="1"/>
      </w:r>
      <w:r w:rsidR="00A85C8F">
        <w:instrText>ADDIN CSL_CITATION {"citationItems":[{"id":"ITEM-1","itemData":{"DOI":"10.1063/5.0007045","ISSN":"0021-9606","PMID":"33687235","abstract":"CP2K is an open source electronic structure and molecular dynamics software package to perform atomistic simulations of solid-state, liquid, molecular, and biological systems. It is especially aimed at massively parallel and linear-scaling electronic structure methods and state-of-the-art ab initio molecular dynamics simulations. Excellent performance for electronic structure calculations is achieved using novel algorithms implemented for modern high-performance computing systems. This review revisits the main capabilities of CP2K to perform efficient and accurate electronic structure simulations. The emphasis is put on density functional theory and multiple post–Hartree–Fock methods using the Gaussian and plane wave approach and its augmented all-electron extension.","author":[{"dropping-particle":"","family":"Kühne","given":"Thomas D.","non-dropping-particle":"","parse-names":false,"suffix":""},{"dropping-particle":"","family":"Iannuzzi","given":"Marcella","non-dropping-particle":"","parse-names":false,"suffix":""},{"dropping-particle":"","family":"Ben","given":"Mauro","non-dropping-particle":"Del","parse-names":false,"suffix":""},{"dropping-particle":"V.","family":"Rybkin","given":"Vladimir","non-dropping-particle":"","parse-names":false,"suffix":""},{"dropping-particle":"","family":"Seewald","given":"Patrick","non-dropping-particle":"","parse-names":false,"suffix":""},{"dropping-particle":"","family":"Stein","given":"Frederick","non-dropping-particle":"","parse-names":false,"suffix":""},{"dropping-particle":"","family":"Laino","given":"Teodoro","non-dropping-particle":"","parse-names":false,"suffix":""},{"dropping-particle":"","family":"Khaliullin","given":"Rustam Z.","non-dropping-particle":"","parse-names":false,"suffix":""},{"dropping-particle":"","family":"Schütt","given":"Ole","non-dropping-particle":"","parse-names":false,"suffix":""},{"dropping-particle":"","family":"Schiffmann","given":"Florian","non-dropping-particle":"","parse-names":false,"suffix":""},{"dropping-particle":"","family":"Golze","given":"Dorothea","non-dropping-particle":"","parse-names":false,"suffix":""},{"dropping-particle":"","family":"Wilhelm","given":"Jan","non-dropping-particle":"","parse-names":false,"suffix":""},{"dropping-particle":"","family":"Chulkov","given":"Sergey","non-dropping-particle":"","parse-names":false,"suffix":""},{"dropping-particle":"","family":"Bani-Hashemian","given":"Mohammad Hossein","non-dropping-particle":"","parse-names":false,"suffix":""},{"dropping-particle":"","family":"Weber","given":"Valéry","non-dropping-particle":"","parse-names":false,"suffix":""},{"dropping-particle":"","family":"Borštnik","given":"Urban","non-dropping-particle":"","parse-names":false,"suffix":""},{"dropping-particle":"","family":"Taillefumier","given":"Mathieu","non-dropping-particle":"","parse-names":false,"suffix":""},{"dropping-particle":"","family":"Jakobovits","given":"Alice Shoshana","non-dropping-particle":"","parse-names":false,"suffix":""},{"dropping-particle":"","family":"Lazzaro","given":"Alfio","non-dropping-particle":"","parse-names":false,"suffix":""},{"dropping-particle":"","family":"Pabst","given":"Hans","non-dropping-particle":"","parse-names":false,"suffix":""},{"dropping-particle":"","family":"Müller","given":"Tiziano","non-dropping-particle":"","parse-names":false,"suffix":""},{"dropping-particle":"","family":"Schade","given":"Robert","non-dropping-particle":"","parse-names":false,"suffix":""},{"dropping-particle":"","family":"Guidon","given":"Manuel","non-dropping-particle":"","parse-names":false,"suffix":""},{"dropping-particle":"","family":"Andermatt","given":"Samuel","non-dropping-particle":"","parse-names":false,"suffix":""},{"dropping-particle":"","family":"Holmberg","given":"Nico","non-dropping-particle":"","parse-names":false,"suffix":""},{"dropping-particle":"","family":"Schenter","given":"Gregory K.","non-dropping-particle":"","parse-names":false,"suffix":""},{"dropping-particle":"","family":"Hehn","given":"Anna","non-dropping-particle":"","parse-names":false,"suffix":""},{"dropping-particle":"","family":"Bussy","given":"Augustin","non-dropping-particle":"","parse-names":false,"suffix":""},{"dropping-particle":"","family":"Belleflamme","given":"Fabian","non-dropping-particle":"","parse-names":false,"suffix":""},{"dropping-particle":"","family":"Tabacchi","given":"Gloria","non-dropping-particle":"","parse-names":false,"suffix":""},{"dropping-particle":"","family":"Glöß","given":"Andreas","non-dropping-particle":"","parse-names":false,"suffix":""},{"dropping-particle":"","family":"Lass","given":"Michael","non-dropping-particle":"","parse-names":false,"suffix":""},{"dropping-particle":"","family":"Bethune","given":"Iain","non-dropping-particle":"","parse-names":false,"suffix":""},{"dropping-particle":"","family":"Mundy","given":"Christopher J.","non-dropping-particle":"","parse-names":false,"suffix":""},{"dropping-particle":"","family":"Plessl","given":"Christian","non-dropping-particle":"","parse-names":false,"suffix":""},{"dropping-particle":"","family":"Watkins","given":"Matt","non-dropping-particle":"","parse-names":false,"suffix":""},{"dropping-particle":"","family":"VandeVondele","given":"Joost","non-dropping-particle":"","parse-names":false,"suffix":""},{"dropping-particle":"","family":"Krack","given":"Matthias","non-dropping-particle":"","parse-names":false,"suffix":""},{"dropping-particle":"","family":"Hutter","given":"Jürg","non-dropping-particle":"","parse-names":false,"suffix":""}],"container-title":"The Journal of Chemical Physics","id":"ITEM-1","issue":"19","issued":{"date-parts":[["2020","5","21"]]},"title":"CP2K: An electronic structure and molecular dynamics software package - Quickstep: Efficient and accurate electronic structure calculations","type":"article-journal","volume":"152"},"uris":["http://www.mendeley.com/documents/?uuid=e7490a76-0c61-3dd2-9dc6-5698fca6cf88","http://www.mendeley.com/documents/?uuid=f421534a-0618-4a61-b229-6b6099cef99e"]}],"mendeley":{"formattedCitation":"&lt;sup&gt;3&lt;/sup&gt;","plainTextFormattedCitation":"3","previouslyFormattedCitation":"&lt;sup&gt;3&lt;/sup&gt;"},"properties":{"noteIndex":0},"schema":"https://github.com/citation-style-language/schema/raw/master/csl-citation.json"}</w:instrText>
      </w:r>
      <w:r w:rsidR="003B42B7">
        <w:fldChar w:fldCharType="separate"/>
      </w:r>
      <w:r w:rsidR="003B42B7" w:rsidRPr="003B42B7">
        <w:rPr>
          <w:noProof/>
          <w:vertAlign w:val="superscript"/>
        </w:rPr>
        <w:t>3</w:t>
      </w:r>
      <w:r w:rsidR="003B42B7">
        <w:fldChar w:fldCharType="end"/>
      </w:r>
      <w:r>
        <w:t xml:space="preserve"> version software using </w:t>
      </w:r>
      <w:bookmarkStart w:id="2" w:name="OLE_LINK5"/>
      <w:r>
        <w:t xml:space="preserve">Generalized Gradient Approximation </w:t>
      </w:r>
      <w:bookmarkEnd w:id="2"/>
      <w:r>
        <w:t>(GGA) theory with the PBE functional</w:t>
      </w:r>
      <w:r w:rsidR="00CB59E7">
        <w:fldChar w:fldCharType="begin" w:fldLock="1"/>
      </w:r>
      <w:r w:rsidR="00A85C8F">
        <w:instrText>ADDIN CSL_CITATION {"citationItems":[{"id":"ITEM-1","itemData":{"DOI":"10.1103/PhysRevLett.77.3865","ISSN":"10797114","PMID":"10062328","abstract":"Generalized gradient approximations (GGA's) for the exchange-correlation energy improve upon the local spin density (LSD) description of atoms, molecules, and solids. We present a simple derivation of a simple GGA, in which all parameters (other than those in LSD) are fundamental constants. Only general features of the detailed construction underlying the Perdew-Wang 1991 (PW91) GGA are invoked. Improvements over PW91 include an accurate description of the linear response of the uniform electron gas, correct behavior under uniform scaling, and a smoother potential. © 1996 The American Physical Society.","author":[{"dropping-particle":"","family":"Perdew","given":"John P.","non-dropping-particle":"","parse-names":false,"suffix":""},{"dropping-particle":"","family":"Burke","given":"Kieron","non-dropping-particle":"","parse-names":false,"suffix":""},{"dropping-particle":"","family":"Ernzerhof","given":"Matthias","non-dropping-particle":"","parse-names":false,"suffix":""}],"container-title":"Physical Review Letters","id":"ITEM-1","issue":"18","issued":{"date-parts":[["1996"]]},"page":"3865-3868","title":"Generalized gradient approximation made simple","type":"article-journal","volume":"77"},"uris":["http://www.mendeley.com/documents/?uuid=cf4d7515-3c12-35e2-be09-ecd8fc2e36aa","http://www.mendeley.com/documents/?uuid=8023c542-4f3d-4925-a326-8fd26da488e1"]}],"mendeley":{"formattedCitation":"&lt;sup&gt;4&lt;/sup&gt;","plainTextFormattedCitation":"4","previouslyFormattedCitation":"&lt;sup&gt;4&lt;/sup&gt;"},"properties":{"noteIndex":0},"schema":"https://github.com/citation-style-language/schema/raw/master/csl-citation.json"}</w:instrText>
      </w:r>
      <w:r w:rsidR="00CB59E7">
        <w:fldChar w:fldCharType="separate"/>
      </w:r>
      <w:r w:rsidR="003B42B7" w:rsidRPr="003B42B7">
        <w:rPr>
          <w:noProof/>
          <w:vertAlign w:val="superscript"/>
        </w:rPr>
        <w:t>4</w:t>
      </w:r>
      <w:r w:rsidR="00CB59E7">
        <w:fldChar w:fldCharType="end"/>
      </w:r>
      <w:r>
        <w:t xml:space="preserve"> and def2-TZVP basis sets</w:t>
      </w:r>
      <w:r w:rsidR="003B42B7">
        <w:fldChar w:fldCharType="begin" w:fldLock="1"/>
      </w:r>
      <w:r w:rsidR="007944FF">
        <w:instrText>ADDIN CSL_CITATION {"citationItems":[{"id":"ITEM-1","itemData":{"DOI":"10.1063/1.2770708","ISSN":"00219606","abstract":"We present a library of Gaussian basis sets that has been specifically optimized to perform accurate molecular calculations based on density functional theory. It targets a wide range of chemical environments, including the gas phase, interfaces, and the condensed phase. These generally contracted basis sets, which include diffuse primitives, are obtained minimizing a linear combination of the total energy and the condition number of the overlap matrix for a set of molecules with respect to the exponents and contraction coefficients of the full basis. Typically, for a given accuracy in the total energy, significantly fewer basis functions are needed in this scheme than in the usual split valence scheme, leading to a speedup for systems where the computational cost is dominated by diagonalization. More importantly, binding energies of hydrogen bonded complexes are of similar quality as the ones obtained with augmented basis sets, i.e., have a small (down to 0.2 kcalmol) basis set superposition error, and the monomers have dipoles within 0.1 D of the basis set limit. However, contrary to typical augmented basis sets, there are no near linear dependencies in the basis, so that the overlap matrix is always well conditioned, also, in the condensed phase. The basis can therefore be used in first principles molecular dynamics simulations and is well suited for linear scaling calculations. © 2007 American Institute of Physics.","author":[{"dropping-particle":"","family":"VandeVondele","given":"Joost","non-dropping-particle":"","parse-names":false,"suffix":""},{"dropping-particle":"","family":"Hutter","given":"Jürg","non-dropping-particle":"","parse-names":false,"suffix":""}],"container-title":"Journal of Chemical Physics","id":"ITEM-1","issue":"11","issued":{"date-parts":[["2007"]]},"title":"Gaussian basis sets for accurate calculations on molecular systems in gas and condensed phases","type":"article-journal","volume":"127"},"uris":["http://www.mendeley.com/documents/?uuid=2d43f01b-8de8-3959-81b8-be58b34d9bfc","http://www.mendeley.com/documents/?uuid=a5a44152-f613-4157-a4bb-cf0bb6ba7b32"]}],"mendeley":{"formattedCitation":"&lt;sup&gt;5&lt;/sup&gt;","plainTextFormattedCitation":"5","previouslyFormattedCitation":"&lt;sup&gt;5&lt;/sup&gt;"},"properties":{"noteIndex":0},"schema":"https://github.com/citation-style-language/schema/raw/master/csl-citation.json"}</w:instrText>
      </w:r>
      <w:r w:rsidR="003B42B7">
        <w:fldChar w:fldCharType="separate"/>
      </w:r>
      <w:r w:rsidR="003B42B7" w:rsidRPr="003B42B7">
        <w:rPr>
          <w:noProof/>
          <w:vertAlign w:val="superscript"/>
        </w:rPr>
        <w:t>5</w:t>
      </w:r>
      <w:r w:rsidR="003B42B7">
        <w:fldChar w:fldCharType="end"/>
      </w:r>
      <w:r>
        <w:t xml:space="preserve">. A planewave cut-off value of 400 Ry and a relative cut-off value of 100 Ry were parameterized to obtain converged energy levels and dispersion interactions were accounted for with </w:t>
      </w:r>
      <w:proofErr w:type="spellStart"/>
      <w:r>
        <w:t>Grimme’s</w:t>
      </w:r>
      <w:proofErr w:type="spellEnd"/>
      <w:r>
        <w:t xml:space="preserve"> DFT-D3 approach</w:t>
      </w:r>
      <w:r w:rsidR="00CB59E7">
        <w:fldChar w:fldCharType="begin" w:fldLock="1"/>
      </w:r>
      <w:r w:rsidR="002740AC">
        <w:instrText>ADDIN CSL_CITATION {"citationItems":[{"id":"ITEM-1","itemData":{"DOI":"10.1063/1.3382344","ISSN":"0021-9606","PMID":"20423165","abstract":"The method of dispersion correction as an add-on to standard Kohn–Sham density functional theory (DFT-D) has been refined regarding higher accuracy, broader range of applicability, and less empiricism. The main new ingredients are atom-pairwise specific dispersion coefficients and cutoff radii that are both computed from first principles. The coefficients for new eighth-order dispersion terms are computed using established recursion relations. System (geometry) dependent information is used for the first time in a DFT-D type approach by employing the new concept of fractional coordination numbers (CN). They are used to interpolate between dispersion coefficients of atoms in different chemical environments. The method only requires adjustment of two global parameters for each density functional, is asymptotically exact for a gas of weakly interacting neutral atoms, and easily allows the computation of atomic forces. Three-body nonadditivity terms are considered. The method has been assessed on standard benchmark sets for inter- and intramolecular noncovalent interactions with a particular emphasis on a consistent description of light and heavy element systems. The mean absolute deviations for the S22 benchmark set of noncovalent interactions for 11 standard density functionals decrease by 15%–40% compared to the previous (already accurate) DFT-D version. Spectacular improvements are found for a tripeptide-folding model and all tested metallic systems. The rectification of the long-range behavior and the use of more accurate C6 coefficients also lead to a much better description of large (infinite) systems as shown for graphene sheets and the adsorption of benzene on an Ag(111) surface. For graphene it is found that the inclusion of three-body terms substantially (by about 10%) weakens the interlayer binding. We propose the revised DFT-D method as a general tool for the computation of the dispersion energy in molecules and solids of any kind with DFT and related (low-cost) electronic structure methods for large systems.","author":[{"dropping-particle":"","family":"Grimme","given":"Stefan","non-dropping-particle":"","parse-names":false,"suffix":""},{"dropping-particle":"","family":"Antony","given":"Jens","non-dropping-particle":"","parse-names":false,"suffix":""},{"dropping-particle":"","family":"Ehrlich","given":"Stephan","non-dropping-particle":"","parse-names":false,"suffix":""},{"dropping-particle":"","family":"Krieg","given":"Helge","non-dropping-particle":"","parse-names":false,"suffix":""}],"container-title":"The Journal of Chemical Physics","id":"ITEM-1","issue":"15","issued":{"date-parts":[["2010","4","21"]]},"title":"A consistent and accurate ab initio parametrization of density functional dispersion correction (DFT-D) for the 94 elements H-Pu","type":"article-journal","volume":"132"},"uris":["http://www.mendeley.com/documents/?uuid=6c6e6127-b812-3419-8966-acc229796ab5","http://www.mendeley.com/documents/?uuid=f27d5655-6cf6-4d80-a4d1-c46b692977df"]}],"mendeley":{"formattedCitation":"&lt;sup&gt;6&lt;/sup&gt;","plainTextFormattedCitation":"6","previouslyFormattedCitation":"&lt;sup&gt;6&lt;/sup&gt;"},"properties":{"noteIndex":0},"schema":"https://github.com/citation-style-language/schema/raw/master/csl-citation.json"}</w:instrText>
      </w:r>
      <w:r w:rsidR="00CB59E7">
        <w:fldChar w:fldCharType="separate"/>
      </w:r>
      <w:r w:rsidR="003B42B7" w:rsidRPr="003B42B7">
        <w:rPr>
          <w:noProof/>
          <w:vertAlign w:val="superscript"/>
        </w:rPr>
        <w:t>6</w:t>
      </w:r>
      <w:r w:rsidR="00CB59E7">
        <w:fldChar w:fldCharType="end"/>
      </w:r>
      <w:r>
        <w:t>.</w:t>
      </w:r>
    </w:p>
    <w:p w14:paraId="18DC77B9" w14:textId="77777777" w:rsidR="009E6A50" w:rsidRDefault="009E6A50" w:rsidP="00243855"/>
    <w:p w14:paraId="44FB7E93" w14:textId="332C6C43" w:rsidR="001C27A4" w:rsidRDefault="6EC064CE" w:rsidP="6EC064CE">
      <w:r>
        <w:t>The geometries of the [4[2+3]+6]cage was then fully optimized by means of the hybrid M06-2X functional</w:t>
      </w:r>
      <w:r w:rsidR="001C27A4">
        <w:fldChar w:fldCharType="begin" w:fldLock="1"/>
      </w:r>
      <w:r w:rsidR="003B42B7">
        <w:instrText>ADDIN CSL_CITATION {"citationItems":[{"id":"ITEM-1","itemData":{"DOI":"10.1007/s00214-007-0310-x","ISSN":"1432881X","abstract":"We present two new hybrid meta exchange- correlation functionals, called M06 and M06-2X. The M06 functional is parametrized including both transition metals and nonmetals, whereas the M06-2X functional is a high-nonlocality functional with double the amount of nonlocal exchange (2X), and it is parametrized only for nonmetals.The functionals, along with the previously published M06-L local functional and the M06-HF full-Hartree-Fock functionals, constitute the M06 suite of complementary functionals. We assess these four functionals by comparing their performance to that of 12 other functionals and Hartree-Fock theory for 403 energetic data in 29 diverse databases, including ten databases for thermochemistry, four databases for kinetics, eight databases for noncovalent interactions, three databases for transition metal bonding, one database for metal atom excitation energies, and three databases for molecular excitation energies. We also illustrate the performance of these 17 methods for three databases containing 40 bond lengths and for databases containing 38 vibrational frequencies and 15 vibrational zero point energies. We recommend the M06-2X functional for applications involving main-group thermochemistry, kinetics, noncovalent interactions, and electronic excitation energies to valence and Rydberg states. We recommend the M06 functional for application in organometallic and inorganometallic chemistry and for noncovalent interactions. © 2007 Springer-Verlag.","author":[{"dropping-particle":"","family":"Zhao","given":"Yan","non-dropping-particle":"","parse-names":false,"suffix":""},{"dropping-particle":"","family":"Truhlar","given":"Donald G.","non-dropping-particle":"","parse-names":false,"suffix":""}],"container-title":"Theoretical Chemistry Accounts","id":"ITEM-1","issue":"1-3","issued":{"date-parts":[["2008"]]},"page":"215-241","title":"The M06 suite of density functionals for main group thermochemistry, thermochemical kinetics, noncovalent interactions, excited states, and transition elements: Two new functionals and systematic testing of four M06-class functionals and 12 other function","type":"article-journal","volume":"120"},"uris":["http://www.mendeley.com/documents/?uuid=43e75b59-f34a-3210-8b3d-00bc7f777be6"]}],"mendeley":{"formattedCitation":"&lt;sup&gt;7&lt;/sup&gt;","plainTextFormattedCitation":"7","previouslyFormattedCitation":"&lt;sup&gt;7&lt;/sup&gt;"},"properties":{"noteIndex":0},"schema":"https://github.com/citation-style-language/schema/raw/master/csl-citation.json"}</w:instrText>
      </w:r>
      <w:r w:rsidR="001C27A4">
        <w:fldChar w:fldCharType="separate"/>
      </w:r>
      <w:r w:rsidR="003B42B7" w:rsidRPr="003B42B7">
        <w:rPr>
          <w:noProof/>
          <w:vertAlign w:val="superscript"/>
        </w:rPr>
        <w:t>7</w:t>
      </w:r>
      <w:r w:rsidR="001C27A4">
        <w:fldChar w:fldCharType="end"/>
      </w:r>
      <w:r>
        <w:t xml:space="preserve"> in Gaussian16.</w:t>
      </w:r>
      <w:r w:rsidR="001C27A4">
        <w:fldChar w:fldCharType="begin" w:fldLock="1"/>
      </w:r>
      <w:r w:rsidR="003B42B7">
        <w:instrText>ADDIN CSL_CITATION {"citationItems":[{"id":"ITEM-1","itemData":{"abstract":"Gaussian 16, Revision A.03, M. J. Frisch, G. W. Trucks, H. B. Schlegel, G. E. Scuseria, M. A. Robb, J. R. Cheeseman, G. Scalmani, V. Barone, G. A. Petersson, H. Nakatsuji, X. Li, M. Caricato, A. V. Marenich, J. Bloino, B. G. Janesko, R. Gomperts, B. Mennucci, H. P. Hratchian, J. V. Ortiz, A. F. Izmaylov, J. L. Sonnenberg, D. Williams-Young, F. Ding, F. Lipparini, F. Egidi, J. Goings, B. Peng, A. Petrone, T. Henderson, D. Ranasinghe, V. G. Zakrzewski, J. Gao, N. Rega, G. Zheng, W. Liang, M. Hada, M. Ehara, K. Toyota, R. Fukuda, J. Hasegawa, M. Ishida, T. Nakajima, Y. Honda, O. Kitao, H. Nakai, T. Vreven, K. Throssell, J. A. Montgomery, Jr., J. E. Peralta, F. Ogliaro, M. J. Bearpark, J. J. Heyd, E. N. Brothers, K. N. Kudin, V. N. Staroverov, T. A. Keith, R. Kobayashi, J. Normand, K. Raghavachari, A. P. Rendell, J. C. Burant, S. S. Iyengar, J. Tomasi, M. Cossi, J. M. Millam, M. Klene, C. Adamo, R. Cammi, J. W. Ochterski, R. L. Martin, K. Morokuma, O. Farkas, J. B. Foresman, and D. J. Fox, Gaussian, Inc., Wallingford CT, 2016.","author":[{"dropping-particle":"","family":"Frisch","given":"M J","non-dropping-particle":"","parse-names":false,"suffix":""},{"dropping-particle":"","family":"Trucks","given":"G W","non-dropping-particle":"","parse-names":false,"suffix":""},{"dropping-particle":"","family":"Schlegel","given":"H B","non-dropping-particle":"","parse-names":false,"suffix":""},{"dropping-particle":"","family":"Scuseria","given":"G E","non-dropping-particle":"","parse-names":false,"suffix":""},{"dropping-particle":"","family":"Robb","given":"M A","non-dropping-particle":"","parse-names":false,"suffix":""},{"dropping-particle":"","family":"Cheeseman","given":"J R","non-dropping-particle":"","parse-names":false,"suffix":""},{"dropping-particle":"","family":"Scalmani","given":"G","non-dropping-particle":"","parse-names":false,"suffix":""},{"dropping-particle":"","family":"Barone","given":"V","non-dropping-particle":"","parse-names":false,"suffix":""},{"dropping-particle":"","family":"Petersson","given":"G A","non-dropping-particle":"","parse-names":false,"suffix":""},{"dropping-particle":"","family":"Nakatsuji","given":"H","non-dropping-particle":"","parse-names":false,"suffix":""}],"container-title":"Wallingford CT","id":"ITEM-1","issue":"3","issued":{"date-parts":[["2016"]]},"page":"4","title":"Gaussian 16 revision a. 03. 2016; gaussian inc","type":"article-journal","volume":"2"},"uris":["http://www.mendeley.com/documents/?uuid=d6644c08-1c91-3715-9f65-1b8147f22a47"]}],"mendeley":{"formattedCitation":"&lt;sup&gt;8&lt;/sup&gt;","plainTextFormattedCitation":"8","previouslyFormattedCitation":"&lt;sup&gt;8&lt;/sup&gt;"},"properties":{"noteIndex":0},"schema":"https://github.com/citation-style-language/schema/raw/master/csl-citation.json"}</w:instrText>
      </w:r>
      <w:r w:rsidR="001C27A4">
        <w:fldChar w:fldCharType="separate"/>
      </w:r>
      <w:r w:rsidR="003B42B7" w:rsidRPr="003B42B7">
        <w:rPr>
          <w:noProof/>
          <w:vertAlign w:val="superscript"/>
        </w:rPr>
        <w:t>8</w:t>
      </w:r>
      <w:r w:rsidR="001C27A4">
        <w:fldChar w:fldCharType="end"/>
      </w:r>
      <w:r>
        <w:t xml:space="preserve"> </w:t>
      </w:r>
      <w:r w:rsidR="009E6A50">
        <w:t>T</w:t>
      </w:r>
      <w:r>
        <w:t>he def2-SVP basis set</w:t>
      </w:r>
      <w:r w:rsidR="001C27A4">
        <w:fldChar w:fldCharType="begin" w:fldLock="1"/>
      </w:r>
      <w:r w:rsidR="007944FF">
        <w:instrText>ADDIN CSL_CITATION {"citationItems":[{"id":"ITEM-1","itemData":{"DOI":"10.1039/b508541a","ISSN":"14639076","PMID":"16240044","abstract":"Gaussian basis sets of quadruple zeta valence quality for Rb-Rn are presented, as well as bases of split valence and triple zeta valence quality for H-Rn. The latter were obtained by (partly) modifying bases developed previously. A large set of more than 300 molecules representing (nearly) all elements - except lanthanides - in their common oxidation states was used to assess the quality of the bases all across the periodic table. Quantities investigated were atomization energies, dipole moments and structure parameters for Hartree-Fock, density functional theory and correlated methods, for which we had chosen Møller-Plesset perturbation theory as an example. Finally recommendations are given which type of basis set is used best for a certain level of theory and a desired quality of results. © The Owner Societies 2005.","author":[{"dropping-particle":"","family":"Weigend","given":"Florian","non-dropping-particle":"","parse-names":false,"suffix":""},{"dropping-particle":"","family":"Ahlrichs","given":"Reinhart","non-dropping-particle":"","parse-names":false,"suffix":""}],"container-title":"Physical Chemistry Chemical Physics","id":"ITEM-1","issue":"18","issued":{"date-parts":[["2005"]]},"page":"3297-3305","title":"Balanced basis sets of split valence, triple zeta valence and quadruple zeta valence quality for H to Rn: Design and assessment of accuracy","type":"article-journal","volume":"7"},"uris":["http://www.mendeley.com/documents/?uuid=f2b13a27-2a09-3dad-ac10-593630786ced"]},{"id":"ITEM-2","itemData":{"DOI":"10.1039/b515623h","ISSN":"14639076","abstract":"A series of auxiliary basis sets to fit Coulomb potentials for the elements H to Rn (except lanthanides) is presented. For each element only one auxiliary basis set is needed to approximate Coulomb energies in conjunction with orbital basis sets of split valence, triple zeta valence and quadruple zeta valence quality with errors of typically below ca. 0.15 kJ mol-1 per atom; this was demonstrated in conjunction with the recently developed orbital basis sets of types def2-SV(P), def2-TZVP and def2-QZVPP for a large set of small molecules representing (nearly) each element in all of its common oxidation states. These auxiliary bases are slightly more than three times larger than orbital bases of split valence quality. Compared to non-approximated treatments, computation times for the Coulomb part are reduced by a factor of ca. 8 for def2-SV(P) orbital bases, ca. 25 for def2-TZVP and ca. 100 for def2-QZVPP orbital bases. © the Owner Societies 2006.","author":[{"dropping-particle":"","family":"Weigend","given":"Florian","non-dropping-particle":"","parse-names":false,"suffix":""}],"container-title":"Physical Chemistry Chemical Physics","id":"ITEM-2","issue":"9","issued":{"date-parts":[["2006"]]},"page":"1057-1065","title":"Accurate Coulomb-fitting basis sets for H to Rn","type":"article-journal","volume":"8"},"uris":["http://www.mendeley.com/documents/?uuid=3ca85bd6-17de-3ca4-9763-b0de1aeb0979"]}],"mendeley":{"formattedCitation":"&lt;sup&gt;9,10&lt;/sup&gt;","plainTextFormattedCitation":"9,10","previouslyFormattedCitation":"&lt;sup&gt;9,10&lt;/sup&gt;"},"properties":{"noteIndex":0},"schema":"https://github.com/citation-style-language/schema/raw/master/csl-citation.json"}</w:instrText>
      </w:r>
      <w:r w:rsidR="001C27A4">
        <w:fldChar w:fldCharType="separate"/>
      </w:r>
      <w:r w:rsidR="003B42B7" w:rsidRPr="003B42B7">
        <w:rPr>
          <w:noProof/>
          <w:vertAlign w:val="superscript"/>
        </w:rPr>
        <w:t>9,10</w:t>
      </w:r>
      <w:r w:rsidR="001C27A4">
        <w:fldChar w:fldCharType="end"/>
      </w:r>
      <w:r>
        <w:t xml:space="preserve"> was applied</w:t>
      </w:r>
      <w:r w:rsidR="009E6A50">
        <w:t xml:space="preserve"> for all atoms</w:t>
      </w:r>
      <w:r>
        <w:t xml:space="preserve">. No symmetry or geometry constraint was imposed during optimizations. The optimized geometries were verified as local minima on the potential energy surface by frequency computations at the same theoretical level. </w:t>
      </w:r>
      <w:r w:rsidR="001C27A4">
        <w:fldChar w:fldCharType="begin" w:fldLock="1"/>
      </w:r>
      <w:r w:rsidR="003B42B7">
        <w:instrText>ADDIN CSL_CITATION {"citationItems":[{"id":"ITEM-1","itemData":{"abstract":"Gaussian 16, Revision A.03, M. J. Frisch, G. W. Trucks, H. B. Schlegel, G. E. Scuseria, M. A. Robb, J. R. Cheeseman, G. Scalmani, V. Barone, G. A. Petersson, H. Nakatsuji, X. Li, M. Caricato, A. V. Marenich, J. Bloino, B. G. Janesko, R. Gomperts, B. Mennucci, H. P. Hratchian, J. V. Ortiz, A. F. Izmaylov, J. L. Sonnenberg, D. Williams-Young, F. Ding, F. Lipparini, F. Egidi, J. Goings, B. Peng, A. Petrone, T. Henderson, D. Ranasinghe, V. G. Zakrzewski, J. Gao, N. Rega, G. Zheng, W. Liang, M. Hada, M. Ehara, K. Toyota, R. Fukuda, J. Hasegawa, M. Ishida, T. Nakajima, Y. Honda, O. Kitao, H. Nakai, T. Vreven, K. Throssell, J. A. Montgomery, Jr., J. E. Peralta, F. Ogliaro, M. J. Bearpark, J. J. Heyd, E. N. Brothers, K. N. Kudin, V. N. Staroverov, T. A. Keith, R. Kobayashi, J. Normand, K. Raghavachari, A. P. Rendell, J. C. Burant, S. S. Iyengar, J. Tomasi, M. Cossi, J. M. Millam, M. Klene, C. Adamo, R. Cammi, J. W. Ochterski, R. L. Martin, K. Morokuma, O. Farkas, J. B. Foresman, and D. J. Fox, Gaussian, Inc., Wallingford CT, 2016.","author":[{"dropping-particle":"","family":"Frisch","given":"M J","non-dropping-particle":"","parse-names":false,"suffix":""},{"dropping-particle":"","family":"Trucks","given":"G W","non-dropping-particle":"","parse-names":false,"suffix":""},{"dropping-particle":"","family":"Schlegel","given":"H B","non-dropping-particle":"","parse-names":false,"suffix":""},{"dropping-particle":"","family":"Scuseria","given":"G E","non-dropping-particle":"","parse-names":false,"suffix":""},{"dropping-particle":"","family":"Robb","given":"M A","non-dropping-particle":"","parse-names":false,"suffix":""},{"dropping-particle":"","family":"Cheeseman","given":"J R","non-dropping-particle":"","parse-names":false,"suffix":""},{"dropping-particle":"","family":"Scalmani","given":"G","non-dropping-particle":"","parse-names":false,"suffix":""},{"dropping-particle":"","family":"Barone","given":"V","non-dropping-particle":"","parse-names":false,"suffix":""},{"dropping-particle":"","family":"Petersson","given":"G A","non-dropping-particle":"","parse-names":false,"suffix":""},{"dropping-particle":"","family":"Nakatsuji","given":"H","non-dropping-particle":"","parse-names":false,"suffix":""}],"container-title":"Wallingford CT","id":"ITEM-1","issue":"3","issued":{"date-parts":[["2016"]]},"page":"4","title":"Gaussian 16 revision a. 03. 2016; gaussian inc","type":"article-journal","volume":"2"},"uris":["http://www.mendeley.com/documents/?uuid=d6644c08-1c91-3715-9f65-1b8147f22a47"]}],"mendeley":{"formattedCitation":"&lt;sup&gt;8&lt;/sup&gt;","plainTextFormattedCitation":"8","previouslyFormattedCitation":"&lt;sup&gt;8&lt;/sup&gt;"},"properties":{"noteIndex":0},"schema":"https://github.com/citation-style-language/schema/raw/master/csl-citation.json"}</w:instrText>
      </w:r>
      <w:r w:rsidR="001C27A4">
        <w:fldChar w:fldCharType="separate"/>
      </w:r>
      <w:r w:rsidR="003B42B7" w:rsidRPr="003B42B7">
        <w:rPr>
          <w:noProof/>
          <w:vertAlign w:val="superscript"/>
        </w:rPr>
        <w:t>8</w:t>
      </w:r>
      <w:r w:rsidR="001C27A4">
        <w:fldChar w:fldCharType="end"/>
      </w:r>
    </w:p>
    <w:p w14:paraId="12026F11" w14:textId="77777777" w:rsidR="00BA69EC" w:rsidRDefault="00BA69EC" w:rsidP="00BA69EC"/>
    <w:p w14:paraId="4ED7E727" w14:textId="5D8B0D77" w:rsidR="000D55CE" w:rsidRPr="00EA1221" w:rsidRDefault="006B102E" w:rsidP="00D3399A">
      <w:r w:rsidRPr="00EA1221">
        <w:t>1</w:t>
      </w:r>
      <w:r w:rsidR="000D55CE" w:rsidRPr="00EA1221">
        <w:t>.2.</w:t>
      </w:r>
      <w:r w:rsidR="008830FA">
        <w:t>2</w:t>
      </w:r>
      <w:r w:rsidR="000D55CE" w:rsidRPr="00EA1221">
        <w:t xml:space="preserve"> NMR</w:t>
      </w:r>
    </w:p>
    <w:p w14:paraId="4BCBAE04" w14:textId="32ADF25C" w:rsidR="000D55CE" w:rsidRDefault="000D55CE" w:rsidP="000D55CE">
      <w:pPr>
        <w:rPr>
          <w:szCs w:val="24"/>
        </w:rPr>
      </w:pPr>
      <w:r w:rsidRPr="00EA1221">
        <w:rPr>
          <w:szCs w:val="24"/>
        </w:rPr>
        <w:t>NMR spectra were recorded on a Bruker 400 NMR spectrometer at 400 MHz (</w:t>
      </w:r>
      <w:r w:rsidRPr="00EA1221">
        <w:rPr>
          <w:szCs w:val="24"/>
          <w:vertAlign w:val="superscript"/>
        </w:rPr>
        <w:t>1</w:t>
      </w:r>
      <w:r w:rsidRPr="00EA1221">
        <w:rPr>
          <w:szCs w:val="24"/>
        </w:rPr>
        <w:t>H)</w:t>
      </w:r>
      <w:r w:rsidR="00EB4E34">
        <w:rPr>
          <w:szCs w:val="24"/>
        </w:rPr>
        <w:t>, 376 MHz (</w:t>
      </w:r>
      <w:r w:rsidR="00EB4E34" w:rsidRPr="00EB4E34">
        <w:rPr>
          <w:szCs w:val="24"/>
          <w:vertAlign w:val="superscript"/>
        </w:rPr>
        <w:t>19</w:t>
      </w:r>
      <w:r w:rsidR="00EB4E34">
        <w:rPr>
          <w:szCs w:val="24"/>
        </w:rPr>
        <w:t>F)</w:t>
      </w:r>
      <w:r w:rsidRPr="00EA1221">
        <w:rPr>
          <w:szCs w:val="24"/>
        </w:rPr>
        <w:t xml:space="preserve"> and 100 MHz (</w:t>
      </w:r>
      <w:r w:rsidRPr="00EA1221">
        <w:rPr>
          <w:szCs w:val="24"/>
          <w:vertAlign w:val="superscript"/>
        </w:rPr>
        <w:t>13</w:t>
      </w:r>
      <w:r w:rsidRPr="00EA1221">
        <w:rPr>
          <w:szCs w:val="24"/>
        </w:rPr>
        <w:t xml:space="preserve">C) and referenced against the residual </w:t>
      </w:r>
      <w:r w:rsidRPr="00EA1221">
        <w:rPr>
          <w:szCs w:val="24"/>
          <w:vertAlign w:val="superscript"/>
        </w:rPr>
        <w:t>1</w:t>
      </w:r>
      <w:r w:rsidRPr="00EA1221">
        <w:rPr>
          <w:szCs w:val="24"/>
        </w:rPr>
        <w:t>H</w:t>
      </w:r>
      <w:r w:rsidR="00EB4E34">
        <w:rPr>
          <w:szCs w:val="24"/>
        </w:rPr>
        <w:t xml:space="preserve">, </w:t>
      </w:r>
      <w:r w:rsidR="00EB4E34" w:rsidRPr="00EB4E34">
        <w:rPr>
          <w:szCs w:val="24"/>
          <w:vertAlign w:val="superscript"/>
        </w:rPr>
        <w:t>19</w:t>
      </w:r>
      <w:r w:rsidR="00EB4E34">
        <w:rPr>
          <w:szCs w:val="24"/>
        </w:rPr>
        <w:t>F</w:t>
      </w:r>
      <w:r w:rsidRPr="00EA1221">
        <w:rPr>
          <w:szCs w:val="24"/>
        </w:rPr>
        <w:t xml:space="preserve"> or </w:t>
      </w:r>
      <w:r w:rsidRPr="00EA1221">
        <w:rPr>
          <w:szCs w:val="24"/>
          <w:vertAlign w:val="superscript"/>
        </w:rPr>
        <w:t>13</w:t>
      </w:r>
      <w:r w:rsidRPr="00EA1221">
        <w:rPr>
          <w:szCs w:val="24"/>
        </w:rPr>
        <w:t xml:space="preserve">C signal of the solvent. </w:t>
      </w:r>
    </w:p>
    <w:p w14:paraId="7EA3327C" w14:textId="508DD0DE" w:rsidR="0048383A" w:rsidRPr="0048383A" w:rsidRDefault="003F1E16" w:rsidP="0048383A">
      <w:pPr>
        <w:rPr>
          <w:szCs w:val="24"/>
        </w:rPr>
      </w:pPr>
      <w:r>
        <w:rPr>
          <w:szCs w:val="24"/>
        </w:rPr>
        <w:lastRenderedPageBreak/>
        <w:t>1.2.</w:t>
      </w:r>
      <w:r w:rsidR="008830FA">
        <w:rPr>
          <w:szCs w:val="24"/>
        </w:rPr>
        <w:t>3</w:t>
      </w:r>
      <w:r>
        <w:rPr>
          <w:szCs w:val="24"/>
        </w:rPr>
        <w:t xml:space="preserve"> </w:t>
      </w:r>
      <w:bookmarkStart w:id="3" w:name="_Hlk149066323"/>
      <w:r w:rsidR="0048383A" w:rsidRPr="0048383A">
        <w:rPr>
          <w:szCs w:val="24"/>
        </w:rPr>
        <w:t>MALDI-T</w:t>
      </w:r>
      <w:r>
        <w:rPr>
          <w:szCs w:val="24"/>
        </w:rPr>
        <w:t>O</w:t>
      </w:r>
      <w:r w:rsidR="0048383A" w:rsidRPr="0048383A">
        <w:rPr>
          <w:szCs w:val="24"/>
        </w:rPr>
        <w:t xml:space="preserve">F MS </w:t>
      </w:r>
      <w:bookmarkEnd w:id="3"/>
    </w:p>
    <w:p w14:paraId="5FDFAA0A" w14:textId="7F354EAA" w:rsidR="000D55CE" w:rsidRDefault="0048383A" w:rsidP="0048383A">
      <w:pPr>
        <w:rPr>
          <w:szCs w:val="24"/>
        </w:rPr>
      </w:pPr>
      <w:r>
        <w:rPr>
          <w:szCs w:val="24"/>
        </w:rPr>
        <w:t xml:space="preserve">The molecular mass analysis was </w:t>
      </w:r>
      <w:r w:rsidRPr="0048383A">
        <w:rPr>
          <w:szCs w:val="24"/>
        </w:rPr>
        <w:t xml:space="preserve">conducted on a Bruker </w:t>
      </w:r>
      <w:proofErr w:type="spellStart"/>
      <w:r w:rsidRPr="0048383A">
        <w:rPr>
          <w:szCs w:val="24"/>
        </w:rPr>
        <w:t>Ultraflex</w:t>
      </w:r>
      <w:proofErr w:type="spellEnd"/>
      <w:r w:rsidRPr="0048383A">
        <w:rPr>
          <w:szCs w:val="24"/>
        </w:rPr>
        <w:t xml:space="preserve"> MALDI TOF/TOF mass spectrometer</w:t>
      </w:r>
      <w:r w:rsidR="002A2C88">
        <w:rPr>
          <w:szCs w:val="24"/>
        </w:rPr>
        <w:t xml:space="preserve"> using a reflection mode at Swansea University. </w:t>
      </w:r>
    </w:p>
    <w:p w14:paraId="25B8FB5A" w14:textId="77777777" w:rsidR="003F1E16" w:rsidRPr="00EA1221" w:rsidRDefault="003F1E16" w:rsidP="0048383A">
      <w:pPr>
        <w:rPr>
          <w:szCs w:val="24"/>
        </w:rPr>
      </w:pPr>
    </w:p>
    <w:p w14:paraId="228B32A0" w14:textId="74680CA6" w:rsidR="000D55CE" w:rsidRPr="00EA1221" w:rsidRDefault="006B102E" w:rsidP="00D3399A">
      <w:r w:rsidRPr="00EA1221">
        <w:t>1</w:t>
      </w:r>
      <w:r w:rsidR="000D55CE" w:rsidRPr="00EA1221">
        <w:t>.2.</w:t>
      </w:r>
      <w:r w:rsidR="008830FA">
        <w:t>4</w:t>
      </w:r>
      <w:r w:rsidR="000D55CE" w:rsidRPr="00EA1221">
        <w:t xml:space="preserve"> Powder X-ray diffraction (PXRD)</w:t>
      </w:r>
    </w:p>
    <w:p w14:paraId="5121FAAB" w14:textId="39C18A6A" w:rsidR="000D55CE" w:rsidRPr="00EA1221" w:rsidRDefault="000D55CE" w:rsidP="000D55CE">
      <w:pPr>
        <w:rPr>
          <w:szCs w:val="24"/>
        </w:rPr>
      </w:pPr>
      <w:r w:rsidRPr="00EA1221">
        <w:rPr>
          <w:szCs w:val="24"/>
        </w:rPr>
        <w:t xml:space="preserve">Laboratory powder X-ray diffraction (PXRD) data patterns were collected in transmission mode on samples held on thin Mylar film in aluminium well plates on a </w:t>
      </w:r>
      <w:proofErr w:type="spellStart"/>
      <w:r w:rsidRPr="00EA1221">
        <w:rPr>
          <w:szCs w:val="24"/>
        </w:rPr>
        <w:t>Panalytical</w:t>
      </w:r>
      <w:proofErr w:type="spellEnd"/>
      <w:r w:rsidRPr="00EA1221">
        <w:rPr>
          <w:szCs w:val="24"/>
        </w:rPr>
        <w:t xml:space="preserve"> Empyrean diffractometer</w:t>
      </w:r>
      <w:r w:rsidR="009E6A50">
        <w:rPr>
          <w:szCs w:val="24"/>
        </w:rPr>
        <w:t>,</w:t>
      </w:r>
      <w:r w:rsidRPr="00EA1221">
        <w:rPr>
          <w:szCs w:val="24"/>
        </w:rPr>
        <w:t xml:space="preserve"> equipped with a high throughput screening (HTS) XYZ stage, X-ray focusing mirror, and </w:t>
      </w:r>
      <w:proofErr w:type="spellStart"/>
      <w:r w:rsidRPr="00EA1221">
        <w:rPr>
          <w:szCs w:val="24"/>
        </w:rPr>
        <w:t>PIXcel</w:t>
      </w:r>
      <w:proofErr w:type="spellEnd"/>
      <w:r w:rsidRPr="00EA1221">
        <w:rPr>
          <w:szCs w:val="24"/>
        </w:rPr>
        <w:t xml:space="preserve"> detector, using Cu-Kα radiation. For HT screening, PXRD patterns were measured over the 2θ range </w:t>
      </w:r>
      <w:r w:rsidR="00EB4E34">
        <w:rPr>
          <w:szCs w:val="24"/>
        </w:rPr>
        <w:t>1</w:t>
      </w:r>
      <w:r w:rsidR="001A49DA" w:rsidRPr="00EA1221">
        <w:rPr>
          <w:szCs w:val="24"/>
        </w:rPr>
        <w:t>–</w:t>
      </w:r>
      <w:r w:rsidRPr="00EA1221">
        <w:rPr>
          <w:szCs w:val="24"/>
        </w:rPr>
        <w:t xml:space="preserve">40° in 0.013° steps over </w:t>
      </w:r>
      <w:r w:rsidR="001A49DA" w:rsidRPr="00EA1221">
        <w:rPr>
          <w:szCs w:val="24"/>
        </w:rPr>
        <w:t>1</w:t>
      </w:r>
      <w:r w:rsidRPr="00EA1221">
        <w:rPr>
          <w:szCs w:val="24"/>
        </w:rPr>
        <w:t xml:space="preserve">0 minutes. Capillary PXRD patterns were collected on powdered samples loaded in borosilicate glass capillaries that were spun to improve averaging. Capillary PXRD patterns were collected on powdered samples loaded in borosilicate glass capillaries, and the capillaries were spun to improve averaging. </w:t>
      </w:r>
    </w:p>
    <w:p w14:paraId="1F9A4418" w14:textId="77777777" w:rsidR="000D55CE" w:rsidRPr="00EA1221" w:rsidRDefault="000D55CE" w:rsidP="000D55CE">
      <w:pPr>
        <w:rPr>
          <w:szCs w:val="24"/>
        </w:rPr>
      </w:pPr>
    </w:p>
    <w:p w14:paraId="7C331B9D" w14:textId="42A130F4" w:rsidR="000D55CE" w:rsidRPr="00EA1221" w:rsidRDefault="006B102E" w:rsidP="00D3399A">
      <w:r w:rsidRPr="00EA1221">
        <w:t>1</w:t>
      </w:r>
      <w:r w:rsidR="000D55CE" w:rsidRPr="00EA1221">
        <w:t>.2.</w:t>
      </w:r>
      <w:r w:rsidR="008830FA">
        <w:t>5</w:t>
      </w:r>
      <w:r w:rsidR="000D55CE" w:rsidRPr="00EA1221">
        <w:t xml:space="preserve"> Single crystal X-ray diffraction </w:t>
      </w:r>
      <w:r w:rsidR="00030A61" w:rsidRPr="00EA1221">
        <w:t>(</w:t>
      </w:r>
      <w:r w:rsidR="00030A61" w:rsidRPr="00EA1221">
        <w:rPr>
          <w:szCs w:val="20"/>
        </w:rPr>
        <w:t>SC</w:t>
      </w:r>
      <w:r w:rsidR="002A2AD5">
        <w:rPr>
          <w:szCs w:val="20"/>
        </w:rPr>
        <w:t>-</w:t>
      </w:r>
      <w:r w:rsidR="00030A61" w:rsidRPr="00EA1221">
        <w:rPr>
          <w:szCs w:val="20"/>
        </w:rPr>
        <w:t>XRD</w:t>
      </w:r>
      <w:r w:rsidR="00030A61" w:rsidRPr="00EA1221">
        <w:t>)</w:t>
      </w:r>
    </w:p>
    <w:p w14:paraId="4FB76081" w14:textId="4A420AC0" w:rsidR="000D55CE" w:rsidRPr="00EA1221" w:rsidRDefault="000D55CE" w:rsidP="000D55CE">
      <w:pPr>
        <w:rPr>
          <w:szCs w:val="24"/>
        </w:rPr>
      </w:pPr>
      <w:r w:rsidRPr="00EA1221">
        <w:rPr>
          <w:szCs w:val="24"/>
        </w:rPr>
        <w:t>S</w:t>
      </w:r>
      <w:r w:rsidR="00617822" w:rsidRPr="00EA1221">
        <w:rPr>
          <w:szCs w:val="24"/>
        </w:rPr>
        <w:t xml:space="preserve">CXRD </w:t>
      </w:r>
      <w:r w:rsidRPr="00EA1221">
        <w:rPr>
          <w:szCs w:val="24"/>
        </w:rPr>
        <w:t>data</w:t>
      </w:r>
      <w:r w:rsidR="006B102E" w:rsidRPr="00EA1221">
        <w:rPr>
          <w:szCs w:val="24"/>
        </w:rPr>
        <w:t xml:space="preserve"> </w:t>
      </w:r>
      <w:r w:rsidR="00617822" w:rsidRPr="00EA1221">
        <w:rPr>
          <w:szCs w:val="24"/>
        </w:rPr>
        <w:t xml:space="preserve">for </w:t>
      </w:r>
      <w:r w:rsidR="00497FC8">
        <w:rPr>
          <w:rFonts w:eastAsiaTheme="minorEastAsia"/>
        </w:rPr>
        <w:t>[4[2+</w:t>
      </w:r>
      <w:proofErr w:type="gramStart"/>
      <w:r w:rsidR="00497FC8">
        <w:rPr>
          <w:rFonts w:eastAsiaTheme="minorEastAsia"/>
        </w:rPr>
        <w:t>3]+</w:t>
      </w:r>
      <w:proofErr w:type="gramEnd"/>
      <w:r w:rsidR="00497FC8">
        <w:rPr>
          <w:rFonts w:eastAsiaTheme="minorEastAsia"/>
        </w:rPr>
        <w:t>6]cage</w:t>
      </w:r>
      <w:r w:rsidR="00EB4E34">
        <w:rPr>
          <w:b/>
          <w:bCs/>
        </w:rPr>
        <w:t xml:space="preserve"> </w:t>
      </w:r>
      <w:r w:rsidRPr="00EA1221">
        <w:rPr>
          <w:szCs w:val="24"/>
        </w:rPr>
        <w:t xml:space="preserve">was measured </w:t>
      </w:r>
      <w:r w:rsidR="00EB4E34" w:rsidRPr="00EB4E34">
        <w:rPr>
          <w:szCs w:val="24"/>
        </w:rPr>
        <w:t xml:space="preserve">at beamline I19, Diamond Light Source, Didcot, UK using silicon double crystal </w:t>
      </w:r>
      <w:proofErr w:type="spellStart"/>
      <w:r w:rsidR="00EB4E34" w:rsidRPr="00EB4E34">
        <w:rPr>
          <w:szCs w:val="24"/>
        </w:rPr>
        <w:t>monochromated</w:t>
      </w:r>
      <w:proofErr w:type="spellEnd"/>
      <w:r w:rsidR="00EB4E34" w:rsidRPr="00EB4E34">
        <w:rPr>
          <w:szCs w:val="24"/>
        </w:rPr>
        <w:t xml:space="preserve"> synchrotron radiation (λ = 0.6889 Å, Pilatus 2M detector) and data reduction was performed using xia2. Structures were solved with SHELXT</w:t>
      </w:r>
      <w:r w:rsidR="008474C9">
        <w:rPr>
          <w:szCs w:val="24"/>
        </w:rPr>
        <w:fldChar w:fldCharType="begin" w:fldLock="1"/>
      </w:r>
      <w:r w:rsidR="007944FF">
        <w:rPr>
          <w:szCs w:val="24"/>
        </w:rPr>
        <w:instrText>ADDIN CSL_CITATION {"citationItems":[{"id":"ITEM-1","itemData":{"author":[{"dropping-particle":"","family":"Sheldrick","given":"G","non-dropping-particle":"","parse-names":false,"suffix":""}],"chapter-number":"3","container-title":"Acta Cryst.","edition":"8","id":"ITEM-1","issue":"A71","issued":{"date-parts":[["2015"]]},"page":"3-8","title":"SHELXT","type":"article-journal","volume":"A71"},"uris":["http://www.mendeley.com/documents/?uuid=30a40263-d9fd-4e39-9775-9c27cdd5d267"]}],"mendeley":{"formattedCitation":"&lt;sup&gt;11&lt;/sup&gt;","plainTextFormattedCitation":"11","previouslyFormattedCitation":"&lt;sup&gt;11&lt;/sup&gt;"},"properties":{"noteIndex":0},"schema":"https://github.com/citation-style-language/schema/raw/master/csl-citation.json"}</w:instrText>
      </w:r>
      <w:r w:rsidR="008474C9">
        <w:rPr>
          <w:szCs w:val="24"/>
        </w:rPr>
        <w:fldChar w:fldCharType="separate"/>
      </w:r>
      <w:r w:rsidR="003B42B7" w:rsidRPr="003B42B7">
        <w:rPr>
          <w:noProof/>
          <w:szCs w:val="24"/>
          <w:vertAlign w:val="superscript"/>
        </w:rPr>
        <w:t>11</w:t>
      </w:r>
      <w:r w:rsidR="008474C9">
        <w:rPr>
          <w:szCs w:val="24"/>
        </w:rPr>
        <w:fldChar w:fldCharType="end"/>
      </w:r>
      <w:r w:rsidR="00EB4E34" w:rsidRPr="00EB4E34">
        <w:rPr>
          <w:szCs w:val="24"/>
        </w:rPr>
        <w:t xml:space="preserve"> and refined by full-matrix least</w:t>
      </w:r>
      <w:r w:rsidR="00435254">
        <w:rPr>
          <w:szCs w:val="24"/>
        </w:rPr>
        <w:t xml:space="preserve"> </w:t>
      </w:r>
      <w:r w:rsidR="00EB4E34" w:rsidRPr="00EB4E34">
        <w:rPr>
          <w:szCs w:val="24"/>
        </w:rPr>
        <w:t>squares on |F|2 by SHELXL,</w:t>
      </w:r>
      <w:r w:rsidR="008474C9">
        <w:rPr>
          <w:szCs w:val="24"/>
        </w:rPr>
        <w:fldChar w:fldCharType="begin" w:fldLock="1"/>
      </w:r>
      <w:r w:rsidR="007944FF">
        <w:rPr>
          <w:szCs w:val="24"/>
        </w:rPr>
        <w:instrText>ADDIN CSL_CITATION {"citationItems":[{"id":"ITEM-1","itemData":{"author":[{"dropping-particle":"","family":"Sheldrick","given":"G","non-dropping-particle":"","parse-names":false,"suffix":""}],"chapter-number":"3","container-title":"Acta Cryst.","id":"ITEM-1","issue":"C71","issued":{"date-parts":[["2015"]]},"page":"3-8","title":"SHELXL","type":"article-journal","volume":"C71"},"uris":["http://www.mendeley.com/documents/?uuid=30451bbf-30c7-4118-974e-fc87b32737a3"]}],"mendeley":{"formattedCitation":"&lt;sup&gt;12&lt;/sup&gt;","plainTextFormattedCitation":"12","previouslyFormattedCitation":"&lt;sup&gt;12&lt;/sup&gt;"},"properties":{"noteIndex":0},"schema":"https://github.com/citation-style-language/schema/raw/master/csl-citation.json"}</w:instrText>
      </w:r>
      <w:r w:rsidR="008474C9">
        <w:rPr>
          <w:szCs w:val="24"/>
        </w:rPr>
        <w:fldChar w:fldCharType="separate"/>
      </w:r>
      <w:r w:rsidR="003B42B7" w:rsidRPr="003B42B7">
        <w:rPr>
          <w:noProof/>
          <w:szCs w:val="24"/>
          <w:vertAlign w:val="superscript"/>
        </w:rPr>
        <w:t>12</w:t>
      </w:r>
      <w:r w:rsidR="008474C9">
        <w:rPr>
          <w:szCs w:val="24"/>
        </w:rPr>
        <w:fldChar w:fldCharType="end"/>
      </w:r>
      <w:r w:rsidR="00EB4E34" w:rsidRPr="00EB4E34">
        <w:rPr>
          <w:szCs w:val="24"/>
        </w:rPr>
        <w:t xml:space="preserve"> interfaced through the programme OLEX2.</w:t>
      </w:r>
      <w:r w:rsidR="008474C9">
        <w:rPr>
          <w:szCs w:val="24"/>
        </w:rPr>
        <w:fldChar w:fldCharType="begin" w:fldLock="1"/>
      </w:r>
      <w:r w:rsidR="007944FF">
        <w:rPr>
          <w:szCs w:val="24"/>
        </w:rPr>
        <w:instrText>ADDIN CSL_CITATION {"citationItems":[{"id":"ITEM-1","itemData":{"author":[{"dropping-particle":"","family":"O. V. Dolomanov  R. J. Gildea, J. A. K. Howard and H. Puschmann","given":"L J Bourhis","non-dropping-particle":"","parse-names":false,"suffix":""}],"chapter-number":"339","container-title":"J. Appl. Cryst.","id":"ITEM-1","issue":"42","issued":{"date-parts":[["2009"]]},"page":"339-341","title":"OLEX2","type":"article-journal","volume":"42"},"uris":["http://www.mendeley.com/documents/?uuid=e0219565-3093-474b-83a2-15dc52e86090"]}],"mendeley":{"formattedCitation":"&lt;sup&gt;13&lt;/sup&gt;","plainTextFormattedCitation":"13","previouslyFormattedCitation":"&lt;sup&gt;13&lt;/sup&gt;"},"properties":{"noteIndex":0},"schema":"https://github.com/citation-style-language/schema/raw/master/csl-citation.json"}</w:instrText>
      </w:r>
      <w:r w:rsidR="008474C9">
        <w:rPr>
          <w:szCs w:val="24"/>
        </w:rPr>
        <w:fldChar w:fldCharType="separate"/>
      </w:r>
      <w:r w:rsidR="003B42B7" w:rsidRPr="003B42B7">
        <w:rPr>
          <w:noProof/>
          <w:szCs w:val="24"/>
          <w:vertAlign w:val="superscript"/>
        </w:rPr>
        <w:t>13</w:t>
      </w:r>
      <w:r w:rsidR="008474C9">
        <w:rPr>
          <w:szCs w:val="24"/>
        </w:rPr>
        <w:fldChar w:fldCharType="end"/>
      </w:r>
      <w:r w:rsidR="00EB4E34" w:rsidRPr="00EB4E34">
        <w:rPr>
          <w:szCs w:val="24"/>
        </w:rPr>
        <w:t xml:space="preserve"> All non-H atoms were refined </w:t>
      </w:r>
      <w:proofErr w:type="spellStart"/>
      <w:r w:rsidR="00EB4E34" w:rsidRPr="00EB4E34">
        <w:rPr>
          <w:szCs w:val="24"/>
        </w:rPr>
        <w:t>anisotropically</w:t>
      </w:r>
      <w:proofErr w:type="spellEnd"/>
      <w:r w:rsidR="00EB4E34" w:rsidRPr="00EB4E34">
        <w:rPr>
          <w:szCs w:val="24"/>
        </w:rPr>
        <w:t xml:space="preserve"> and all H-atoms were fixed in geometrically estimated positions and refined using the riding model. For full refinement details, see Tables S</w:t>
      </w:r>
      <w:r w:rsidR="002A2AD5">
        <w:rPr>
          <w:szCs w:val="24"/>
        </w:rPr>
        <w:t>2</w:t>
      </w:r>
      <w:r w:rsidR="00EB4E34" w:rsidRPr="00EB4E34">
        <w:rPr>
          <w:szCs w:val="24"/>
        </w:rPr>
        <w:t>.</w:t>
      </w:r>
      <w:r w:rsidRPr="00EA1221">
        <w:rPr>
          <w:szCs w:val="24"/>
        </w:rPr>
        <w:t xml:space="preserve"> </w:t>
      </w:r>
    </w:p>
    <w:p w14:paraId="48FE021D" w14:textId="77777777" w:rsidR="000D55CE" w:rsidRPr="00EA1221" w:rsidRDefault="000D55CE" w:rsidP="000D55CE">
      <w:pPr>
        <w:rPr>
          <w:szCs w:val="24"/>
        </w:rPr>
      </w:pPr>
    </w:p>
    <w:p w14:paraId="29077318" w14:textId="02F85D8C" w:rsidR="000D55CE" w:rsidRPr="00EA1221" w:rsidRDefault="006B102E" w:rsidP="00D3399A">
      <w:r w:rsidRPr="00EA1221">
        <w:t>1</w:t>
      </w:r>
      <w:r w:rsidR="000D55CE" w:rsidRPr="00EA1221">
        <w:t>.2.</w:t>
      </w:r>
      <w:r w:rsidR="008830FA">
        <w:t>6</w:t>
      </w:r>
      <w:r w:rsidR="000D55CE" w:rsidRPr="00EA1221">
        <w:t xml:space="preserve"> Gas sorption Analysis</w:t>
      </w:r>
    </w:p>
    <w:p w14:paraId="1DD71598" w14:textId="4980257B" w:rsidR="00BA69EC" w:rsidRDefault="000D55CE" w:rsidP="008474C9">
      <w:pPr>
        <w:rPr>
          <w:szCs w:val="24"/>
        </w:rPr>
      </w:pPr>
      <w:r w:rsidRPr="00EA1221">
        <w:rPr>
          <w:szCs w:val="24"/>
        </w:rPr>
        <w:t xml:space="preserve">Surface areas were measured by nitrogen sorption at 77.3 K. Powder samples were degassed offline, followed by degassing on the analysis port under vacuum at </w:t>
      </w:r>
      <w:r w:rsidR="006B102E" w:rsidRPr="00EA1221">
        <w:rPr>
          <w:szCs w:val="24"/>
        </w:rPr>
        <w:t>25</w:t>
      </w:r>
      <w:r w:rsidRPr="00EA1221">
        <w:rPr>
          <w:szCs w:val="24"/>
        </w:rPr>
        <w:t xml:space="preserve"> °C for 15 hours. Isotherm measurements were performed using a </w:t>
      </w:r>
      <w:r w:rsidR="00B940C3" w:rsidRPr="00EA1221">
        <w:rPr>
          <w:szCs w:val="24"/>
        </w:rPr>
        <w:t>Micromeritics ASAP 2020 characteri</w:t>
      </w:r>
      <w:r w:rsidR="00E354E5" w:rsidRPr="00EA1221">
        <w:rPr>
          <w:szCs w:val="24"/>
        </w:rPr>
        <w:t>z</w:t>
      </w:r>
      <w:r w:rsidR="00B940C3" w:rsidRPr="00EA1221">
        <w:rPr>
          <w:szCs w:val="24"/>
        </w:rPr>
        <w:t xml:space="preserve">ation </w:t>
      </w:r>
      <w:proofErr w:type="spellStart"/>
      <w:r w:rsidR="00B940C3" w:rsidRPr="00EA1221">
        <w:rPr>
          <w:szCs w:val="24"/>
        </w:rPr>
        <w:t>analy</w:t>
      </w:r>
      <w:r w:rsidR="00E354E5" w:rsidRPr="00EA1221">
        <w:rPr>
          <w:szCs w:val="24"/>
        </w:rPr>
        <w:t>z</w:t>
      </w:r>
      <w:r w:rsidR="00B940C3" w:rsidRPr="00EA1221">
        <w:rPr>
          <w:szCs w:val="24"/>
        </w:rPr>
        <w:t>er</w:t>
      </w:r>
      <w:proofErr w:type="spellEnd"/>
      <w:r w:rsidR="00B940C3" w:rsidRPr="00EA1221">
        <w:rPr>
          <w:szCs w:val="24"/>
        </w:rPr>
        <w:t xml:space="preserve">. </w:t>
      </w:r>
      <w:r w:rsidR="008474C9">
        <w:rPr>
          <w:szCs w:val="24"/>
        </w:rPr>
        <w:t>C</w:t>
      </w:r>
      <w:r w:rsidR="008474C9" w:rsidRPr="008474C9">
        <w:rPr>
          <w:szCs w:val="24"/>
        </w:rPr>
        <w:t>O</w:t>
      </w:r>
      <w:r w:rsidR="008474C9" w:rsidRPr="008474C9">
        <w:rPr>
          <w:szCs w:val="24"/>
          <w:vertAlign w:val="subscript"/>
        </w:rPr>
        <w:t>2</w:t>
      </w:r>
      <w:r w:rsidR="008474C9" w:rsidRPr="008474C9">
        <w:rPr>
          <w:szCs w:val="24"/>
        </w:rPr>
        <w:t xml:space="preserve"> were measured with the same procedure at 273 K and 298 K, using a Micromeritics ASAP</w:t>
      </w:r>
    </w:p>
    <w:p w14:paraId="542AAE95" w14:textId="77777777" w:rsidR="00BA69EC" w:rsidRDefault="00BA69EC">
      <w:pPr>
        <w:spacing w:after="160" w:line="259" w:lineRule="auto"/>
        <w:jc w:val="left"/>
        <w:rPr>
          <w:szCs w:val="24"/>
        </w:rPr>
      </w:pPr>
      <w:r>
        <w:rPr>
          <w:szCs w:val="24"/>
        </w:rPr>
        <w:br w:type="page"/>
      </w:r>
    </w:p>
    <w:p w14:paraId="5B763591" w14:textId="391CED78" w:rsidR="00BA69EC" w:rsidRDefault="00BA69EC" w:rsidP="00BA69EC">
      <w:pPr>
        <w:pStyle w:val="Heading2"/>
      </w:pPr>
      <w:bookmarkStart w:id="4" w:name="_Toc147263831"/>
      <w:r w:rsidRPr="00EA1221">
        <w:lastRenderedPageBreak/>
        <w:t xml:space="preserve">Section </w:t>
      </w:r>
      <w:r>
        <w:t>2</w:t>
      </w:r>
      <w:r w:rsidRPr="00EA1221">
        <w:t xml:space="preserve"> </w:t>
      </w:r>
      <w:r>
        <w:t>Molecular simulation</w:t>
      </w:r>
      <w:bookmarkEnd w:id="4"/>
    </w:p>
    <w:p w14:paraId="25CED3D6" w14:textId="734EEF06" w:rsidR="00BA69EC" w:rsidRDefault="00AB6258" w:rsidP="00BA69EC">
      <w:pPr>
        <w:jc w:val="center"/>
      </w:pPr>
      <w:r w:rsidRPr="00BA69EC">
        <w:rPr>
          <w:noProof/>
          <w:lang w:val="en-US"/>
        </w:rPr>
        <w:object w:dxaOrig="6163" w:dyaOrig="4723" w14:anchorId="549EC6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17.25pt;height:243.75pt;mso-width-percent:0;mso-height-percent:0;mso-width-percent:0;mso-height-percent:0" o:ole="">
            <v:imagedata r:id="rId11" o:title=""/>
          </v:shape>
          <o:OLEObject Type="Embed" ProgID="Origin95.Graph" ShapeID="_x0000_i1025" DrawAspect="Content" ObjectID="_1759763699" r:id="rId12"/>
        </w:object>
      </w:r>
    </w:p>
    <w:p w14:paraId="6635E84F" w14:textId="2B297A43" w:rsidR="00BA69EC" w:rsidRPr="00BA69EC" w:rsidRDefault="6EC064CE" w:rsidP="00BA69EC">
      <w:pPr>
        <w:pStyle w:val="Title"/>
      </w:pPr>
      <w:r>
        <w:t xml:space="preserve">Figure S1 Relative DFT energies for </w:t>
      </w:r>
      <w:r w:rsidR="009E6A50">
        <w:t xml:space="preserve">the </w:t>
      </w:r>
      <w:r>
        <w:t>minimum energy configurations for the [x[2+</w:t>
      </w:r>
      <w:proofErr w:type="gramStart"/>
      <w:r>
        <w:t>3]+</w:t>
      </w:r>
      <w:proofErr w:type="gramEnd"/>
      <w:r>
        <w:t>y]cages</w:t>
      </w:r>
      <w:r w:rsidR="009E6A50">
        <w:t>.</w:t>
      </w:r>
    </w:p>
    <w:p w14:paraId="63AF23E8" w14:textId="24920118" w:rsidR="00BA69EC" w:rsidRDefault="00AB6258" w:rsidP="00BA69EC">
      <w:pPr>
        <w:jc w:val="center"/>
        <w:rPr>
          <w:szCs w:val="24"/>
        </w:rPr>
      </w:pPr>
      <w:r w:rsidRPr="00AB6258">
        <w:rPr>
          <w:noProof/>
          <w:szCs w:val="24"/>
          <w:lang w:val="en-US"/>
        </w:rPr>
        <w:object w:dxaOrig="7261" w:dyaOrig="5557" w14:anchorId="63212D89">
          <v:shape id="_x0000_i1026" type="#_x0000_t75" alt="" style="width:381.75pt;height:293.25pt;mso-width-percent:0;mso-height-percent:0;mso-width-percent:0;mso-height-percent:0" o:ole="">
            <v:imagedata r:id="rId13" o:title=""/>
          </v:shape>
          <o:OLEObject Type="Embed" ProgID="Origin95.Graph" ShapeID="_x0000_i1026" DrawAspect="Content" ObjectID="_1759763700" r:id="rId14"/>
        </w:object>
      </w:r>
    </w:p>
    <w:p w14:paraId="1580A43E" w14:textId="71443281" w:rsidR="008830FA" w:rsidRDefault="00BA69EC" w:rsidP="00BA69EC">
      <w:pPr>
        <w:pStyle w:val="Title"/>
      </w:pPr>
      <w:r>
        <w:t>Figure S</w:t>
      </w:r>
      <w:r w:rsidR="00313011">
        <w:t>2</w:t>
      </w:r>
      <w:r>
        <w:t xml:space="preserve"> </w:t>
      </w:r>
      <w:r w:rsidRPr="00B52E4D">
        <w:t>Relative energy values for</w:t>
      </w:r>
      <w:r>
        <w:t xml:space="preserve"> randomly sampled </w:t>
      </w:r>
      <w:r w:rsidR="009E6A50">
        <w:t xml:space="preserve">ether </w:t>
      </w:r>
      <w:r w:rsidRPr="001A33EE">
        <w:rPr>
          <w:i/>
          <w:iCs/>
        </w:rPr>
        <w:t>cis-trans</w:t>
      </w:r>
      <w:r>
        <w:t xml:space="preserve"> configurations for the [8</w:t>
      </w:r>
      <w:r w:rsidR="001A33EE">
        <w:t>[2+</w:t>
      </w:r>
      <w:proofErr w:type="gramStart"/>
      <w:r w:rsidR="001A33EE">
        <w:t>3]</w:t>
      </w:r>
      <w:r>
        <w:t>+</w:t>
      </w:r>
      <w:proofErr w:type="gramEnd"/>
      <w:r>
        <w:t>12]cages.</w:t>
      </w:r>
      <w:r w:rsidRPr="00B52E4D">
        <w:t xml:space="preserve"> </w:t>
      </w:r>
    </w:p>
    <w:p w14:paraId="4D0E3900" w14:textId="28F1CDB1" w:rsidR="00BA69EC" w:rsidRDefault="00BA69EC" w:rsidP="008830FA">
      <w:r>
        <w:lastRenderedPageBreak/>
        <w:t xml:space="preserve"> </w:t>
      </w:r>
      <w:r w:rsidR="008830FA">
        <w:rPr>
          <w:noProof/>
        </w:rPr>
        <w:drawing>
          <wp:inline distT="0" distB="0" distL="0" distR="0" wp14:anchorId="7891E941" wp14:editId="696C3E72">
            <wp:extent cx="5187950" cy="7145020"/>
            <wp:effectExtent l="0" t="0" r="0" b="0"/>
            <wp:docPr id="2473486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5">
                      <a:extLst>
                        <a:ext uri="{28A0092B-C50C-407E-A947-70E740481C1C}">
                          <a14:useLocalDpi xmlns:a14="http://schemas.microsoft.com/office/drawing/2010/main" val="0"/>
                        </a:ext>
                      </a:extLst>
                    </a:blip>
                    <a:srcRect t="3225"/>
                    <a:stretch/>
                  </pic:blipFill>
                  <pic:spPr bwMode="auto">
                    <a:xfrm>
                      <a:off x="0" y="0"/>
                      <a:ext cx="5187950" cy="7145020"/>
                    </a:xfrm>
                    <a:prstGeom prst="rect">
                      <a:avLst/>
                    </a:prstGeom>
                    <a:noFill/>
                    <a:ln>
                      <a:noFill/>
                    </a:ln>
                    <a:extLst>
                      <a:ext uri="{53640926-AAD7-44D8-BBD7-CCE9431645EC}">
                        <a14:shadowObscured xmlns:a14="http://schemas.microsoft.com/office/drawing/2010/main"/>
                      </a:ext>
                    </a:extLst>
                  </pic:spPr>
                </pic:pic>
              </a:graphicData>
            </a:graphic>
          </wp:inline>
        </w:drawing>
      </w:r>
    </w:p>
    <w:p w14:paraId="58C2C9D1" w14:textId="60527AB8" w:rsidR="008830FA" w:rsidRDefault="6EC064CE" w:rsidP="004A056E">
      <w:pPr>
        <w:pStyle w:val="Title"/>
      </w:pPr>
      <w:r>
        <w:t>Figure S3 Structural representations of</w:t>
      </w:r>
      <w:r w:rsidR="009E6A50">
        <w:t xml:space="preserve"> hypothetical</w:t>
      </w:r>
      <w:r>
        <w:t xml:space="preserve"> </w:t>
      </w:r>
      <w:r w:rsidRPr="00364B71">
        <w:rPr>
          <w:b/>
          <w:bCs w:val="0"/>
        </w:rPr>
        <w:t>[2[3+</w:t>
      </w:r>
      <w:proofErr w:type="gramStart"/>
      <w:r w:rsidRPr="00364B71">
        <w:rPr>
          <w:b/>
          <w:bCs w:val="0"/>
        </w:rPr>
        <w:t>2]+</w:t>
      </w:r>
      <w:proofErr w:type="gramEnd"/>
      <w:r w:rsidRPr="00364B71">
        <w:rPr>
          <w:b/>
          <w:bCs w:val="0"/>
        </w:rPr>
        <w:t>3]cage</w:t>
      </w:r>
      <w:r>
        <w:t xml:space="preserve"> (A, B), </w:t>
      </w:r>
      <w:r w:rsidRPr="00364B71">
        <w:rPr>
          <w:b/>
          <w:bCs w:val="0"/>
        </w:rPr>
        <w:t>[4[3+2]+6]cage</w:t>
      </w:r>
      <w:r>
        <w:t xml:space="preserve"> (C, D),  and</w:t>
      </w:r>
      <w:r w:rsidR="009E6A50">
        <w:t xml:space="preserve"> hypothetical</w:t>
      </w:r>
      <w:r>
        <w:t xml:space="preserve"> </w:t>
      </w:r>
      <w:r w:rsidRPr="00364B71">
        <w:rPr>
          <w:b/>
          <w:bCs w:val="0"/>
        </w:rPr>
        <w:t>[8[3+2]+12]cage</w:t>
      </w:r>
      <w:r>
        <w:t xml:space="preserve"> (E, F). Atoms colour, C: grey; N: blue; O: red and F: green.</w:t>
      </w:r>
    </w:p>
    <w:p w14:paraId="3E0257A3" w14:textId="77777777" w:rsidR="001A33EE" w:rsidRDefault="001A33EE" w:rsidP="001A33EE"/>
    <w:p w14:paraId="51B6B5F5" w14:textId="77777777" w:rsidR="001A33EE" w:rsidRPr="001A33EE" w:rsidRDefault="001A33EE" w:rsidP="001A33EE"/>
    <w:p w14:paraId="55B0A2B2" w14:textId="77777777" w:rsidR="001A33EE" w:rsidRDefault="001A33EE" w:rsidP="008830FA">
      <w:pPr>
        <w:spacing w:after="160" w:line="259" w:lineRule="auto"/>
        <w:jc w:val="left"/>
        <w:rPr>
          <w:szCs w:val="24"/>
        </w:rPr>
      </w:pPr>
      <w:r>
        <w:rPr>
          <w:noProof/>
          <w:szCs w:val="24"/>
        </w:rPr>
        <w:lastRenderedPageBreak/>
        <w:drawing>
          <wp:inline distT="0" distB="0" distL="0" distR="0" wp14:anchorId="703BCAC6" wp14:editId="010A1457">
            <wp:extent cx="5414010" cy="7224395"/>
            <wp:effectExtent l="0" t="0" r="0" b="0"/>
            <wp:docPr id="213249786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14010" cy="7224395"/>
                    </a:xfrm>
                    <a:prstGeom prst="rect">
                      <a:avLst/>
                    </a:prstGeom>
                    <a:noFill/>
                  </pic:spPr>
                </pic:pic>
              </a:graphicData>
            </a:graphic>
          </wp:inline>
        </w:drawing>
      </w:r>
    </w:p>
    <w:p w14:paraId="745E6991" w14:textId="07BD4B3C" w:rsidR="001A33EE" w:rsidRDefault="6EC064CE" w:rsidP="001A33EE">
      <w:pPr>
        <w:pStyle w:val="Title"/>
      </w:pPr>
      <w:r>
        <w:t xml:space="preserve">Figure S4 </w:t>
      </w:r>
      <w:r w:rsidR="009C747F" w:rsidRPr="009C747F">
        <w:t>Structural conform</w:t>
      </w:r>
      <w:r w:rsidR="009E6A50">
        <w:t>er</w:t>
      </w:r>
      <w:r w:rsidR="009C747F" w:rsidRPr="009C747F">
        <w:t xml:space="preserve"> representations of </w:t>
      </w:r>
      <w:r w:rsidR="009C747F">
        <w:t xml:space="preserve">the </w:t>
      </w:r>
      <w:r w:rsidR="009C747F" w:rsidRPr="00364B71">
        <w:rPr>
          <w:b/>
          <w:bCs w:val="0"/>
        </w:rPr>
        <w:t>[8[3+</w:t>
      </w:r>
      <w:proofErr w:type="gramStart"/>
      <w:r w:rsidR="009C747F" w:rsidRPr="00364B71">
        <w:rPr>
          <w:b/>
          <w:bCs w:val="0"/>
        </w:rPr>
        <w:t>2]+</w:t>
      </w:r>
      <w:proofErr w:type="gramEnd"/>
      <w:r w:rsidR="009C747F" w:rsidRPr="00364B71">
        <w:rPr>
          <w:b/>
          <w:bCs w:val="0"/>
        </w:rPr>
        <w:t>12]cage_1</w:t>
      </w:r>
      <w:r w:rsidR="009C747F" w:rsidRPr="009C747F">
        <w:t xml:space="preserve"> (A, B),  </w:t>
      </w:r>
      <w:r w:rsidR="009C747F" w:rsidRPr="00364B71">
        <w:rPr>
          <w:b/>
          <w:bCs w:val="0"/>
        </w:rPr>
        <w:t>[8[3+2]+12]cage_2</w:t>
      </w:r>
      <w:r w:rsidR="009C747F" w:rsidRPr="009C747F">
        <w:t xml:space="preserve"> (C, D), and </w:t>
      </w:r>
      <w:r w:rsidR="009C747F" w:rsidRPr="00364B71">
        <w:rPr>
          <w:b/>
          <w:bCs w:val="0"/>
        </w:rPr>
        <w:t>[8[3+2]+12]cage_3</w:t>
      </w:r>
      <w:r w:rsidR="009C747F" w:rsidRPr="009C747F">
        <w:t xml:space="preserve"> retrieved from random snapshots within </w:t>
      </w:r>
      <w:r w:rsidR="009C747F" w:rsidRPr="00364B71">
        <w:rPr>
          <w:b/>
          <w:bCs w:val="0"/>
        </w:rPr>
        <w:t>[8[3+2]+12]cage</w:t>
      </w:r>
      <w:r w:rsidR="009C747F" w:rsidRPr="009C747F">
        <w:t xml:space="preserve"> MD simulation trajectories (E, F). Atoms colour, C: grey; N: blue; O: red and F: green.</w:t>
      </w:r>
    </w:p>
    <w:p w14:paraId="03FBFEE3" w14:textId="756E05E1" w:rsidR="00691F14" w:rsidRDefault="00691F14">
      <w:pPr>
        <w:spacing w:after="160" w:line="259" w:lineRule="auto"/>
        <w:jc w:val="left"/>
      </w:pPr>
      <w:r>
        <w:br w:type="page"/>
      </w:r>
    </w:p>
    <w:p w14:paraId="6FA24584" w14:textId="608C85E9" w:rsidR="000D55CE" w:rsidRPr="00EA1221" w:rsidRDefault="004759DF">
      <w:pPr>
        <w:pStyle w:val="Heading2"/>
      </w:pPr>
      <w:bookmarkStart w:id="5" w:name="_Toc147263832"/>
      <w:r w:rsidRPr="00EA1221">
        <w:lastRenderedPageBreak/>
        <w:t xml:space="preserve">Section </w:t>
      </w:r>
      <w:r w:rsidR="00BA69EC">
        <w:t>3</w:t>
      </w:r>
      <w:r w:rsidRPr="00EA1221">
        <w:t xml:space="preserve"> </w:t>
      </w:r>
      <w:r w:rsidR="000D55CE" w:rsidRPr="00EA1221">
        <w:t>Synthetic procedure</w:t>
      </w:r>
      <w:bookmarkEnd w:id="5"/>
    </w:p>
    <w:p w14:paraId="3FB75FDD" w14:textId="5F60B77B" w:rsidR="000D55CE" w:rsidRPr="00EA1221" w:rsidRDefault="000D55CE" w:rsidP="000D55CE">
      <w:pPr>
        <w:spacing w:after="120"/>
        <w:rPr>
          <w:b/>
          <w:vertAlign w:val="superscript"/>
        </w:rPr>
      </w:pPr>
      <w:r w:rsidRPr="00EA1221">
        <w:rPr>
          <w:b/>
          <w:shd w:val="clear" w:color="auto" w:fill="FFFFFF"/>
        </w:rPr>
        <w:t xml:space="preserve">Synthesis of </w:t>
      </w:r>
      <w:r w:rsidR="00BF2743">
        <w:rPr>
          <w:b/>
          <w:shd w:val="clear" w:color="auto" w:fill="FFFFFF"/>
        </w:rPr>
        <w:t>[4[2+</w:t>
      </w:r>
      <w:proofErr w:type="gramStart"/>
      <w:r w:rsidR="00BF2743">
        <w:rPr>
          <w:b/>
          <w:shd w:val="clear" w:color="auto" w:fill="FFFFFF"/>
        </w:rPr>
        <w:t>3]+</w:t>
      </w:r>
      <w:proofErr w:type="gramEnd"/>
      <w:r w:rsidR="00BF2743">
        <w:rPr>
          <w:b/>
          <w:shd w:val="clear" w:color="auto" w:fill="FFFFFF"/>
        </w:rPr>
        <w:t>6]cage</w:t>
      </w:r>
    </w:p>
    <w:p w14:paraId="78E5896F" w14:textId="1572743B" w:rsidR="000D55CE" w:rsidRPr="00EA1221" w:rsidRDefault="00AB6258" w:rsidP="00BE4DE0">
      <w:pPr>
        <w:spacing w:after="120"/>
        <w:jc w:val="left"/>
      </w:pPr>
      <w:r>
        <w:rPr>
          <w:noProof/>
        </w:rPr>
        <w:object w:dxaOrig="8338" w:dyaOrig="2525" w14:anchorId="1AC8D8BC">
          <v:shape id="_x0000_i1027" type="#_x0000_t75" alt="" style="width:379.5pt;height:114.75pt;mso-width-percent:0;mso-height-percent:0;mso-width-percent:0;mso-height-percent:0" o:ole="">
            <v:imagedata r:id="rId17" o:title=""/>
          </v:shape>
          <o:OLEObject Type="Embed" ProgID="ChemDraw.Document.6.0" ShapeID="_x0000_i1027" DrawAspect="Content" ObjectID="_1759763701" r:id="rId18"/>
        </w:object>
      </w:r>
    </w:p>
    <w:p w14:paraId="18D65399" w14:textId="22038FD9" w:rsidR="000D55CE" w:rsidRPr="00EA1221" w:rsidRDefault="005D7B3F" w:rsidP="000D55CE">
      <w:pPr>
        <w:pStyle w:val="Title"/>
        <w:rPr>
          <w:shd w:val="clear" w:color="auto" w:fill="FFFFFF"/>
        </w:rPr>
      </w:pPr>
      <w:r w:rsidRPr="00EA1221">
        <w:rPr>
          <w:b/>
          <w:shd w:val="clear" w:color="auto" w:fill="FFFFFF"/>
        </w:rPr>
        <w:t xml:space="preserve">Scheme </w:t>
      </w:r>
      <w:r w:rsidR="00DE626F" w:rsidRPr="00EA1221">
        <w:rPr>
          <w:b/>
          <w:shd w:val="clear" w:color="auto" w:fill="FFFFFF"/>
        </w:rPr>
        <w:t>S</w:t>
      </w:r>
      <w:r w:rsidRPr="00EA1221">
        <w:rPr>
          <w:b/>
          <w:shd w:val="clear" w:color="auto" w:fill="FFFFFF"/>
        </w:rPr>
        <w:t>1</w:t>
      </w:r>
      <w:r w:rsidR="000D55CE" w:rsidRPr="00EA1221">
        <w:rPr>
          <w:shd w:val="clear" w:color="auto" w:fill="FFFFFF"/>
        </w:rPr>
        <w:t xml:space="preserve"> Synthetic route for </w:t>
      </w:r>
      <w:r w:rsidR="00BF2743" w:rsidRPr="00364B71">
        <w:rPr>
          <w:b/>
          <w:bCs w:val="0"/>
          <w:shd w:val="clear" w:color="auto" w:fill="FFFFFF"/>
        </w:rPr>
        <w:t>[4[2+</w:t>
      </w:r>
      <w:proofErr w:type="gramStart"/>
      <w:r w:rsidR="00BF2743" w:rsidRPr="00364B71">
        <w:rPr>
          <w:b/>
          <w:bCs w:val="0"/>
          <w:shd w:val="clear" w:color="auto" w:fill="FFFFFF"/>
        </w:rPr>
        <w:t>3]+</w:t>
      </w:r>
      <w:proofErr w:type="gramEnd"/>
      <w:r w:rsidR="00BF2743" w:rsidRPr="00364B71">
        <w:rPr>
          <w:b/>
          <w:bCs w:val="0"/>
          <w:shd w:val="clear" w:color="auto" w:fill="FFFFFF"/>
        </w:rPr>
        <w:t>6]cage</w:t>
      </w:r>
      <w:r w:rsidR="000D55CE" w:rsidRPr="00EA1221">
        <w:rPr>
          <w:shd w:val="clear" w:color="auto" w:fill="FFFFFF"/>
        </w:rPr>
        <w:t>.</w:t>
      </w:r>
    </w:p>
    <w:p w14:paraId="7151DA30" w14:textId="59DD49C1" w:rsidR="000D55CE" w:rsidRDefault="000D55CE" w:rsidP="000D55CE"/>
    <w:p w14:paraId="19635465" w14:textId="2776C44C" w:rsidR="00435254" w:rsidRPr="00EA1221" w:rsidRDefault="00435254" w:rsidP="000D55CE">
      <w:r w:rsidRPr="00364B71">
        <w:rPr>
          <w:b/>
          <w:bCs/>
        </w:rPr>
        <w:t>Cage-3-Cl</w:t>
      </w:r>
      <w:r>
        <w:t xml:space="preserve"> was </w:t>
      </w:r>
      <w:r w:rsidR="009E6A50">
        <w:t xml:space="preserve">first </w:t>
      </w:r>
      <w:r>
        <w:t xml:space="preserve">synthesized according to previous </w:t>
      </w:r>
      <w:r w:rsidR="009E6A50">
        <w:t>methods</w:t>
      </w:r>
      <w:r>
        <w:t>.</w:t>
      </w:r>
      <w:r>
        <w:fldChar w:fldCharType="begin" w:fldLock="1"/>
      </w:r>
      <w:r w:rsidR="007944FF">
        <w:instrText>ADDIN CSL_CITATION {"citationItems":[{"id":"ITEM-1","itemData":{"DOI":"10.1021/jacs.2c02653","ISSN":"15205126","PMID":"35634799","abstract":"Mesoporous molecular crystals have potential applications in separation and catalysis, but they are rare and hard to design because many weak interactions compete during crystallization, and most molecules have an energetic preference for close packing. Here, we combine crystal structure prediction (CSP) with structural invariants to continuously qualify the similarity between predicted crystal structures for related molecules. This allows isomorphous substitution strategies, which can be unreliable for molecular crystals, to be augmented by a priori prediction, thus leveraging the power of both approaches. We used this combined approach to discover a rare example of a low-density (0.54 g cm-3) mesoporous hydrogen-bonded framework (HOF), 3D-CageHOF-1. This structure comprises an organic cage (Cage-3-NH2) that was predicted to form kinetically trapped, low-density polymorphs via CSP. Pointwise distance distribution structural invariants revealed five predicted forms of Cage-3-NH2that are analogous to experimentally realized porous crystals of a chemically different but geometrically similar molecule, T2. More broadly, this approach overcomes the difficulties in comparing predicted molecular crystals with varying lattice parameters, thus allowing for the systematic comparison of energy-structure landscapes for chemically dissimilar molecules.","author":[{"dropping-particle":"","family":"Zhu","given":"Qiang","non-dropping-particle":"","parse-names":false,"suffix":""},{"dropping-particle":"","family":"Johal","given":"Jay","non-dropping-particle":"","parse-names":false,"suffix":""},{"dropping-particle":"","family":"Widdowson","given":"Daniel E.","non-dropping-particle":"","parse-names":false,"suffix":""},{"dropping-particle":"","family":"Pang","given":"Zhongfu","non-dropping-particle":"","parse-names":false,"suffix":""},{"dropping-particle":"","family":"Li","given":"Boyu","non-dropping-particle":"","parse-names":false,"suffix":""},{"dropping-particle":"","family":"Kane","given":"Christopher M.","non-dropping-particle":"","parse-names":false,"suffix":""},{"dropping-particle":"","family":"Kurlin","given":"Vitaliy","non-dropping-particle":"","parse-names":false,"suffix":""},{"dropping-particle":"","family":"Day","given":"Graeme M.","non-dropping-particle":"","parse-names":false,"suffix":""},{"dropping-particle":"","family":"Little","given":"Marc A.","non-dropping-particle":"","parse-names":false,"suffix":""},{"dropping-particle":"","family":"Cooper","given":"Andrew I.","non-dropping-particle":"","parse-names":false,"suffix":""}],"container-title":"Journal of the American Chemical Society","id":"ITEM-1","issue":"22","issued":{"date-parts":[["2022"]]},"page":"9893-9901","title":"Analogy Powered by Prediction and Structural Invariants: Computationally Led Discovery of a Mesoporous Hydrogen-Bonded Organic Cage Crystal","type":"article-journal","volume":"144"},"uris":["http://www.mendeley.com/documents/?uuid=6de5e1cf-ed00-37b0-add4-7c2cdd0e6bb6"]}],"mendeley":{"formattedCitation":"&lt;sup&gt;14&lt;/sup&gt;","plainTextFormattedCitation":"14","previouslyFormattedCitation":"&lt;sup&gt;14&lt;/sup&gt;"},"properties":{"noteIndex":0},"schema":"https://github.com/citation-style-language/schema/raw/master/csl-citation.json"}</w:instrText>
      </w:r>
      <w:r>
        <w:fldChar w:fldCharType="separate"/>
      </w:r>
      <w:r w:rsidR="003B42B7" w:rsidRPr="003B42B7">
        <w:rPr>
          <w:noProof/>
          <w:vertAlign w:val="superscript"/>
        </w:rPr>
        <w:t>14</w:t>
      </w:r>
      <w:r>
        <w:fldChar w:fldCharType="end"/>
      </w:r>
    </w:p>
    <w:p w14:paraId="72F7A70B" w14:textId="77777777" w:rsidR="009E6A50" w:rsidRDefault="009E6A50" w:rsidP="005C1BC8"/>
    <w:p w14:paraId="77575195" w14:textId="21DB92DE" w:rsidR="005C1BC8" w:rsidRPr="00E51904" w:rsidRDefault="000F60B0" w:rsidP="005C1BC8">
      <w:r w:rsidRPr="00E51904">
        <w:t>DIPEA (</w:t>
      </w:r>
      <w:r>
        <w:t xml:space="preserve">61 </w:t>
      </w:r>
      <w:proofErr w:type="spellStart"/>
      <w:r>
        <w:t>uL</w:t>
      </w:r>
      <w:proofErr w:type="spellEnd"/>
      <w:r w:rsidRPr="00E51904">
        <w:t xml:space="preserve">, </w:t>
      </w:r>
      <w:r>
        <w:t>0.35</w:t>
      </w:r>
      <w:r w:rsidRPr="00E51904">
        <w:t xml:space="preserve"> mmol) </w:t>
      </w:r>
      <w:r>
        <w:t xml:space="preserve">was dissolved </w:t>
      </w:r>
      <w:r w:rsidR="005C1BC8" w:rsidRPr="00E51904">
        <w:t>in acetone (</w:t>
      </w:r>
      <w:r>
        <w:t xml:space="preserve">25 </w:t>
      </w:r>
      <w:r w:rsidR="005C1BC8" w:rsidRPr="00E51904">
        <w:t>mL)</w:t>
      </w:r>
      <w:r>
        <w:t xml:space="preserve"> and purged with N</w:t>
      </w:r>
      <w:r w:rsidRPr="000F60B0">
        <w:rPr>
          <w:vertAlign w:val="subscript"/>
        </w:rPr>
        <w:t>2</w:t>
      </w:r>
      <w:r>
        <w:t xml:space="preserve"> flow for 10 min. To the above solution, </w:t>
      </w:r>
      <w:r w:rsidR="005C1BC8" w:rsidRPr="00E51904">
        <w:t xml:space="preserve">a </w:t>
      </w:r>
      <w:r>
        <w:t>mixture</w:t>
      </w:r>
      <w:r w:rsidR="005C1BC8" w:rsidRPr="00E51904">
        <w:t xml:space="preserve"> of </w:t>
      </w:r>
      <w:r w:rsidRPr="00364B71">
        <w:rPr>
          <w:b/>
          <w:bCs/>
        </w:rPr>
        <w:t>Cage-3-Cl</w:t>
      </w:r>
      <w:r>
        <w:t xml:space="preserve"> </w:t>
      </w:r>
      <w:bookmarkStart w:id="6" w:name="OLE_LINK1"/>
      <w:bookmarkStart w:id="7" w:name="OLE_LINK2"/>
      <w:r w:rsidR="005C1BC8" w:rsidRPr="00E51904">
        <w:t>(</w:t>
      </w:r>
      <w:r>
        <w:t>58.7</w:t>
      </w:r>
      <w:r w:rsidR="005C1BC8" w:rsidRPr="00E51904">
        <w:t xml:space="preserve"> </w:t>
      </w:r>
      <w:r>
        <w:t>m</w:t>
      </w:r>
      <w:r w:rsidR="005C1BC8" w:rsidRPr="00E51904">
        <w:t xml:space="preserve">g, </w:t>
      </w:r>
      <w:r>
        <w:t>0.1</w:t>
      </w:r>
      <w:r w:rsidR="005C1BC8" w:rsidRPr="00E51904">
        <w:t xml:space="preserve"> mmol) </w:t>
      </w:r>
      <w:bookmarkEnd w:id="6"/>
      <w:bookmarkEnd w:id="7"/>
      <w:r>
        <w:t xml:space="preserve">and </w:t>
      </w:r>
      <w:proofErr w:type="spellStart"/>
      <w:r>
        <w:t>t</w:t>
      </w:r>
      <w:r w:rsidRPr="000F60B0">
        <w:t>etrafluorohydroquinone</w:t>
      </w:r>
      <w:proofErr w:type="spellEnd"/>
      <w:r>
        <w:t xml:space="preserve"> </w:t>
      </w:r>
      <w:r w:rsidRPr="00E51904">
        <w:t>(</w:t>
      </w:r>
      <w:r w:rsidR="00BF2743" w:rsidRPr="00364B71">
        <w:rPr>
          <w:b/>
          <w:bCs/>
        </w:rPr>
        <w:t>TFHQ</w:t>
      </w:r>
      <w:r w:rsidR="00BF2743">
        <w:t xml:space="preserve">, </w:t>
      </w:r>
      <w:r>
        <w:t>27.3</w:t>
      </w:r>
      <w:r w:rsidRPr="00E51904">
        <w:t xml:space="preserve"> </w:t>
      </w:r>
      <w:r>
        <w:t>m</w:t>
      </w:r>
      <w:r w:rsidRPr="00E51904">
        <w:t xml:space="preserve">g, </w:t>
      </w:r>
      <w:r>
        <w:t>0.15</w:t>
      </w:r>
      <w:r w:rsidRPr="00E51904">
        <w:t xml:space="preserve"> mmol) </w:t>
      </w:r>
      <w:r w:rsidR="005C1BC8" w:rsidRPr="00E51904">
        <w:t>in acetone (</w:t>
      </w:r>
      <w:r>
        <w:t>6</w:t>
      </w:r>
      <w:r w:rsidR="005C1BC8" w:rsidRPr="00E51904">
        <w:t xml:space="preserve"> mL)</w:t>
      </w:r>
      <w:r>
        <w:t xml:space="preserve"> </w:t>
      </w:r>
      <w:r w:rsidR="005C1BC8" w:rsidRPr="00E51904">
        <w:t>w</w:t>
      </w:r>
      <w:r>
        <w:t>as</w:t>
      </w:r>
      <w:r w:rsidR="005C1BC8" w:rsidRPr="00E51904">
        <w:t xml:space="preserve"> added dropwise over </w:t>
      </w:r>
      <w:r>
        <w:t>3</w:t>
      </w:r>
      <w:r w:rsidR="005C1BC8" w:rsidRPr="00E51904">
        <w:t xml:space="preserve"> h</w:t>
      </w:r>
      <w:r>
        <w:t xml:space="preserve"> under</w:t>
      </w:r>
      <w:r w:rsidR="009E6A50">
        <w:t xml:space="preserve"> a</w:t>
      </w:r>
      <w:r>
        <w:t xml:space="preserve"> </w:t>
      </w:r>
      <w:r w:rsidR="009E6A50">
        <w:t xml:space="preserve">nitrogen </w:t>
      </w:r>
      <w:r>
        <w:t>atmosphere</w:t>
      </w:r>
      <w:r w:rsidR="005C1BC8" w:rsidRPr="00E51904">
        <w:t xml:space="preserve">. After the addition was complete, the reaction was stirred at room temperature for </w:t>
      </w:r>
      <w:r>
        <w:t xml:space="preserve">36 </w:t>
      </w:r>
      <w:r w:rsidR="005C1BC8" w:rsidRPr="00E51904">
        <w:t xml:space="preserve">h. The solvent was then removed by rotary evaporation, and the crude product was purified by chromatography using </w:t>
      </w:r>
      <w:r w:rsidR="005C1BC8" w:rsidRPr="00AF5FE1">
        <w:t>acetone/CH</w:t>
      </w:r>
      <w:r w:rsidR="005C1BC8" w:rsidRPr="00AF5FE1">
        <w:rPr>
          <w:vertAlign w:val="subscript"/>
        </w:rPr>
        <w:t>2</w:t>
      </w:r>
      <w:r w:rsidR="005C1BC8" w:rsidRPr="00AF5FE1">
        <w:t>Cl</w:t>
      </w:r>
      <w:r w:rsidR="005C1BC8" w:rsidRPr="00AF5FE1">
        <w:rPr>
          <w:vertAlign w:val="subscript"/>
        </w:rPr>
        <w:t>2</w:t>
      </w:r>
      <w:r w:rsidR="005C1BC8" w:rsidRPr="00AF5FE1">
        <w:t xml:space="preserve"> (</w:t>
      </w:r>
      <w:r>
        <w:t>10</w:t>
      </w:r>
      <w:r w:rsidR="005C1BC8" w:rsidRPr="00AF5FE1">
        <w:t xml:space="preserve">% acetone) as eluent to afford </w:t>
      </w:r>
      <w:r w:rsidR="009E6A50">
        <w:rPr>
          <w:b/>
          <w:shd w:val="clear" w:color="auto" w:fill="FFFFFF"/>
        </w:rPr>
        <w:t>[4[2+</w:t>
      </w:r>
      <w:proofErr w:type="gramStart"/>
      <w:r w:rsidR="009E6A50">
        <w:rPr>
          <w:b/>
          <w:shd w:val="clear" w:color="auto" w:fill="FFFFFF"/>
        </w:rPr>
        <w:t>3]+</w:t>
      </w:r>
      <w:proofErr w:type="gramEnd"/>
      <w:r w:rsidR="009E6A50">
        <w:rPr>
          <w:b/>
          <w:shd w:val="clear" w:color="auto" w:fill="FFFFFF"/>
        </w:rPr>
        <w:t>6]cage</w:t>
      </w:r>
      <w:r w:rsidR="005C1BC8" w:rsidRPr="00AF5FE1">
        <w:t xml:space="preserve"> as a white solid in </w:t>
      </w:r>
      <w:r>
        <w:t>5</w:t>
      </w:r>
      <w:r w:rsidR="005C1BC8" w:rsidRPr="00AF5FE1">
        <w:t>3%</w:t>
      </w:r>
      <w:r w:rsidR="009E6A50">
        <w:t xml:space="preserve"> isolated yield (</w:t>
      </w:r>
      <w:r>
        <w:t>4</w:t>
      </w:r>
      <w:r w:rsidR="005C1BC8" w:rsidRPr="00AF5FE1">
        <w:t>0 mg</w:t>
      </w:r>
      <w:r w:rsidR="009E6A50">
        <w:t xml:space="preserve">, </w:t>
      </w:r>
      <w:r>
        <w:t>0.013</w:t>
      </w:r>
      <w:r w:rsidR="005C1BC8" w:rsidRPr="00AF5FE1">
        <w:t xml:space="preserve"> mmol).</w:t>
      </w:r>
    </w:p>
    <w:p w14:paraId="6BE1B2DE" w14:textId="2DB7CD52" w:rsidR="005C1BC8" w:rsidRPr="00E51904" w:rsidRDefault="005C1BC8" w:rsidP="005C1BC8">
      <w:r w:rsidRPr="00E51904">
        <w:rPr>
          <w:vertAlign w:val="superscript"/>
        </w:rPr>
        <w:t>1</w:t>
      </w:r>
      <w:r w:rsidRPr="00E51904">
        <w:t xml:space="preserve">H NMR (400 MHz, </w:t>
      </w:r>
      <w:r w:rsidR="000F60B0">
        <w:t>acetone-</w:t>
      </w:r>
      <w:r w:rsidR="000F60B0" w:rsidRPr="000F60B0">
        <w:rPr>
          <w:i/>
        </w:rPr>
        <w:t>d</w:t>
      </w:r>
      <w:r w:rsidR="000F60B0" w:rsidRPr="000F60B0">
        <w:rPr>
          <w:i/>
          <w:vertAlign w:val="subscript"/>
        </w:rPr>
        <w:t>6</w:t>
      </w:r>
      <w:r w:rsidRPr="00E9748A">
        <w:t>)</w:t>
      </w:r>
      <w:r w:rsidRPr="00E51904">
        <w:t xml:space="preserve">: </w:t>
      </w:r>
      <w:r w:rsidRPr="000E7559">
        <w:rPr>
          <w:i/>
        </w:rPr>
        <w:t>δ</w:t>
      </w:r>
      <w:r w:rsidRPr="00E51904">
        <w:t xml:space="preserve"> </w:t>
      </w:r>
      <w:r w:rsidR="000F60B0">
        <w:t>7.09</w:t>
      </w:r>
      <w:r w:rsidRPr="00E51904">
        <w:t xml:space="preserve"> (s, </w:t>
      </w:r>
      <w:r w:rsidR="000F60B0">
        <w:t>12H</w:t>
      </w:r>
      <w:r w:rsidR="000F60B0" w:rsidRPr="000F60B0">
        <w:rPr>
          <w:vertAlign w:val="subscript"/>
        </w:rPr>
        <w:t>b</w:t>
      </w:r>
      <w:r w:rsidRPr="00E51904">
        <w:t>)</w:t>
      </w:r>
      <w:r w:rsidR="000F60B0">
        <w:t>, 6.85 (12H</w:t>
      </w:r>
      <w:r w:rsidR="000F60B0" w:rsidRPr="000F60B0">
        <w:rPr>
          <w:vertAlign w:val="subscript"/>
        </w:rPr>
        <w:t>a</w:t>
      </w:r>
      <w:r w:rsidR="000F60B0">
        <w:t>)</w:t>
      </w:r>
      <w:r w:rsidRPr="00E51904">
        <w:t>;</w:t>
      </w:r>
      <w:r w:rsidR="000E7559" w:rsidRPr="000E7559">
        <w:rPr>
          <w:vertAlign w:val="superscript"/>
        </w:rPr>
        <w:t xml:space="preserve"> </w:t>
      </w:r>
      <w:r w:rsidR="000E7559" w:rsidRPr="00E51904">
        <w:rPr>
          <w:vertAlign w:val="superscript"/>
        </w:rPr>
        <w:t>1</w:t>
      </w:r>
      <w:r w:rsidR="000E7559">
        <w:rPr>
          <w:vertAlign w:val="superscript"/>
        </w:rPr>
        <w:t>9</w:t>
      </w:r>
      <w:r w:rsidR="000E7559">
        <w:t>F</w:t>
      </w:r>
      <w:r w:rsidR="000E7559" w:rsidRPr="00E51904">
        <w:t xml:space="preserve"> NMR (</w:t>
      </w:r>
      <w:r w:rsidR="000E7559">
        <w:t>376</w:t>
      </w:r>
      <w:r w:rsidR="000E7559" w:rsidRPr="00E51904">
        <w:t xml:space="preserve"> MHz, </w:t>
      </w:r>
      <w:r w:rsidR="000E7559">
        <w:t>acetone-</w:t>
      </w:r>
      <w:r w:rsidR="000E7559" w:rsidRPr="000F60B0">
        <w:rPr>
          <w:i/>
        </w:rPr>
        <w:t>d</w:t>
      </w:r>
      <w:r w:rsidR="000E7559" w:rsidRPr="000F60B0">
        <w:rPr>
          <w:i/>
          <w:vertAlign w:val="subscript"/>
        </w:rPr>
        <w:t>6</w:t>
      </w:r>
      <w:r w:rsidR="000E7559" w:rsidRPr="00E9748A">
        <w:t>)</w:t>
      </w:r>
      <w:r w:rsidR="000E7559" w:rsidRPr="00E51904">
        <w:t xml:space="preserve">: </w:t>
      </w:r>
      <w:r w:rsidR="000E7559" w:rsidRPr="000E7559">
        <w:rPr>
          <w:i/>
        </w:rPr>
        <w:t>δ</w:t>
      </w:r>
      <w:r w:rsidR="000E7559" w:rsidRPr="00E51904">
        <w:t xml:space="preserve"> </w:t>
      </w:r>
      <w:r w:rsidR="00D90EE1">
        <w:t>-</w:t>
      </w:r>
      <w:r w:rsidR="000E7559">
        <w:t>155.62;</w:t>
      </w:r>
      <w:r w:rsidR="000E7559" w:rsidRPr="00E51904">
        <w:t xml:space="preserve"> </w:t>
      </w:r>
      <w:r w:rsidRPr="00E51904">
        <w:rPr>
          <w:vertAlign w:val="superscript"/>
        </w:rPr>
        <w:t>13</w:t>
      </w:r>
      <w:r w:rsidRPr="00E51904">
        <w:t xml:space="preserve">C NMR (100 MHz, </w:t>
      </w:r>
      <w:r w:rsidR="000F60B0">
        <w:t>dioxane-</w:t>
      </w:r>
      <w:r w:rsidR="000F60B0" w:rsidRPr="000F60B0">
        <w:rPr>
          <w:i/>
        </w:rPr>
        <w:t>d</w:t>
      </w:r>
      <w:r w:rsidR="000F60B0" w:rsidRPr="000F60B0">
        <w:rPr>
          <w:i/>
          <w:vertAlign w:val="subscript"/>
        </w:rPr>
        <w:t>8</w:t>
      </w:r>
      <w:r w:rsidRPr="00E51904">
        <w:t xml:space="preserve">): </w:t>
      </w:r>
      <w:r w:rsidRPr="000E7559">
        <w:rPr>
          <w:i/>
        </w:rPr>
        <w:t>δ</w:t>
      </w:r>
      <w:r w:rsidRPr="00E51904">
        <w:t xml:space="preserve"> </w:t>
      </w:r>
      <w:r w:rsidR="000E7559">
        <w:t>174.5, 173.5, 173.1, 153.2, 152.8, 142.5, 140.1, 140.0, 128.3, 115.2, 114.8.</w:t>
      </w:r>
    </w:p>
    <w:p w14:paraId="5159439E" w14:textId="77777777" w:rsidR="00A13AA6" w:rsidRPr="00EA1221" w:rsidRDefault="00A13AA6" w:rsidP="00A13AA6">
      <w:pPr>
        <w:rPr>
          <w:rFonts w:eastAsiaTheme="minorEastAsia"/>
        </w:rPr>
      </w:pPr>
    </w:p>
    <w:p w14:paraId="397403C2" w14:textId="19FE72E3" w:rsidR="000F60B0" w:rsidRDefault="00A13AA6" w:rsidP="00A13AA6">
      <w:pPr>
        <w:spacing w:after="160" w:line="259" w:lineRule="auto"/>
        <w:jc w:val="left"/>
        <w:rPr>
          <w:rFonts w:eastAsiaTheme="minorEastAsia"/>
        </w:rPr>
      </w:pPr>
      <w:r w:rsidRPr="00EA1221">
        <w:rPr>
          <w:rFonts w:eastAsiaTheme="minorEastAsia"/>
        </w:rPr>
        <w:br w:type="page"/>
      </w:r>
      <w:r w:rsidR="000F60B0">
        <w:rPr>
          <w:rFonts w:eastAsiaTheme="minorEastAsia"/>
          <w:noProof/>
        </w:rPr>
        <w:lastRenderedPageBreak/>
        <w:drawing>
          <wp:inline distT="0" distB="0" distL="0" distR="0" wp14:anchorId="55238EDA" wp14:editId="555988A9">
            <wp:extent cx="5220000" cy="357204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20000" cy="3572049"/>
                    </a:xfrm>
                    <a:prstGeom prst="rect">
                      <a:avLst/>
                    </a:prstGeom>
                    <a:noFill/>
                  </pic:spPr>
                </pic:pic>
              </a:graphicData>
            </a:graphic>
          </wp:inline>
        </w:drawing>
      </w:r>
    </w:p>
    <w:p w14:paraId="518A25FC" w14:textId="0BDDEA99" w:rsidR="000F60B0" w:rsidRDefault="000F60B0" w:rsidP="000E7559">
      <w:pPr>
        <w:pStyle w:val="Title"/>
        <w:rPr>
          <w:rFonts w:eastAsiaTheme="minorEastAsia"/>
        </w:rPr>
      </w:pPr>
      <w:bookmarkStart w:id="8" w:name="OLE_LINK3"/>
      <w:bookmarkStart w:id="9" w:name="OLE_LINK4"/>
      <w:r>
        <w:rPr>
          <w:rFonts w:eastAsiaTheme="minorEastAsia"/>
        </w:rPr>
        <w:t>Figure S</w:t>
      </w:r>
      <w:r w:rsidR="00AB7071">
        <w:rPr>
          <w:rFonts w:eastAsiaTheme="minorEastAsia"/>
        </w:rPr>
        <w:t>5</w:t>
      </w:r>
      <w:r>
        <w:rPr>
          <w:rFonts w:eastAsiaTheme="minorEastAsia"/>
        </w:rPr>
        <w:t xml:space="preserve"> </w:t>
      </w:r>
      <w:r w:rsidRPr="000F60B0">
        <w:rPr>
          <w:rFonts w:eastAsiaTheme="minorEastAsia"/>
          <w:vertAlign w:val="superscript"/>
        </w:rPr>
        <w:t>1</w:t>
      </w:r>
      <w:r>
        <w:rPr>
          <w:rFonts w:eastAsiaTheme="minorEastAsia"/>
        </w:rPr>
        <w:t>H NMR (400 MHz, acetone-</w:t>
      </w:r>
      <w:r w:rsidRPr="000F60B0">
        <w:rPr>
          <w:rFonts w:eastAsiaTheme="minorEastAsia"/>
          <w:i/>
        </w:rPr>
        <w:t>d</w:t>
      </w:r>
      <w:r w:rsidRPr="000F60B0">
        <w:rPr>
          <w:rFonts w:eastAsiaTheme="minorEastAsia"/>
          <w:i/>
          <w:vertAlign w:val="subscript"/>
        </w:rPr>
        <w:t>6</w:t>
      </w:r>
      <w:r>
        <w:rPr>
          <w:rFonts w:eastAsiaTheme="minorEastAsia"/>
        </w:rPr>
        <w:t xml:space="preserve">) spectrum of </w:t>
      </w:r>
      <w:r w:rsidR="00497FC8" w:rsidRPr="00364B71">
        <w:rPr>
          <w:rFonts w:eastAsiaTheme="minorEastAsia"/>
          <w:b/>
          <w:bCs w:val="0"/>
        </w:rPr>
        <w:t>[4[2+</w:t>
      </w:r>
      <w:proofErr w:type="gramStart"/>
      <w:r w:rsidR="00497FC8" w:rsidRPr="00364B71">
        <w:rPr>
          <w:rFonts w:eastAsiaTheme="minorEastAsia"/>
          <w:b/>
          <w:bCs w:val="0"/>
        </w:rPr>
        <w:t>3]+</w:t>
      </w:r>
      <w:proofErr w:type="gramEnd"/>
      <w:r w:rsidR="00497FC8" w:rsidRPr="00364B71">
        <w:rPr>
          <w:rFonts w:eastAsiaTheme="minorEastAsia"/>
          <w:b/>
          <w:bCs w:val="0"/>
        </w:rPr>
        <w:t>6]cage</w:t>
      </w:r>
      <w:r>
        <w:rPr>
          <w:rFonts w:eastAsiaTheme="minorEastAsia"/>
        </w:rPr>
        <w:t>.</w:t>
      </w:r>
    </w:p>
    <w:p w14:paraId="2119AF09" w14:textId="77777777" w:rsidR="000E7559" w:rsidRPr="000E7559" w:rsidRDefault="000E7559" w:rsidP="000E7559">
      <w:pPr>
        <w:rPr>
          <w:rFonts w:eastAsiaTheme="minorEastAsia"/>
        </w:rPr>
      </w:pPr>
    </w:p>
    <w:bookmarkEnd w:id="8"/>
    <w:bookmarkEnd w:id="9"/>
    <w:p w14:paraId="3CDD834E" w14:textId="572CA539" w:rsidR="000F60B0" w:rsidRDefault="000F60B0" w:rsidP="00A13AA6">
      <w:pPr>
        <w:spacing w:after="160" w:line="259" w:lineRule="auto"/>
        <w:jc w:val="left"/>
        <w:rPr>
          <w:rFonts w:eastAsiaTheme="minorEastAsia"/>
        </w:rPr>
      </w:pPr>
      <w:r>
        <w:rPr>
          <w:rFonts w:eastAsiaTheme="minorEastAsia"/>
          <w:noProof/>
        </w:rPr>
        <w:drawing>
          <wp:inline distT="0" distB="0" distL="0" distR="0" wp14:anchorId="195196F5" wp14:editId="05B55EB1">
            <wp:extent cx="5220000" cy="355269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20000" cy="3552692"/>
                    </a:xfrm>
                    <a:prstGeom prst="rect">
                      <a:avLst/>
                    </a:prstGeom>
                    <a:noFill/>
                  </pic:spPr>
                </pic:pic>
              </a:graphicData>
            </a:graphic>
          </wp:inline>
        </w:drawing>
      </w:r>
    </w:p>
    <w:p w14:paraId="311C0553" w14:textId="7EBCDE6B" w:rsidR="000F60B0" w:rsidRDefault="000F60B0" w:rsidP="000E7559">
      <w:pPr>
        <w:pStyle w:val="Title"/>
        <w:rPr>
          <w:rFonts w:eastAsiaTheme="minorEastAsia"/>
        </w:rPr>
      </w:pPr>
      <w:r>
        <w:rPr>
          <w:rFonts w:eastAsiaTheme="minorEastAsia"/>
        </w:rPr>
        <w:t>Figure S</w:t>
      </w:r>
      <w:r w:rsidR="00AB7071">
        <w:rPr>
          <w:rFonts w:eastAsiaTheme="minorEastAsia"/>
        </w:rPr>
        <w:t>6</w:t>
      </w:r>
      <w:r>
        <w:rPr>
          <w:rFonts w:eastAsiaTheme="minorEastAsia"/>
        </w:rPr>
        <w:t xml:space="preserve"> </w:t>
      </w:r>
      <w:r w:rsidRPr="000F60B0">
        <w:rPr>
          <w:rFonts w:eastAsiaTheme="minorEastAsia"/>
          <w:vertAlign w:val="superscript"/>
        </w:rPr>
        <w:t>1</w:t>
      </w:r>
      <w:r>
        <w:rPr>
          <w:rFonts w:eastAsiaTheme="minorEastAsia"/>
          <w:vertAlign w:val="superscript"/>
        </w:rPr>
        <w:t>9</w:t>
      </w:r>
      <w:r>
        <w:rPr>
          <w:rFonts w:eastAsiaTheme="minorEastAsia"/>
        </w:rPr>
        <w:t>F NMR (376 MHz, acetone-</w:t>
      </w:r>
      <w:r w:rsidRPr="000F60B0">
        <w:rPr>
          <w:rFonts w:eastAsiaTheme="minorEastAsia"/>
          <w:i/>
        </w:rPr>
        <w:t>d</w:t>
      </w:r>
      <w:r w:rsidRPr="000F60B0">
        <w:rPr>
          <w:rFonts w:eastAsiaTheme="minorEastAsia"/>
          <w:i/>
          <w:vertAlign w:val="subscript"/>
        </w:rPr>
        <w:t>6</w:t>
      </w:r>
      <w:r>
        <w:rPr>
          <w:rFonts w:eastAsiaTheme="minorEastAsia"/>
        </w:rPr>
        <w:t xml:space="preserve">) spectrum of </w:t>
      </w:r>
      <w:r w:rsidR="00497FC8" w:rsidRPr="00364B71">
        <w:rPr>
          <w:rFonts w:eastAsiaTheme="minorEastAsia"/>
          <w:b/>
          <w:bCs w:val="0"/>
        </w:rPr>
        <w:t>[4[2+</w:t>
      </w:r>
      <w:proofErr w:type="gramStart"/>
      <w:r w:rsidR="00497FC8" w:rsidRPr="00364B71">
        <w:rPr>
          <w:rFonts w:eastAsiaTheme="minorEastAsia"/>
          <w:b/>
          <w:bCs w:val="0"/>
        </w:rPr>
        <w:t>3]+</w:t>
      </w:r>
      <w:proofErr w:type="gramEnd"/>
      <w:r w:rsidR="00497FC8" w:rsidRPr="00364B71">
        <w:rPr>
          <w:rFonts w:eastAsiaTheme="minorEastAsia"/>
          <w:b/>
          <w:bCs w:val="0"/>
        </w:rPr>
        <w:t>6]cage</w:t>
      </w:r>
      <w:r>
        <w:rPr>
          <w:rFonts w:eastAsiaTheme="minorEastAsia"/>
        </w:rPr>
        <w:t>.</w:t>
      </w:r>
    </w:p>
    <w:p w14:paraId="66CB6BF3" w14:textId="77777777" w:rsidR="000F60B0" w:rsidRDefault="000F60B0" w:rsidP="00A13AA6">
      <w:pPr>
        <w:spacing w:after="160" w:line="259" w:lineRule="auto"/>
        <w:jc w:val="left"/>
        <w:rPr>
          <w:rFonts w:eastAsiaTheme="minorEastAsia"/>
        </w:rPr>
      </w:pPr>
    </w:p>
    <w:p w14:paraId="6883F6A9" w14:textId="4508A28D" w:rsidR="00A13AA6" w:rsidRDefault="000F60B0" w:rsidP="00A13AA6">
      <w:pPr>
        <w:spacing w:after="160" w:line="259" w:lineRule="auto"/>
        <w:jc w:val="left"/>
        <w:rPr>
          <w:rFonts w:eastAsiaTheme="minorEastAsia"/>
        </w:rPr>
      </w:pPr>
      <w:r>
        <w:rPr>
          <w:rFonts w:eastAsiaTheme="minorEastAsia"/>
          <w:noProof/>
        </w:rPr>
        <w:lastRenderedPageBreak/>
        <w:drawing>
          <wp:inline distT="0" distB="0" distL="0" distR="0" wp14:anchorId="2B694142" wp14:editId="0BA30453">
            <wp:extent cx="5219579" cy="3746310"/>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4303"/>
                    <a:stretch/>
                  </pic:blipFill>
                  <pic:spPr bwMode="auto">
                    <a:xfrm>
                      <a:off x="0" y="0"/>
                      <a:ext cx="5220000" cy="3746612"/>
                    </a:xfrm>
                    <a:prstGeom prst="rect">
                      <a:avLst/>
                    </a:prstGeom>
                    <a:noFill/>
                    <a:ln>
                      <a:noFill/>
                    </a:ln>
                    <a:extLst>
                      <a:ext uri="{53640926-AAD7-44D8-BBD7-CCE9431645EC}">
                        <a14:shadowObscured xmlns:a14="http://schemas.microsoft.com/office/drawing/2010/main"/>
                      </a:ext>
                    </a:extLst>
                  </pic:spPr>
                </pic:pic>
              </a:graphicData>
            </a:graphic>
          </wp:inline>
        </w:drawing>
      </w:r>
    </w:p>
    <w:p w14:paraId="71F6A4E6" w14:textId="57BDA219" w:rsidR="000F60B0" w:rsidRDefault="000F60B0" w:rsidP="000E7559">
      <w:pPr>
        <w:pStyle w:val="Title"/>
        <w:rPr>
          <w:rFonts w:eastAsiaTheme="minorEastAsia"/>
        </w:rPr>
      </w:pPr>
      <w:r>
        <w:rPr>
          <w:rFonts w:eastAsiaTheme="minorEastAsia"/>
        </w:rPr>
        <w:t>Figure S</w:t>
      </w:r>
      <w:r w:rsidR="00AB7071">
        <w:rPr>
          <w:rFonts w:eastAsiaTheme="minorEastAsia"/>
        </w:rPr>
        <w:t>7</w:t>
      </w:r>
      <w:r>
        <w:rPr>
          <w:rFonts w:eastAsiaTheme="minorEastAsia"/>
        </w:rPr>
        <w:t xml:space="preserve"> </w:t>
      </w:r>
      <w:r w:rsidRPr="000F60B0">
        <w:rPr>
          <w:rFonts w:eastAsiaTheme="minorEastAsia"/>
          <w:vertAlign w:val="superscript"/>
        </w:rPr>
        <w:t>1</w:t>
      </w:r>
      <w:r>
        <w:rPr>
          <w:rFonts w:eastAsiaTheme="minorEastAsia"/>
          <w:vertAlign w:val="superscript"/>
        </w:rPr>
        <w:t>3</w:t>
      </w:r>
      <w:r>
        <w:rPr>
          <w:rFonts w:eastAsiaTheme="minorEastAsia"/>
        </w:rPr>
        <w:t>C NMR (400 MHz, dioxane-</w:t>
      </w:r>
      <w:r w:rsidRPr="000F60B0">
        <w:rPr>
          <w:rFonts w:eastAsiaTheme="minorEastAsia"/>
          <w:i/>
        </w:rPr>
        <w:t>d</w:t>
      </w:r>
      <w:r>
        <w:rPr>
          <w:rFonts w:eastAsiaTheme="minorEastAsia"/>
          <w:i/>
          <w:vertAlign w:val="subscript"/>
        </w:rPr>
        <w:t>8</w:t>
      </w:r>
      <w:r>
        <w:rPr>
          <w:rFonts w:eastAsiaTheme="minorEastAsia"/>
        </w:rPr>
        <w:t xml:space="preserve">) spectrum of </w:t>
      </w:r>
      <w:r w:rsidR="00497FC8" w:rsidRPr="00364B71">
        <w:rPr>
          <w:rFonts w:eastAsiaTheme="minorEastAsia"/>
          <w:b/>
          <w:bCs w:val="0"/>
        </w:rPr>
        <w:t>[4[2+</w:t>
      </w:r>
      <w:proofErr w:type="gramStart"/>
      <w:r w:rsidR="00497FC8" w:rsidRPr="00364B71">
        <w:rPr>
          <w:rFonts w:eastAsiaTheme="minorEastAsia"/>
          <w:b/>
          <w:bCs w:val="0"/>
        </w:rPr>
        <w:t>3]+</w:t>
      </w:r>
      <w:proofErr w:type="gramEnd"/>
      <w:r w:rsidR="00497FC8" w:rsidRPr="00364B71">
        <w:rPr>
          <w:rFonts w:eastAsiaTheme="minorEastAsia"/>
          <w:b/>
          <w:bCs w:val="0"/>
        </w:rPr>
        <w:t>6]cage</w:t>
      </w:r>
      <w:r>
        <w:rPr>
          <w:rFonts w:eastAsiaTheme="minorEastAsia"/>
        </w:rPr>
        <w:t>.</w:t>
      </w:r>
    </w:p>
    <w:p w14:paraId="6B3F0151" w14:textId="6C2571E3" w:rsidR="00F11AA2" w:rsidRDefault="00F11AA2" w:rsidP="00F11AA2">
      <w:pPr>
        <w:jc w:val="center"/>
        <w:rPr>
          <w:rFonts w:eastAsiaTheme="minorEastAsia"/>
        </w:rPr>
      </w:pPr>
      <w:r>
        <w:rPr>
          <w:noProof/>
        </w:rPr>
        <w:drawing>
          <wp:inline distT="0" distB="0" distL="0" distR="0" wp14:anchorId="738F0779" wp14:editId="7CBB64D6">
            <wp:extent cx="4811603" cy="3788627"/>
            <wp:effectExtent l="0" t="0" r="8255" b="2540"/>
            <wp:docPr id="2018814728" name="Picture 1" descr="A graph of a scientific experi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814728" name="Picture 1" descr="A graph of a scientific experiment&#10;&#10;Description automatically generated with medium confidence"/>
                    <pic:cNvPicPr/>
                  </pic:nvPicPr>
                  <pic:blipFill rotWithShape="1">
                    <a:blip r:embed="rId22"/>
                    <a:srcRect l="4914" r="3849"/>
                    <a:stretch/>
                  </pic:blipFill>
                  <pic:spPr bwMode="auto">
                    <a:xfrm>
                      <a:off x="0" y="0"/>
                      <a:ext cx="4812134" cy="3789045"/>
                    </a:xfrm>
                    <a:prstGeom prst="rect">
                      <a:avLst/>
                    </a:prstGeom>
                    <a:ln>
                      <a:noFill/>
                    </a:ln>
                    <a:extLst>
                      <a:ext uri="{53640926-AAD7-44D8-BBD7-CCE9431645EC}">
                        <a14:shadowObscured xmlns:a14="http://schemas.microsoft.com/office/drawing/2010/main"/>
                      </a:ext>
                    </a:extLst>
                  </pic:spPr>
                </pic:pic>
              </a:graphicData>
            </a:graphic>
          </wp:inline>
        </w:drawing>
      </w:r>
    </w:p>
    <w:p w14:paraId="0329E41D" w14:textId="2D9287E0" w:rsidR="00F11AA2" w:rsidRPr="00F11AA2" w:rsidRDefault="00F11AA2" w:rsidP="0048383A">
      <w:pPr>
        <w:pStyle w:val="Title"/>
        <w:rPr>
          <w:rFonts w:eastAsiaTheme="minorEastAsia"/>
        </w:rPr>
      </w:pPr>
      <w:r>
        <w:rPr>
          <w:rFonts w:eastAsiaTheme="minorEastAsia"/>
        </w:rPr>
        <w:t>Figure S</w:t>
      </w:r>
      <w:r w:rsidR="00AB7071">
        <w:rPr>
          <w:rFonts w:eastAsiaTheme="minorEastAsia"/>
        </w:rPr>
        <w:t>8</w:t>
      </w:r>
      <w:r>
        <w:rPr>
          <w:rFonts w:eastAsiaTheme="minorEastAsia"/>
        </w:rPr>
        <w:t xml:space="preserve"> High-resolution MALDI-TOF spectrum of </w:t>
      </w:r>
      <w:r w:rsidR="00497FC8" w:rsidRPr="00364B71">
        <w:rPr>
          <w:rFonts w:eastAsiaTheme="minorEastAsia"/>
          <w:b/>
          <w:bCs w:val="0"/>
        </w:rPr>
        <w:t>[4[2+</w:t>
      </w:r>
      <w:proofErr w:type="gramStart"/>
      <w:r w:rsidR="00497FC8" w:rsidRPr="00364B71">
        <w:rPr>
          <w:rFonts w:eastAsiaTheme="minorEastAsia"/>
          <w:b/>
          <w:bCs w:val="0"/>
        </w:rPr>
        <w:t>3]+</w:t>
      </w:r>
      <w:proofErr w:type="gramEnd"/>
      <w:r w:rsidR="00497FC8" w:rsidRPr="00364B71">
        <w:rPr>
          <w:rFonts w:eastAsiaTheme="minorEastAsia"/>
          <w:b/>
          <w:bCs w:val="0"/>
        </w:rPr>
        <w:t>6]cage</w:t>
      </w:r>
      <w:r>
        <w:rPr>
          <w:rFonts w:eastAsiaTheme="minorEastAsia"/>
        </w:rPr>
        <w:t>.</w:t>
      </w:r>
      <w:r w:rsidRPr="0048383A">
        <w:rPr>
          <w:rFonts w:eastAsiaTheme="minorEastAsia"/>
        </w:rPr>
        <w:t xml:space="preserve"> </w:t>
      </w:r>
      <w:r w:rsidR="0048383A" w:rsidRPr="0048383A">
        <w:rPr>
          <w:rFonts w:eastAsiaTheme="minorEastAsia"/>
        </w:rPr>
        <w:t xml:space="preserve">A linear calibration method using </w:t>
      </w:r>
      <w:r w:rsidR="009E6A50">
        <w:rPr>
          <w:rFonts w:eastAsiaTheme="minorEastAsia"/>
        </w:rPr>
        <w:t xml:space="preserve">two </w:t>
      </w:r>
      <w:r w:rsidR="0048383A" w:rsidRPr="0048383A">
        <w:rPr>
          <w:rFonts w:eastAsiaTheme="minorEastAsia"/>
        </w:rPr>
        <w:t xml:space="preserve">internal lock masses of the calibrant </w:t>
      </w:r>
      <w:proofErr w:type="spellStart"/>
      <w:r w:rsidR="0048383A" w:rsidRPr="0048383A">
        <w:rPr>
          <w:rFonts w:eastAsiaTheme="minorEastAsia"/>
        </w:rPr>
        <w:t>SphericalTM</w:t>
      </w:r>
      <w:proofErr w:type="spellEnd"/>
      <w:r w:rsidR="0048383A" w:rsidRPr="0048383A">
        <w:rPr>
          <w:rFonts w:eastAsiaTheme="minorEastAsia"/>
        </w:rPr>
        <w:t xml:space="preserve"> that bracketed the ions of interest (at m/z 2979 and m/z 3423) was used with m/z error limits of +/- 5ppm.</w:t>
      </w:r>
    </w:p>
    <w:p w14:paraId="7750CDDE" w14:textId="42192A84" w:rsidR="000F60B0" w:rsidRDefault="000F60B0" w:rsidP="00A13AA6">
      <w:pPr>
        <w:spacing w:after="160" w:line="259" w:lineRule="auto"/>
        <w:jc w:val="left"/>
        <w:rPr>
          <w:rFonts w:eastAsiaTheme="minorEastAsia"/>
        </w:rPr>
      </w:pPr>
    </w:p>
    <w:p w14:paraId="71CE177B" w14:textId="7D31F8FD" w:rsidR="00F11AA2" w:rsidRDefault="00D36C94" w:rsidP="00A13AA6">
      <w:pPr>
        <w:spacing w:after="160" w:line="259" w:lineRule="auto"/>
        <w:jc w:val="left"/>
        <w:rPr>
          <w:rFonts w:eastAsiaTheme="minorEastAsia"/>
        </w:rPr>
      </w:pPr>
      <w:r w:rsidRPr="00D36C94">
        <w:rPr>
          <w:rFonts w:eastAsiaTheme="minorEastAsia"/>
          <w:noProof/>
        </w:rPr>
        <w:lastRenderedPageBreak/>
        <w:drawing>
          <wp:inline distT="0" distB="0" distL="0" distR="0" wp14:anchorId="1F5DA390" wp14:editId="4F0CBB1D">
            <wp:extent cx="5274310" cy="3642360"/>
            <wp:effectExtent l="0" t="0" r="2540" b="0"/>
            <wp:docPr id="2" name="Picture 1">
              <a:extLst xmlns:a="http://schemas.openxmlformats.org/drawingml/2006/main">
                <a:ext uri="{FF2B5EF4-FFF2-40B4-BE49-F238E27FC236}">
                  <a16:creationId xmlns:a16="http://schemas.microsoft.com/office/drawing/2014/main" id="{13E755A8-CCFB-4791-9BC7-0892AFEBDF5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13E755A8-CCFB-4791-9BC7-0892AFEBDF58}"/>
                        </a:ext>
                      </a:extLst>
                    </pic:cNvPr>
                    <pic:cNvPicPr>
                      <a:picLocks noChangeAspect="1"/>
                    </pic:cNvPicPr>
                  </pic:nvPicPr>
                  <pic:blipFill>
                    <a:blip r:embed="rId23"/>
                    <a:stretch>
                      <a:fillRect/>
                    </a:stretch>
                  </pic:blipFill>
                  <pic:spPr>
                    <a:xfrm>
                      <a:off x="0" y="0"/>
                      <a:ext cx="5274310" cy="3642360"/>
                    </a:xfrm>
                    <a:prstGeom prst="rect">
                      <a:avLst/>
                    </a:prstGeom>
                  </pic:spPr>
                </pic:pic>
              </a:graphicData>
            </a:graphic>
          </wp:inline>
        </w:drawing>
      </w:r>
    </w:p>
    <w:p w14:paraId="457A2EDE" w14:textId="1E114BB3" w:rsidR="00D36C94" w:rsidRDefault="00D36C94" w:rsidP="00D36C94">
      <w:pPr>
        <w:pStyle w:val="Title"/>
        <w:rPr>
          <w:rFonts w:eastAsiaTheme="minorEastAsia"/>
        </w:rPr>
      </w:pPr>
      <w:r>
        <w:rPr>
          <w:rFonts w:eastAsiaTheme="minorEastAsia"/>
        </w:rPr>
        <w:t>Figure S</w:t>
      </w:r>
      <w:r w:rsidR="00AB7071">
        <w:rPr>
          <w:rFonts w:eastAsiaTheme="minorEastAsia"/>
        </w:rPr>
        <w:t>9</w:t>
      </w:r>
      <w:r>
        <w:rPr>
          <w:rFonts w:eastAsiaTheme="minorEastAsia"/>
        </w:rPr>
        <w:t xml:space="preserve"> </w:t>
      </w:r>
      <w:r w:rsidRPr="000F60B0">
        <w:rPr>
          <w:rFonts w:eastAsiaTheme="minorEastAsia"/>
          <w:vertAlign w:val="superscript"/>
        </w:rPr>
        <w:t>1</w:t>
      </w:r>
      <w:r>
        <w:rPr>
          <w:rFonts w:eastAsiaTheme="minorEastAsia"/>
        </w:rPr>
        <w:t>H NMR (400 MHz, acetone-</w:t>
      </w:r>
      <w:r w:rsidRPr="000F60B0">
        <w:rPr>
          <w:rFonts w:eastAsiaTheme="minorEastAsia"/>
          <w:i/>
        </w:rPr>
        <w:t>d</w:t>
      </w:r>
      <w:r w:rsidRPr="000F60B0">
        <w:rPr>
          <w:rFonts w:eastAsiaTheme="minorEastAsia"/>
          <w:i/>
          <w:vertAlign w:val="subscript"/>
        </w:rPr>
        <w:t>6</w:t>
      </w:r>
      <w:r>
        <w:rPr>
          <w:rFonts w:eastAsiaTheme="minorEastAsia"/>
        </w:rPr>
        <w:t xml:space="preserve">) spectrum of </w:t>
      </w:r>
      <w:r w:rsidR="00497FC8" w:rsidRPr="00364B71">
        <w:rPr>
          <w:rFonts w:eastAsiaTheme="minorEastAsia"/>
          <w:b/>
          <w:bCs w:val="0"/>
        </w:rPr>
        <w:t>[4[2+</w:t>
      </w:r>
      <w:proofErr w:type="gramStart"/>
      <w:r w:rsidR="00497FC8" w:rsidRPr="00364B71">
        <w:rPr>
          <w:rFonts w:eastAsiaTheme="minorEastAsia"/>
          <w:b/>
          <w:bCs w:val="0"/>
        </w:rPr>
        <w:t>3]+</w:t>
      </w:r>
      <w:proofErr w:type="gramEnd"/>
      <w:r w:rsidR="00497FC8" w:rsidRPr="00364B71">
        <w:rPr>
          <w:rFonts w:eastAsiaTheme="minorEastAsia"/>
          <w:b/>
          <w:bCs w:val="0"/>
        </w:rPr>
        <w:t>6]cage</w:t>
      </w:r>
      <w:r w:rsidR="00497FC8">
        <w:rPr>
          <w:rFonts w:eastAsiaTheme="minorEastAsia"/>
        </w:rPr>
        <w:t xml:space="preserve"> </w:t>
      </w:r>
      <w:r>
        <w:rPr>
          <w:rFonts w:eastAsiaTheme="minorEastAsia"/>
        </w:rPr>
        <w:t xml:space="preserve">recorded after </w:t>
      </w:r>
      <w:r w:rsidR="009E6A50">
        <w:rPr>
          <w:rFonts w:eastAsiaTheme="minorEastAsia"/>
        </w:rPr>
        <w:t xml:space="preserve">the sample had been </w:t>
      </w:r>
      <w:r>
        <w:rPr>
          <w:rFonts w:eastAsiaTheme="minorEastAsia"/>
        </w:rPr>
        <w:t>immersed in water for 12 d</w:t>
      </w:r>
      <w:r w:rsidR="009E6A50">
        <w:rPr>
          <w:rFonts w:eastAsiaTheme="minorEastAsia"/>
        </w:rPr>
        <w:t>ays</w:t>
      </w:r>
      <w:r>
        <w:rPr>
          <w:rFonts w:eastAsiaTheme="minorEastAsia"/>
        </w:rPr>
        <w:t>.</w:t>
      </w:r>
    </w:p>
    <w:p w14:paraId="012A0E7B" w14:textId="77777777" w:rsidR="00D36C94" w:rsidRDefault="00D36C94" w:rsidP="00A13AA6">
      <w:pPr>
        <w:spacing w:after="160" w:line="259" w:lineRule="auto"/>
        <w:jc w:val="left"/>
        <w:rPr>
          <w:rFonts w:eastAsiaTheme="minorEastAsia"/>
        </w:rPr>
      </w:pPr>
    </w:p>
    <w:p w14:paraId="5A80E31E" w14:textId="465FA516" w:rsidR="003E5A20" w:rsidRPr="00364B71" w:rsidRDefault="003E5A20" w:rsidP="00A13AA6">
      <w:pPr>
        <w:spacing w:after="160" w:line="259" w:lineRule="auto"/>
        <w:jc w:val="left"/>
        <w:rPr>
          <w:rFonts w:eastAsiaTheme="minorEastAsia"/>
          <w:b/>
          <w:bCs/>
        </w:rPr>
      </w:pPr>
      <w:r w:rsidRPr="00364B71">
        <w:rPr>
          <w:rFonts w:eastAsiaTheme="minorEastAsia"/>
          <w:b/>
          <w:bCs/>
        </w:rPr>
        <w:t>Crystalli</w:t>
      </w:r>
      <w:r w:rsidR="002A2AD5" w:rsidRPr="00364B71">
        <w:rPr>
          <w:rFonts w:eastAsiaTheme="minorEastAsia"/>
          <w:b/>
          <w:bCs/>
        </w:rPr>
        <w:t>s</w:t>
      </w:r>
      <w:r w:rsidRPr="00364B71">
        <w:rPr>
          <w:rFonts w:eastAsiaTheme="minorEastAsia"/>
          <w:b/>
          <w:bCs/>
        </w:rPr>
        <w:t xml:space="preserve">ation of </w:t>
      </w:r>
      <w:r w:rsidR="00BF2743" w:rsidRPr="00364B71">
        <w:rPr>
          <w:rFonts w:eastAsiaTheme="minorEastAsia"/>
          <w:b/>
          <w:bCs/>
        </w:rPr>
        <w:t>[4[2+</w:t>
      </w:r>
      <w:proofErr w:type="gramStart"/>
      <w:r w:rsidR="00BF2743" w:rsidRPr="00364B71">
        <w:rPr>
          <w:rFonts w:eastAsiaTheme="minorEastAsia"/>
          <w:b/>
          <w:bCs/>
        </w:rPr>
        <w:t>3]+</w:t>
      </w:r>
      <w:proofErr w:type="gramEnd"/>
      <w:r w:rsidR="00BF2743" w:rsidRPr="00364B71">
        <w:rPr>
          <w:rFonts w:eastAsiaTheme="minorEastAsia"/>
          <w:b/>
          <w:bCs/>
        </w:rPr>
        <w:t>6]cage</w:t>
      </w:r>
    </w:p>
    <w:p w14:paraId="70572993" w14:textId="3E3AB024" w:rsidR="00B0674F" w:rsidRDefault="00BF2743" w:rsidP="00B0674F">
      <w:pPr>
        <w:rPr>
          <w:rFonts w:eastAsiaTheme="minorEastAsia"/>
        </w:rPr>
      </w:pPr>
      <w:r w:rsidRPr="00364B71">
        <w:rPr>
          <w:rFonts w:eastAsiaTheme="minorEastAsia"/>
          <w:b/>
          <w:bCs/>
        </w:rPr>
        <w:t>[4[2+</w:t>
      </w:r>
      <w:proofErr w:type="gramStart"/>
      <w:r w:rsidRPr="00364B71">
        <w:rPr>
          <w:rFonts w:eastAsiaTheme="minorEastAsia"/>
          <w:b/>
          <w:bCs/>
        </w:rPr>
        <w:t>3]+</w:t>
      </w:r>
      <w:proofErr w:type="gramEnd"/>
      <w:r w:rsidRPr="00364B71">
        <w:rPr>
          <w:rFonts w:eastAsiaTheme="minorEastAsia"/>
          <w:b/>
          <w:bCs/>
        </w:rPr>
        <w:t>6]c</w:t>
      </w:r>
      <w:r w:rsidR="00B0674F" w:rsidRPr="00364B71">
        <w:rPr>
          <w:rFonts w:eastAsiaTheme="minorEastAsia"/>
          <w:b/>
          <w:bCs/>
        </w:rPr>
        <w:t>age</w:t>
      </w:r>
      <w:r w:rsidR="00B0674F">
        <w:rPr>
          <w:rFonts w:eastAsiaTheme="minorEastAsia"/>
        </w:rPr>
        <w:t xml:space="preserve"> (4 mg) was dissolved in acetone (4 mL). The solution was filtered into a 14 mL vial through a 0.2 um syringe filter and layered by EtOH (1 mL). The vial was covered with a cap, which has a small hole on the top, and placed at room temperature, affording </w:t>
      </w:r>
      <w:r w:rsidR="00B0674F">
        <w:rPr>
          <w:rFonts w:eastAsiaTheme="minorEastAsia" w:hint="eastAsia"/>
        </w:rPr>
        <w:t>rh</w:t>
      </w:r>
      <w:r w:rsidR="00B0674F">
        <w:rPr>
          <w:rFonts w:eastAsiaTheme="minorEastAsia"/>
        </w:rPr>
        <w:t xml:space="preserve">ombic crystals suitable for single crystal X-ray diffraction analysis. </w:t>
      </w:r>
    </w:p>
    <w:p w14:paraId="656F3D7F" w14:textId="1B3446D1" w:rsidR="000E7559" w:rsidRDefault="000E7559">
      <w:pPr>
        <w:spacing w:after="160" w:line="259" w:lineRule="auto"/>
        <w:jc w:val="left"/>
        <w:rPr>
          <w:rFonts w:eastAsiaTheme="minorEastAsia"/>
        </w:rPr>
      </w:pPr>
      <w:r>
        <w:rPr>
          <w:rFonts w:eastAsiaTheme="minorEastAsia"/>
        </w:rPr>
        <w:br w:type="page"/>
      </w:r>
    </w:p>
    <w:p w14:paraId="1223B4D2" w14:textId="5CFCA65A" w:rsidR="00BE4DE0" w:rsidRPr="00EA1221" w:rsidRDefault="00BE4DE0" w:rsidP="00BE4DE0">
      <w:pPr>
        <w:pStyle w:val="Heading2"/>
      </w:pPr>
      <w:bookmarkStart w:id="10" w:name="_Toc147263833"/>
      <w:r w:rsidRPr="00EA1221">
        <w:lastRenderedPageBreak/>
        <w:t xml:space="preserve">Section </w:t>
      </w:r>
      <w:r w:rsidR="00BA69EC">
        <w:t>4</w:t>
      </w:r>
      <w:r w:rsidRPr="00EA1221">
        <w:t xml:space="preserve"> </w:t>
      </w:r>
      <w:r>
        <w:t>Gas sorption analysis</w:t>
      </w:r>
      <w:bookmarkEnd w:id="10"/>
    </w:p>
    <w:p w14:paraId="15D24028" w14:textId="2D8F0588" w:rsidR="00D84820" w:rsidRDefault="00AB6258" w:rsidP="00D84820">
      <w:pPr>
        <w:jc w:val="center"/>
        <w:rPr>
          <w:rFonts w:eastAsiaTheme="minorEastAsia"/>
          <w:noProof/>
        </w:rPr>
      </w:pPr>
      <w:r w:rsidRPr="00AB6258">
        <w:rPr>
          <w:rFonts w:eastAsiaTheme="minorEastAsia"/>
          <w:noProof/>
          <w:lang w:val="en-US"/>
        </w:rPr>
        <w:object w:dxaOrig="6561" w:dyaOrig="4589" w14:anchorId="1D2124BE">
          <v:shape id="_x0000_i1028" type="#_x0000_t75" alt="" style="width:380.25pt;height:265.5pt;mso-width-percent:0;mso-height-percent:0;mso-width-percent:0;mso-height-percent:0" o:ole="">
            <v:imagedata r:id="rId24" o:title=""/>
          </v:shape>
          <o:OLEObject Type="Embed" ProgID="Origin95.Graph" ShapeID="_x0000_i1028" DrawAspect="Content" ObjectID="_1759763702" r:id="rId25"/>
        </w:object>
      </w:r>
    </w:p>
    <w:p w14:paraId="78BF85B1" w14:textId="2AE57C73" w:rsidR="001619AA" w:rsidRDefault="00D84820" w:rsidP="001619AA">
      <w:pPr>
        <w:pStyle w:val="Title"/>
        <w:rPr>
          <w:rFonts w:eastAsiaTheme="minorEastAsia"/>
        </w:rPr>
      </w:pPr>
      <w:r>
        <w:rPr>
          <w:rFonts w:eastAsiaTheme="minorEastAsia"/>
        </w:rPr>
        <w:t>Figure S1</w:t>
      </w:r>
      <w:r w:rsidR="00AB7071">
        <w:rPr>
          <w:rFonts w:eastAsiaTheme="minorEastAsia"/>
        </w:rPr>
        <w:t>0</w:t>
      </w:r>
      <w:r>
        <w:rPr>
          <w:rFonts w:eastAsiaTheme="minorEastAsia"/>
        </w:rPr>
        <w:t>. t-Plot for BET surface area calculation.</w:t>
      </w:r>
      <w:r w:rsidR="001619AA">
        <w:rPr>
          <w:rFonts w:eastAsiaTheme="minorEastAsia"/>
        </w:rPr>
        <w:t xml:space="preserve"> The sample was activated by the solvent exchange with pentane ten times prior to evacuation and sorption analysis.</w:t>
      </w:r>
    </w:p>
    <w:p w14:paraId="49FC6377" w14:textId="49FFE34B" w:rsidR="00D84820" w:rsidRDefault="00D84820" w:rsidP="00D84820">
      <w:pPr>
        <w:pStyle w:val="Title"/>
        <w:rPr>
          <w:rFonts w:eastAsiaTheme="minorEastAsia"/>
        </w:rPr>
      </w:pPr>
    </w:p>
    <w:p w14:paraId="56EEFBEB" w14:textId="77777777" w:rsidR="00D84820" w:rsidRPr="00D84820" w:rsidRDefault="00D84820" w:rsidP="00364B71">
      <w:pPr>
        <w:jc w:val="center"/>
        <w:rPr>
          <w:rFonts w:eastAsiaTheme="minorEastAsia"/>
        </w:rPr>
      </w:pPr>
    </w:p>
    <w:p w14:paraId="232D6CCC" w14:textId="20B3840F" w:rsidR="00BE4DE0" w:rsidRDefault="00BE4DE0">
      <w:pPr>
        <w:spacing w:after="160" w:line="259" w:lineRule="auto"/>
        <w:jc w:val="left"/>
        <w:rPr>
          <w:rFonts w:eastAsiaTheme="minorEastAsia"/>
        </w:rPr>
      </w:pPr>
      <w:r>
        <w:rPr>
          <w:rFonts w:eastAsiaTheme="minorEastAsia"/>
        </w:rPr>
        <w:br w:type="page"/>
      </w:r>
    </w:p>
    <w:p w14:paraId="6BF146F5" w14:textId="5A113BFC" w:rsidR="007321E6" w:rsidRDefault="007321E6" w:rsidP="007321E6">
      <w:pPr>
        <w:pStyle w:val="Title"/>
      </w:pPr>
      <w:r w:rsidRPr="00EA1221">
        <w:rPr>
          <w:b/>
          <w:bCs w:val="0"/>
        </w:rPr>
        <w:lastRenderedPageBreak/>
        <w:t>Table S</w:t>
      </w:r>
      <w:r>
        <w:rPr>
          <w:b/>
          <w:bCs w:val="0"/>
        </w:rPr>
        <w:t>1</w:t>
      </w:r>
      <w:r w:rsidRPr="00EA1221">
        <w:rPr>
          <w:b/>
          <w:bCs w:val="0"/>
        </w:rPr>
        <w:t>.</w:t>
      </w:r>
      <w:r w:rsidRPr="00EA1221">
        <w:rPr>
          <w:bCs w:val="0"/>
        </w:rPr>
        <w:t xml:space="preserve"> </w:t>
      </w:r>
      <w:r>
        <w:t>Summary of CO</w:t>
      </w:r>
      <w:r w:rsidRPr="00364B71">
        <w:rPr>
          <w:vertAlign w:val="subscript"/>
        </w:rPr>
        <w:t>2</w:t>
      </w:r>
      <w:r>
        <w:t xml:space="preserve"> uptake</w:t>
      </w:r>
      <w:r w:rsidR="00364B71">
        <w:t>s</w:t>
      </w:r>
      <w:r>
        <w:t xml:space="preserve"> </w:t>
      </w:r>
      <w:r w:rsidR="00364B71">
        <w:t>in various</w:t>
      </w:r>
      <w:r>
        <w:t xml:space="preserve"> porous organic cages</w:t>
      </w:r>
      <w:r w:rsidRPr="00EA1221">
        <w:t>.</w:t>
      </w:r>
    </w:p>
    <w:p w14:paraId="476EF29B" w14:textId="77777777" w:rsidR="00511230" w:rsidRPr="00511230" w:rsidRDefault="00511230" w:rsidP="00511230"/>
    <w:tbl>
      <w:tblPr>
        <w:tblStyle w:val="TableGrid"/>
        <w:tblW w:w="0" w:type="auto"/>
        <w:tblLook w:val="04A0" w:firstRow="1" w:lastRow="0" w:firstColumn="1" w:lastColumn="0" w:noHBand="0" w:noVBand="1"/>
      </w:tblPr>
      <w:tblGrid>
        <w:gridCol w:w="750"/>
        <w:gridCol w:w="1939"/>
        <w:gridCol w:w="1275"/>
        <w:gridCol w:w="1560"/>
        <w:gridCol w:w="1490"/>
        <w:gridCol w:w="1282"/>
      </w:tblGrid>
      <w:tr w:rsidR="007321E6" w:rsidRPr="007321E6" w14:paraId="59932242" w14:textId="77777777" w:rsidTr="00364B71">
        <w:tc>
          <w:tcPr>
            <w:tcW w:w="750" w:type="dxa"/>
          </w:tcPr>
          <w:p w14:paraId="52B42C3E" w14:textId="77777777" w:rsidR="007321E6" w:rsidRPr="00364B71" w:rsidRDefault="007321E6" w:rsidP="00E82ADE">
            <w:pPr>
              <w:rPr>
                <w:rFonts w:cs="Times New Roman"/>
                <w:b/>
                <w:bCs/>
                <w:sz w:val="20"/>
                <w:szCs w:val="20"/>
              </w:rPr>
            </w:pPr>
            <w:r w:rsidRPr="00364B71">
              <w:rPr>
                <w:rFonts w:cs="Times New Roman"/>
                <w:b/>
                <w:bCs/>
                <w:sz w:val="20"/>
                <w:szCs w:val="20"/>
              </w:rPr>
              <w:t>Entry</w:t>
            </w:r>
          </w:p>
        </w:tc>
        <w:tc>
          <w:tcPr>
            <w:tcW w:w="1939" w:type="dxa"/>
          </w:tcPr>
          <w:p w14:paraId="6512284E" w14:textId="77777777" w:rsidR="007321E6" w:rsidRPr="00364B71" w:rsidRDefault="007321E6" w:rsidP="00E82ADE">
            <w:pPr>
              <w:rPr>
                <w:rFonts w:cs="Times New Roman"/>
                <w:b/>
                <w:bCs/>
                <w:sz w:val="20"/>
                <w:szCs w:val="20"/>
              </w:rPr>
            </w:pPr>
            <w:r w:rsidRPr="00364B71">
              <w:rPr>
                <w:rFonts w:cs="Times New Roman"/>
                <w:b/>
                <w:bCs/>
                <w:sz w:val="20"/>
                <w:szCs w:val="20"/>
              </w:rPr>
              <w:t>POCs</w:t>
            </w:r>
          </w:p>
        </w:tc>
        <w:tc>
          <w:tcPr>
            <w:tcW w:w="1275" w:type="dxa"/>
          </w:tcPr>
          <w:p w14:paraId="04A113C1" w14:textId="650F6929" w:rsidR="007321E6" w:rsidRPr="00364B71" w:rsidRDefault="007321E6" w:rsidP="00E82ADE">
            <w:pPr>
              <w:rPr>
                <w:rFonts w:cs="Times New Roman"/>
                <w:b/>
                <w:bCs/>
                <w:sz w:val="20"/>
                <w:szCs w:val="20"/>
              </w:rPr>
            </w:pPr>
            <w:r w:rsidRPr="00364B71">
              <w:rPr>
                <w:rFonts w:cs="Times New Roman"/>
                <w:b/>
                <w:bCs/>
                <w:sz w:val="20"/>
                <w:szCs w:val="20"/>
              </w:rPr>
              <w:t>linkage</w:t>
            </w:r>
          </w:p>
        </w:tc>
        <w:tc>
          <w:tcPr>
            <w:tcW w:w="1560" w:type="dxa"/>
          </w:tcPr>
          <w:p w14:paraId="327F774E" w14:textId="77777777" w:rsidR="007321E6" w:rsidRPr="00364B71" w:rsidRDefault="007321E6" w:rsidP="00E82ADE">
            <w:pPr>
              <w:rPr>
                <w:rFonts w:cs="Times New Roman"/>
                <w:b/>
                <w:bCs/>
                <w:sz w:val="20"/>
                <w:szCs w:val="20"/>
              </w:rPr>
            </w:pPr>
            <w:r w:rsidRPr="00364B71">
              <w:rPr>
                <w:rFonts w:cs="Times New Roman"/>
                <w:b/>
                <w:bCs/>
                <w:i/>
                <w:sz w:val="20"/>
                <w:szCs w:val="20"/>
              </w:rPr>
              <w:t>SA</w:t>
            </w:r>
            <w:r w:rsidRPr="00364B71">
              <w:rPr>
                <w:rFonts w:cs="Times New Roman"/>
                <w:b/>
                <w:bCs/>
                <w:i/>
                <w:sz w:val="20"/>
                <w:szCs w:val="20"/>
                <w:vertAlign w:val="subscript"/>
              </w:rPr>
              <w:t>BET</w:t>
            </w:r>
            <w:r w:rsidRPr="00364B71">
              <w:rPr>
                <w:rFonts w:cs="Times New Roman"/>
                <w:b/>
                <w:bCs/>
                <w:sz w:val="20"/>
                <w:szCs w:val="20"/>
              </w:rPr>
              <w:t xml:space="preserve"> (m</w:t>
            </w:r>
            <w:r w:rsidRPr="00364B71">
              <w:rPr>
                <w:rFonts w:cs="Times New Roman"/>
                <w:b/>
                <w:bCs/>
                <w:sz w:val="20"/>
                <w:szCs w:val="20"/>
                <w:vertAlign w:val="superscript"/>
              </w:rPr>
              <w:t>2</w:t>
            </w:r>
            <w:r w:rsidRPr="00364B71">
              <w:rPr>
                <w:rFonts w:cs="Times New Roman"/>
                <w:b/>
                <w:bCs/>
                <w:sz w:val="20"/>
                <w:szCs w:val="20"/>
              </w:rPr>
              <w:t xml:space="preserve"> g</w:t>
            </w:r>
            <w:r w:rsidRPr="00364B71">
              <w:rPr>
                <w:rFonts w:cs="Times New Roman"/>
                <w:b/>
                <w:bCs/>
                <w:sz w:val="20"/>
                <w:szCs w:val="20"/>
                <w:vertAlign w:val="superscript"/>
              </w:rPr>
              <w:t>-1</w:t>
            </w:r>
            <w:r w:rsidRPr="00364B71">
              <w:rPr>
                <w:rFonts w:cs="Times New Roman"/>
                <w:b/>
                <w:bCs/>
                <w:sz w:val="20"/>
                <w:szCs w:val="20"/>
              </w:rPr>
              <w:t>)</w:t>
            </w:r>
          </w:p>
        </w:tc>
        <w:tc>
          <w:tcPr>
            <w:tcW w:w="1490" w:type="dxa"/>
          </w:tcPr>
          <w:p w14:paraId="5F10BAE9" w14:textId="71A0466F" w:rsidR="007321E6" w:rsidRPr="00364B71" w:rsidRDefault="007321E6" w:rsidP="00E82ADE">
            <w:pPr>
              <w:rPr>
                <w:rFonts w:cs="Times New Roman"/>
                <w:b/>
                <w:bCs/>
                <w:sz w:val="20"/>
                <w:szCs w:val="20"/>
              </w:rPr>
            </w:pPr>
            <w:r w:rsidRPr="00364B71">
              <w:rPr>
                <w:rFonts w:cs="Times New Roman"/>
                <w:b/>
                <w:bCs/>
                <w:sz w:val="20"/>
                <w:szCs w:val="20"/>
              </w:rPr>
              <w:t>CO</w:t>
            </w:r>
            <w:r w:rsidRPr="00364B71">
              <w:rPr>
                <w:rFonts w:cs="Times New Roman"/>
                <w:b/>
                <w:bCs/>
                <w:sz w:val="20"/>
                <w:szCs w:val="20"/>
                <w:vertAlign w:val="subscript"/>
              </w:rPr>
              <w:t>2</w:t>
            </w:r>
            <w:r w:rsidRPr="00364B71">
              <w:rPr>
                <w:rFonts w:cs="Times New Roman"/>
                <w:b/>
                <w:bCs/>
                <w:sz w:val="20"/>
                <w:szCs w:val="20"/>
              </w:rPr>
              <w:t xml:space="preserve"> uptake (mmol g</w:t>
            </w:r>
            <w:r w:rsidRPr="00364B71">
              <w:rPr>
                <w:rFonts w:cs="Times New Roman"/>
                <w:b/>
                <w:bCs/>
                <w:sz w:val="20"/>
                <w:szCs w:val="20"/>
                <w:vertAlign w:val="superscript"/>
              </w:rPr>
              <w:t>-</w:t>
            </w:r>
            <w:proofErr w:type="gramStart"/>
            <w:r w:rsidRPr="00364B71">
              <w:rPr>
                <w:rFonts w:cs="Times New Roman"/>
                <w:b/>
                <w:bCs/>
                <w:sz w:val="20"/>
                <w:szCs w:val="20"/>
                <w:vertAlign w:val="superscript"/>
              </w:rPr>
              <w:t>1</w:t>
            </w:r>
            <w:r w:rsidRPr="00364B71">
              <w:rPr>
                <w:rFonts w:cs="Times New Roman"/>
                <w:b/>
                <w:bCs/>
                <w:sz w:val="20"/>
                <w:szCs w:val="20"/>
              </w:rPr>
              <w:t>)</w:t>
            </w:r>
            <w:r w:rsidRPr="00364B71">
              <w:rPr>
                <w:rFonts w:cs="Times New Roman"/>
                <w:b/>
                <w:bCs/>
                <w:sz w:val="20"/>
                <w:szCs w:val="20"/>
                <w:vertAlign w:val="superscript"/>
              </w:rPr>
              <w:t>a</w:t>
            </w:r>
            <w:proofErr w:type="gramEnd"/>
          </w:p>
        </w:tc>
        <w:tc>
          <w:tcPr>
            <w:tcW w:w="1282" w:type="dxa"/>
          </w:tcPr>
          <w:p w14:paraId="1FDF52BD" w14:textId="77777777" w:rsidR="007321E6" w:rsidRPr="00364B71" w:rsidRDefault="007321E6" w:rsidP="00E82ADE">
            <w:pPr>
              <w:rPr>
                <w:rFonts w:cs="Times New Roman"/>
                <w:b/>
                <w:bCs/>
                <w:sz w:val="20"/>
                <w:szCs w:val="20"/>
              </w:rPr>
            </w:pPr>
            <w:r w:rsidRPr="00364B71">
              <w:rPr>
                <w:rFonts w:cs="Times New Roman"/>
                <w:b/>
                <w:bCs/>
                <w:sz w:val="20"/>
                <w:szCs w:val="20"/>
              </w:rPr>
              <w:t>References</w:t>
            </w:r>
          </w:p>
        </w:tc>
      </w:tr>
      <w:tr w:rsidR="007321E6" w:rsidRPr="007321E6" w14:paraId="19D34C24" w14:textId="77777777" w:rsidTr="00364B71">
        <w:tc>
          <w:tcPr>
            <w:tcW w:w="750" w:type="dxa"/>
          </w:tcPr>
          <w:p w14:paraId="27CC51B4" w14:textId="77777777" w:rsidR="007321E6" w:rsidRPr="00364B71" w:rsidRDefault="007321E6" w:rsidP="00E82ADE">
            <w:pPr>
              <w:rPr>
                <w:rFonts w:cs="Times New Roman"/>
                <w:sz w:val="20"/>
                <w:szCs w:val="20"/>
              </w:rPr>
            </w:pPr>
            <w:r w:rsidRPr="00364B71">
              <w:rPr>
                <w:rFonts w:cs="Times New Roman"/>
                <w:sz w:val="20"/>
                <w:szCs w:val="20"/>
              </w:rPr>
              <w:t>1</w:t>
            </w:r>
          </w:p>
        </w:tc>
        <w:tc>
          <w:tcPr>
            <w:tcW w:w="1939" w:type="dxa"/>
          </w:tcPr>
          <w:p w14:paraId="646721E2" w14:textId="77777777" w:rsidR="007321E6" w:rsidRPr="00364B71" w:rsidRDefault="007321E6" w:rsidP="00E82ADE">
            <w:pPr>
              <w:rPr>
                <w:rFonts w:cs="Times New Roman"/>
                <w:sz w:val="20"/>
                <w:szCs w:val="20"/>
              </w:rPr>
            </w:pPr>
            <w:r w:rsidRPr="00364B71">
              <w:rPr>
                <w:rFonts w:cs="Times New Roman"/>
                <w:sz w:val="20"/>
                <w:szCs w:val="20"/>
              </w:rPr>
              <w:t>cage 2</w:t>
            </w:r>
          </w:p>
        </w:tc>
        <w:tc>
          <w:tcPr>
            <w:tcW w:w="1275" w:type="dxa"/>
          </w:tcPr>
          <w:p w14:paraId="638BBD7B" w14:textId="77777777" w:rsidR="007321E6" w:rsidRPr="00364B71" w:rsidRDefault="007321E6" w:rsidP="00E82ADE">
            <w:pPr>
              <w:rPr>
                <w:rFonts w:cs="Times New Roman"/>
                <w:sz w:val="20"/>
                <w:szCs w:val="20"/>
              </w:rPr>
            </w:pPr>
            <w:r w:rsidRPr="00364B71">
              <w:rPr>
                <w:rFonts w:cs="Times New Roman"/>
                <w:sz w:val="20"/>
                <w:szCs w:val="20"/>
              </w:rPr>
              <w:t>imine to quinoline</w:t>
            </w:r>
          </w:p>
        </w:tc>
        <w:tc>
          <w:tcPr>
            <w:tcW w:w="1560" w:type="dxa"/>
          </w:tcPr>
          <w:p w14:paraId="02F1047C" w14:textId="77777777" w:rsidR="007321E6" w:rsidRPr="00364B71" w:rsidRDefault="007321E6" w:rsidP="00E82ADE">
            <w:pPr>
              <w:rPr>
                <w:rFonts w:cs="Times New Roman"/>
                <w:sz w:val="20"/>
                <w:szCs w:val="20"/>
              </w:rPr>
            </w:pPr>
            <w:r w:rsidRPr="00364B71">
              <w:rPr>
                <w:rFonts w:cs="Times New Roman"/>
                <w:sz w:val="20"/>
                <w:szCs w:val="20"/>
              </w:rPr>
              <w:t>698</w:t>
            </w:r>
          </w:p>
        </w:tc>
        <w:tc>
          <w:tcPr>
            <w:tcW w:w="1490" w:type="dxa"/>
          </w:tcPr>
          <w:p w14:paraId="7345B2A1" w14:textId="77777777" w:rsidR="007321E6" w:rsidRPr="00364B71" w:rsidRDefault="007321E6" w:rsidP="00E82ADE">
            <w:pPr>
              <w:rPr>
                <w:rFonts w:cs="Times New Roman"/>
                <w:sz w:val="20"/>
                <w:szCs w:val="20"/>
              </w:rPr>
            </w:pPr>
            <w:r w:rsidRPr="00364B71">
              <w:rPr>
                <w:rFonts w:cs="Times New Roman"/>
                <w:sz w:val="20"/>
                <w:szCs w:val="20"/>
              </w:rPr>
              <w:t>1.15</w:t>
            </w:r>
          </w:p>
        </w:tc>
        <w:tc>
          <w:tcPr>
            <w:tcW w:w="1282" w:type="dxa"/>
          </w:tcPr>
          <w:p w14:paraId="53E2C36D" w14:textId="18715D27"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{"citationItems":[{"id":"ITEM-1","itemData":{"DOI":"10.1002/anie.202007048","ISSN":"15213773","PMID":"32521080","abstract":"Porous shape-persistent organic cages have become the object of interest in recent years because they are soluble and thus processable from solution. A variety of cages can be achieved by applying dynamic covalent chemistry (DCC), but they are less chemically stable. Here the transformation of a salicylimine cage into a quinoline cage by a twelve-fold Povarov reaction as the key step is described. Besides the chemical stability of the cage over a broad pH regime, it shows a unique absorption and emission depending on acid concentration. Furthermore, thin films for the vapor detection of acids were investigated, showing color switches from pale-yellow to red, and characteristic emission profiles.","author":[{"dropping-particle":"","family":"Alexandre","given":"Pierre Emmanuel","non-dropping-particle":"","parse-names":false,"suffix":""},{"dropping-particle":"","family":"Zhang","given":"Wen Shan","non-dropping-particle":"","parse-names":false,"suffix":""},{"dropping-particle":"","family":"Rominger","given":"Frank","non-dropping-particle":"","parse-names":false,"suffix":""},{"dropping-particle":"","family":"Elbert","given":"Sven M.","non-dropping-particle":"","parse-names":false,"suffix":""},{"dropping-particle":"","family":"Schröder","given":"Rasmus R.","non-dropping-particle":"","parse-names":false,"suffix":""},{"dropping-particle":"","family":"Mastalerz","given":"Michael","non-dropping-particle":"","parse-names":false,"suffix":""}],"container-title":"Angewandte Chemie - International Edition","edition":"2020/06/11","id":"ITEM-1","issue":"44","issued":{"date-parts":[["2020"]]},"note":"Alexandre, Pierre-Emmanuel\rZhang, Wen-Shan\rRominger, Frank\rElbert, Sven M\rSchroder, Rasmus R\rMastalerz, Michael\reng\r725765/H2020 European Research Council\rGermany\rAngew Chem Int Ed Engl. 2020 Oct 26;59(44):19675-19679. doi: 10.1002/anie.202007048. Epub 2020 Aug 7.","page":"19675-19679","title":"A Robust Porous Quinoline Cage: Transformation of a [4+6] Salicylimine Cage by Povarov Cyclization","type":"article-journal","volume":"59"},"uris":["http://www.mendeley.com/documents/?uuid=9880aa3f-a037-3f09-94bd-b708dba0977d"]}],"mendeley":{"formattedCitation":"&lt;sup&gt;15&lt;/sup&gt;","plainTextFormattedCitation":"15","previouslyFormattedCitation":"&lt;sup&gt;15&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15</w:t>
            </w:r>
            <w:r w:rsidRPr="00364B71">
              <w:rPr>
                <w:rFonts w:cs="Times New Roman"/>
                <w:sz w:val="20"/>
                <w:szCs w:val="20"/>
              </w:rPr>
              <w:fldChar w:fldCharType="end"/>
            </w:r>
          </w:p>
        </w:tc>
      </w:tr>
      <w:tr w:rsidR="007321E6" w:rsidRPr="007321E6" w14:paraId="5A3BDD6B" w14:textId="77777777" w:rsidTr="00364B71">
        <w:tc>
          <w:tcPr>
            <w:tcW w:w="750" w:type="dxa"/>
          </w:tcPr>
          <w:p w14:paraId="0C6097A0" w14:textId="77777777" w:rsidR="007321E6" w:rsidRPr="00364B71" w:rsidRDefault="007321E6" w:rsidP="00E82ADE">
            <w:pPr>
              <w:rPr>
                <w:rFonts w:cs="Times New Roman"/>
                <w:sz w:val="20"/>
                <w:szCs w:val="20"/>
              </w:rPr>
            </w:pPr>
            <w:r w:rsidRPr="00364B71">
              <w:rPr>
                <w:rFonts w:cs="Times New Roman"/>
                <w:sz w:val="20"/>
                <w:szCs w:val="20"/>
              </w:rPr>
              <w:t>2</w:t>
            </w:r>
          </w:p>
        </w:tc>
        <w:tc>
          <w:tcPr>
            <w:tcW w:w="1939" w:type="dxa"/>
          </w:tcPr>
          <w:p w14:paraId="70A57BB6" w14:textId="77777777" w:rsidR="007321E6" w:rsidRPr="00364B71" w:rsidRDefault="007321E6" w:rsidP="00E82ADE">
            <w:pPr>
              <w:rPr>
                <w:rFonts w:cs="Times New Roman"/>
                <w:sz w:val="20"/>
                <w:szCs w:val="20"/>
              </w:rPr>
            </w:pPr>
            <w:r w:rsidRPr="00364B71">
              <w:rPr>
                <w:rFonts w:cs="Times New Roman"/>
                <w:sz w:val="20"/>
                <w:szCs w:val="20"/>
              </w:rPr>
              <w:t>CC15α</w:t>
            </w:r>
          </w:p>
        </w:tc>
        <w:tc>
          <w:tcPr>
            <w:tcW w:w="1275" w:type="dxa"/>
          </w:tcPr>
          <w:p w14:paraId="1787E3DD"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533D5ABE" w14:textId="77777777" w:rsidR="007321E6" w:rsidRPr="00364B71" w:rsidRDefault="007321E6" w:rsidP="00E82ADE">
            <w:pPr>
              <w:rPr>
                <w:rFonts w:cs="Times New Roman"/>
                <w:sz w:val="20"/>
                <w:szCs w:val="20"/>
              </w:rPr>
            </w:pPr>
            <w:r w:rsidRPr="00364B71">
              <w:rPr>
                <w:rFonts w:cs="Times New Roman"/>
                <w:sz w:val="20"/>
                <w:szCs w:val="20"/>
              </w:rPr>
              <w:t>2.7</w:t>
            </w:r>
          </w:p>
        </w:tc>
        <w:tc>
          <w:tcPr>
            <w:tcW w:w="1490" w:type="dxa"/>
          </w:tcPr>
          <w:p w14:paraId="73CF1378" w14:textId="77777777" w:rsidR="007321E6" w:rsidRPr="00364B71" w:rsidRDefault="007321E6" w:rsidP="00E82ADE">
            <w:pPr>
              <w:rPr>
                <w:rFonts w:cs="Times New Roman"/>
                <w:sz w:val="20"/>
                <w:szCs w:val="20"/>
              </w:rPr>
            </w:pPr>
            <w:r w:rsidRPr="00364B71">
              <w:rPr>
                <w:rFonts w:cs="Times New Roman"/>
                <w:sz w:val="20"/>
                <w:szCs w:val="20"/>
              </w:rPr>
              <w:t>1.30</w:t>
            </w:r>
          </w:p>
        </w:tc>
        <w:tc>
          <w:tcPr>
            <w:tcW w:w="1282" w:type="dxa"/>
          </w:tcPr>
          <w:p w14:paraId="6A2AEABC" w14:textId="3AF50DCB"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{"citationItems":[{"id":"ITEM-1","itemData":{"DOI":"10.1021/acscentsci.7b00145","ISSN":"23747951","abstract":"The physical properties of 3-D porous solids are defined by their molecular geometry. Hence, precise control of pore size, pore shape, and pore connectivity are needed to tailor them for specific applications. However, for porous molecular crystals, the modification of pore size by adding pore-blocking groups can also affect crystal packing in an unpredictable way. This precludes strategies adopted for isoreticular metal-organic frameworks, where addition of a small group, such as a methyl group, does not affect the basic framework topology. Here, we narrow the pore size of a cage molecule, CC3, in a systematic way by introducing methyl groups into the cage windows. Computational crystal structure prediction was used to anticipate the packing preferences of two homochiral methylated cages, CC14-R and CC15-R, and to assess the structure-energy landscape of a CC15-R/CC3-S cocrystal, designed such that both component cages could be directed to pack with a 3-D, interconnected pore structure. The experimental gas sorption properties of these three cage systems agree well with physical properties predicted by computational energy-structure-function maps.","author":[{"dropping-particle":"","family":"Slater","given":"Anna G.","non-dropping-particle":"","parse-names":false,"suffix":""},{"dropping-particle":"","family":"Reiss","given":"Paul S.","non-dropping-particle":"","parse-names":false,"suffix":""},{"dropping-particle":"","family":"Pulido","given":"Angeles","non-dropping-particle":"","parse-names":false,"suffix":""},{"dropping-particle":"","family":"Little","given":"Marc A.","non-dropping-particle":"","parse-names":false,"suffix":""},{"dropping-particle":"","family":"Holden","given":"Daniel L.","non-dropping-particle":"","parse-names":false,"suffix":""},{"dropping-particle":"","family":"Chen","given":"Linjiang","non-dropping-particle":"","parse-names":false,"suffix":""},{"dropping-particle":"","family":"Chong","given":"Samantha Y.","non-dropping-particle":"","parse-names":false,"suffix":""},{"dropping-particle":"","family":"Alston","given":"Ben M.","non-dropping-particle":"","parse-names":false,"suffix":""},{"dropping-particle":"","family":"Clowes","given":"Rob","non-dropping-particle":"","parse-names":false,"suffix":""},{"dropping-particle":"","family":"Haranczyk","given":"Maciej","non-dropping-particle":"","parse-names":false,"suffix":""},{"dropping-particle":"","family":"Briggs","given":"Michael E.","non-dropping-particle":"","parse-names":false,"suffix":""},{"dropping-particle":"","family":"Hasell","given":"Tom","non-dropping-particle":"","parse-names":false,"suffix":""},{"dropping-particle":"","family":"Day","given":"Graeme M.","non-dropping-particle":"","parse-names":false,"suffix":""},{"dropping-particle":"","family":"Cooper","given":"Andrew I.","non-dropping-particle":"","parse-names":false,"suffix":""}],"container-title":"ACS Central Science","id":"ITEM-1","issue":"7","issued":{"date-parts":[["2017"]]},"page":"734-742","title":"Computationally-Guided Synthetic Control over Pore Size in Isostructural Porous Organic Cages","type":"article-journal","volume":"3"},"uris":["http://www.mendeley.com/documents/?uuid=8d5d143b-f541-3597-ab66-50ae2ff5f206","http://www.mendeley.com/documents/?uuid=17c77e42-553a-4fce-8ace-e0e43fa8571c"]}],"mendeley":{"formattedCitation":"&lt;sup&gt;16&lt;/sup&gt;","plainTextFormattedCitation":"16","previouslyFormattedCitation":"&lt;sup&gt;16&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16</w:t>
            </w:r>
            <w:r w:rsidRPr="00364B71">
              <w:rPr>
                <w:rFonts w:cs="Times New Roman"/>
                <w:sz w:val="20"/>
                <w:szCs w:val="20"/>
              </w:rPr>
              <w:fldChar w:fldCharType="end"/>
            </w:r>
          </w:p>
        </w:tc>
      </w:tr>
      <w:tr w:rsidR="007321E6" w:rsidRPr="007321E6" w14:paraId="22F333D1" w14:textId="77777777" w:rsidTr="00364B71">
        <w:tc>
          <w:tcPr>
            <w:tcW w:w="750" w:type="dxa"/>
          </w:tcPr>
          <w:p w14:paraId="364FF354" w14:textId="77777777" w:rsidR="007321E6" w:rsidRPr="00364B71" w:rsidRDefault="007321E6" w:rsidP="00E82ADE">
            <w:pPr>
              <w:rPr>
                <w:rFonts w:cs="Times New Roman"/>
                <w:sz w:val="20"/>
                <w:szCs w:val="20"/>
              </w:rPr>
            </w:pPr>
            <w:r w:rsidRPr="00364B71">
              <w:rPr>
                <w:rFonts w:cs="Times New Roman"/>
                <w:sz w:val="20"/>
                <w:szCs w:val="20"/>
              </w:rPr>
              <w:t>3</w:t>
            </w:r>
          </w:p>
        </w:tc>
        <w:tc>
          <w:tcPr>
            <w:tcW w:w="1939" w:type="dxa"/>
          </w:tcPr>
          <w:p w14:paraId="3436A8F8" w14:textId="77777777" w:rsidR="007321E6" w:rsidRPr="00364B71" w:rsidRDefault="007321E6" w:rsidP="00E82ADE">
            <w:pPr>
              <w:rPr>
                <w:rFonts w:cs="Times New Roman"/>
                <w:sz w:val="20"/>
                <w:szCs w:val="20"/>
              </w:rPr>
            </w:pPr>
            <w:r w:rsidRPr="00364B71">
              <w:rPr>
                <w:rFonts w:cs="Times New Roman"/>
                <w:sz w:val="20"/>
                <w:szCs w:val="20"/>
              </w:rPr>
              <w:t>Fe-PB</w:t>
            </w:r>
          </w:p>
        </w:tc>
        <w:tc>
          <w:tcPr>
            <w:tcW w:w="1275" w:type="dxa"/>
          </w:tcPr>
          <w:p w14:paraId="2FFD0890"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193E4752" w14:textId="3D55CE34" w:rsidR="007321E6" w:rsidRPr="00364B71" w:rsidRDefault="007321E6" w:rsidP="00E82ADE">
            <w:pPr>
              <w:rPr>
                <w:rFonts w:cs="Times New Roman"/>
                <w:sz w:val="20"/>
                <w:szCs w:val="20"/>
              </w:rPr>
            </w:pPr>
            <w:r w:rsidRPr="00364B71">
              <w:rPr>
                <w:rFonts w:cs="Times New Roman"/>
                <w:sz w:val="20"/>
                <w:szCs w:val="20"/>
              </w:rPr>
              <w:t>409</w:t>
            </w:r>
            <w:r w:rsidRPr="00364B71">
              <w:rPr>
                <w:rFonts w:cs="Times New Roman"/>
                <w:sz w:val="20"/>
                <w:szCs w:val="20"/>
                <w:vertAlign w:val="superscript"/>
              </w:rPr>
              <w:t>b</w:t>
            </w:r>
          </w:p>
        </w:tc>
        <w:tc>
          <w:tcPr>
            <w:tcW w:w="1490" w:type="dxa"/>
          </w:tcPr>
          <w:p w14:paraId="0542C173" w14:textId="77777777" w:rsidR="007321E6" w:rsidRPr="00364B71" w:rsidRDefault="007321E6" w:rsidP="00E82ADE">
            <w:pPr>
              <w:rPr>
                <w:rFonts w:cs="Times New Roman"/>
                <w:sz w:val="20"/>
                <w:szCs w:val="20"/>
              </w:rPr>
            </w:pPr>
            <w:r w:rsidRPr="00364B71">
              <w:rPr>
                <w:rFonts w:cs="Times New Roman"/>
                <w:sz w:val="20"/>
                <w:szCs w:val="20"/>
              </w:rPr>
              <w:t>1.33</w:t>
            </w:r>
          </w:p>
        </w:tc>
        <w:tc>
          <w:tcPr>
            <w:tcW w:w="1282" w:type="dxa"/>
          </w:tcPr>
          <w:p w14:paraId="6D041624" w14:textId="03BDDE32"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{"citationItems":[{"id":"ITEM-1","itemData":{"DOI":"10.1002/anie.201803873","ISSN":"15213773","PMID":"29920897","abstract":"A porous organic cage composed of six iron tetraphenylporphyrins was used as a supramolecular catalyst for electrochemical CO2-to-CO conversion. This strategy enhances active site exposure and substrate diffusion relative to the monomeric catalyst, resulting in CO generation with near-quantitative Faradaic efficiency in pH 7.3 water, with activities reaching 55 250 turnovers. These results provide a starting point for the design of supramolecular catalysts that can exploit the properties of the surrounding matrix yet retain the tunability of the original molecular unit.","author":[{"dropping-particle":"","family":"Smith","given":"Peter T.","non-dropping-particle":"","parse-names":false,"suffix":""},{"dropping-particle":"","family":"Benke","given":"Bahiru Punja","non-dropping-particle":"","parse-names":false,"suffix":""},{"dropping-particle":"","family":"Cao","given":"Zhi","non-dropping-particle":"","parse-names":false,"suffix":""},{"dropping-particle":"","family":"Kim","given":"Younghoon","non-dropping-particle":"","parse-names":false,"suffix":""},{"dropping-particle":"","family":"Nichols","given":"Eva M.","non-dropping-particle":"","parse-names":false,"suffix":""},{"dropping-particle":"","family":"Kim","given":"Kimoon","non-dropping-particle":"","parse-names":false,"suffix":""},{"dropping-particle":"","family":"Chang","given":"Christopher J.","non-dropping-particle":"","parse-names":false,"suffix":""}],"container-title":"Angewandte Chemie - International Edition","id":"ITEM-1","issue":"31","issued":{"date-parts":[["2018"]]},"page":"9684-9688","title":"Iron Porphyrins Embedded into a Supramolecular Porous Organic Cage for Electrochemical CO2 Reduction in Water","type":"article-journal","volume":"57"},"uris":["http://www.mendeley.com/documents/?uuid=675a0f07-d009-30a8-bb4a-4ceae8e25005","http://www.mendeley.com/documents/?uuid=24378af2-1841-4922-b72b-964f70192130"]}],"mendeley":{"formattedCitation":"&lt;sup&gt;17&lt;/sup&gt;","plainTextFormattedCitation":"17","previouslyFormattedCitation":"&lt;sup&gt;17&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17</w:t>
            </w:r>
            <w:r w:rsidRPr="00364B71">
              <w:rPr>
                <w:rFonts w:cs="Times New Roman"/>
                <w:sz w:val="20"/>
                <w:szCs w:val="20"/>
              </w:rPr>
              <w:fldChar w:fldCharType="end"/>
            </w:r>
          </w:p>
        </w:tc>
      </w:tr>
      <w:tr w:rsidR="007321E6" w:rsidRPr="007321E6" w14:paraId="0270F56A" w14:textId="77777777" w:rsidTr="00364B71">
        <w:tc>
          <w:tcPr>
            <w:tcW w:w="750" w:type="dxa"/>
          </w:tcPr>
          <w:p w14:paraId="30DBC2A1" w14:textId="77777777" w:rsidR="007321E6" w:rsidRPr="00364B71" w:rsidRDefault="007321E6" w:rsidP="00E82ADE">
            <w:pPr>
              <w:rPr>
                <w:rFonts w:cs="Times New Roman"/>
                <w:sz w:val="20"/>
                <w:szCs w:val="20"/>
              </w:rPr>
            </w:pPr>
            <w:r w:rsidRPr="00364B71">
              <w:rPr>
                <w:rFonts w:cs="Times New Roman"/>
                <w:sz w:val="20"/>
                <w:szCs w:val="20"/>
              </w:rPr>
              <w:t>4</w:t>
            </w:r>
          </w:p>
        </w:tc>
        <w:tc>
          <w:tcPr>
            <w:tcW w:w="1939" w:type="dxa"/>
          </w:tcPr>
          <w:p w14:paraId="79C65B5F" w14:textId="77777777" w:rsidR="007321E6" w:rsidRPr="00364B71" w:rsidRDefault="007321E6" w:rsidP="00E82ADE">
            <w:pPr>
              <w:rPr>
                <w:rFonts w:cs="Times New Roman"/>
                <w:sz w:val="20"/>
                <w:szCs w:val="20"/>
              </w:rPr>
            </w:pPr>
            <w:r w:rsidRPr="00364B71">
              <w:rPr>
                <w:rFonts w:cs="Times New Roman"/>
                <w:sz w:val="20"/>
                <w:szCs w:val="20"/>
              </w:rPr>
              <w:t>CC14α</w:t>
            </w:r>
          </w:p>
        </w:tc>
        <w:tc>
          <w:tcPr>
            <w:tcW w:w="1275" w:type="dxa"/>
          </w:tcPr>
          <w:p w14:paraId="49AC5741"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739C294F" w14:textId="77777777" w:rsidR="007321E6" w:rsidRPr="00364B71" w:rsidRDefault="007321E6" w:rsidP="00E82ADE">
            <w:pPr>
              <w:rPr>
                <w:rFonts w:cs="Times New Roman"/>
                <w:sz w:val="20"/>
                <w:szCs w:val="20"/>
              </w:rPr>
            </w:pPr>
            <w:r w:rsidRPr="00364B71">
              <w:rPr>
                <w:rFonts w:cs="Times New Roman"/>
                <w:sz w:val="20"/>
                <w:szCs w:val="20"/>
              </w:rPr>
              <w:t>320</w:t>
            </w:r>
          </w:p>
        </w:tc>
        <w:tc>
          <w:tcPr>
            <w:tcW w:w="1490" w:type="dxa"/>
          </w:tcPr>
          <w:p w14:paraId="48E9AD97" w14:textId="77777777" w:rsidR="007321E6" w:rsidRPr="00364B71" w:rsidRDefault="007321E6" w:rsidP="00E82ADE">
            <w:pPr>
              <w:rPr>
                <w:rFonts w:cs="Times New Roman"/>
                <w:sz w:val="20"/>
                <w:szCs w:val="20"/>
              </w:rPr>
            </w:pPr>
            <w:r w:rsidRPr="00364B71">
              <w:rPr>
                <w:rFonts w:cs="Times New Roman"/>
                <w:sz w:val="20"/>
                <w:szCs w:val="20"/>
              </w:rPr>
              <w:t>1.57</w:t>
            </w:r>
          </w:p>
        </w:tc>
        <w:tc>
          <w:tcPr>
            <w:tcW w:w="1282" w:type="dxa"/>
          </w:tcPr>
          <w:p w14:paraId="47B5574A" w14:textId="6FF2F2D3"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{"citationItems":[{"id":"ITEM-1","itemData":{"DOI":"10.1021/acscentsci.7b00145","ISSN":"23747951","abstract":"The physical properties of 3-D porous solids are defined by their molecular geometry. Hence, precise control of pore size, pore shape, and pore connectivity are needed to tailor them for specific applications. However, for porous molecular crystals, the modification of pore size by adding pore-blocking groups can also affect crystal packing in an unpredictable way. This precludes strategies adopted for isoreticular metal-organic frameworks, where addition of a small group, such as a methyl group, does not affect the basic framework topology. Here, we narrow the pore size of a cage molecule, CC3, in a systematic way by introducing methyl groups into the cage windows. Computational crystal structure prediction was used to anticipate the packing preferences of two homochiral methylated cages, CC14-R and CC15-R, and to assess the structure-energy landscape of a CC15-R/CC3-S cocrystal, designed such that both component cages could be directed to pack with a 3-D, interconnected pore structure. The experimental gas sorption properties of these three cage systems agree well with physical properties predicted by computational energy-structure-function maps.","author":[{"dropping-particle":"","family":"Slater","given":"Anna G.","non-dropping-particle":"","parse-names":false,"suffix":""},{"dropping-particle":"","family":"Reiss","given":"Paul S.","non-dropping-particle":"","parse-names":false,"suffix":""},{"dropping-particle":"","family":"Pulido","given":"Angeles","non-dropping-particle":"","parse-names":false,"suffix":""},{"dropping-particle":"","family":"Little","given":"Marc A.","non-dropping-particle":"","parse-names":false,"suffix":""},{"dropping-particle":"","family":"Holden","given":"Daniel L.","non-dropping-particle":"","parse-names":false,"suffix":""},{"dropping-particle":"","family":"Chen","given":"Linjiang","non-dropping-particle":"","parse-names":false,"suffix":""},{"dropping-particle":"","family":"Chong","given":"Samantha Y.","non-dropping-particle":"","parse-names":false,"suffix":""},{"dropping-particle":"","family":"Alston","given":"Ben M.","non-dropping-particle":"","parse-names":false,"suffix":""},{"dropping-particle":"","family":"Clowes","given":"Rob","non-dropping-particle":"","parse-names":false,"suffix":""},{"dropping-particle":"","family":"Haranczyk","given":"Maciej","non-dropping-particle":"","parse-names":false,"suffix":""},{"dropping-particle":"","family":"Briggs","given":"Michael E.","non-dropping-particle":"","parse-names":false,"suffix":""},{"dropping-particle":"","family":"Hasell","given":"Tom","non-dropping-particle":"","parse-names":false,"suffix":""},{"dropping-particle":"","family":"Day","given":"Graeme M.","non-dropping-particle":"","parse-names":false,"suffix":""},{"dropping-particle":"","family":"Cooper","given":"Andrew I.","non-dropping-particle":"","parse-names":false,"suffix":""}],"container-title":"ACS Central Science","id":"ITEM-1","issue":"7","issued":{"date-parts":[["2017"]]},"page":"734-742","title":"Computationally-Guided Synthetic Control over Pore Size in Isostructural Porous Organic Cages","type":"article-journal","volume":"3"},"uris":["http://www.mendeley.com/documents/?uuid=17c77e42-553a-4fce-8ace-e0e43fa8571c","http://www.mendeley.com/documents/?uuid=8d5d143b-f541-3597-ab66-50ae2ff5f206"]}],"mendeley":{"formattedCitation":"&lt;sup&gt;16&lt;/sup&gt;","plainTextFormattedCitation":"16","previouslyFormattedCitation":"&lt;sup&gt;16&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16</w:t>
            </w:r>
            <w:r w:rsidRPr="00364B71">
              <w:rPr>
                <w:rFonts w:cs="Times New Roman"/>
                <w:sz w:val="20"/>
                <w:szCs w:val="20"/>
              </w:rPr>
              <w:fldChar w:fldCharType="end"/>
            </w:r>
          </w:p>
        </w:tc>
      </w:tr>
      <w:tr w:rsidR="007321E6" w:rsidRPr="007321E6" w14:paraId="43B2F936" w14:textId="77777777" w:rsidTr="00364B71">
        <w:tc>
          <w:tcPr>
            <w:tcW w:w="750" w:type="dxa"/>
          </w:tcPr>
          <w:p w14:paraId="1AFF8863" w14:textId="77777777" w:rsidR="007321E6" w:rsidRPr="00364B71" w:rsidRDefault="007321E6" w:rsidP="00E82ADE">
            <w:pPr>
              <w:rPr>
                <w:rFonts w:cs="Times New Roman"/>
                <w:sz w:val="20"/>
                <w:szCs w:val="20"/>
              </w:rPr>
            </w:pPr>
            <w:r w:rsidRPr="00364B71">
              <w:rPr>
                <w:rFonts w:cs="Times New Roman"/>
                <w:sz w:val="20"/>
                <w:szCs w:val="20"/>
              </w:rPr>
              <w:t>5</w:t>
            </w:r>
          </w:p>
        </w:tc>
        <w:tc>
          <w:tcPr>
            <w:tcW w:w="1939" w:type="dxa"/>
          </w:tcPr>
          <w:p w14:paraId="581FF7CF" w14:textId="77777777" w:rsidR="007321E6" w:rsidRPr="00364B71" w:rsidRDefault="007321E6" w:rsidP="00E82ADE">
            <w:pPr>
              <w:rPr>
                <w:rFonts w:cs="Times New Roman"/>
                <w:sz w:val="20"/>
                <w:szCs w:val="20"/>
              </w:rPr>
            </w:pPr>
            <w:r w:rsidRPr="00364B71">
              <w:rPr>
                <w:rFonts w:cs="Times New Roman"/>
                <w:sz w:val="20"/>
                <w:szCs w:val="20"/>
              </w:rPr>
              <w:t>PB-1</w:t>
            </w:r>
          </w:p>
        </w:tc>
        <w:tc>
          <w:tcPr>
            <w:tcW w:w="1275" w:type="dxa"/>
          </w:tcPr>
          <w:p w14:paraId="5D72A2BA"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11D9B44E" w14:textId="77777777" w:rsidR="007321E6" w:rsidRPr="00364B71" w:rsidRDefault="007321E6" w:rsidP="00E82ADE">
            <w:pPr>
              <w:rPr>
                <w:rFonts w:cs="Times New Roman"/>
                <w:sz w:val="20"/>
                <w:szCs w:val="20"/>
              </w:rPr>
            </w:pPr>
            <w:r w:rsidRPr="00364B71">
              <w:rPr>
                <w:rFonts w:cs="Times New Roman"/>
                <w:sz w:val="20"/>
                <w:szCs w:val="20"/>
              </w:rPr>
              <w:t>1370</w:t>
            </w:r>
          </w:p>
        </w:tc>
        <w:tc>
          <w:tcPr>
            <w:tcW w:w="1490" w:type="dxa"/>
          </w:tcPr>
          <w:p w14:paraId="67E6DC0A" w14:textId="77777777" w:rsidR="007321E6" w:rsidRPr="00364B71" w:rsidRDefault="007321E6" w:rsidP="00E82ADE">
            <w:pPr>
              <w:rPr>
                <w:rFonts w:cs="Times New Roman"/>
                <w:sz w:val="20"/>
                <w:szCs w:val="20"/>
              </w:rPr>
            </w:pPr>
            <w:r w:rsidRPr="00364B71">
              <w:rPr>
                <w:rFonts w:cs="Times New Roman"/>
                <w:sz w:val="20"/>
                <w:szCs w:val="20"/>
              </w:rPr>
              <w:t>1.66</w:t>
            </w:r>
          </w:p>
        </w:tc>
        <w:tc>
          <w:tcPr>
            <w:tcW w:w="1282" w:type="dxa"/>
          </w:tcPr>
          <w:p w14:paraId="1E946552" w14:textId="4ED33AF0"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{"citationItems":[{"id":"ITEM-1","itemData":{"DOI":"10.1002/anie.201505531","ISSN":"15213773","abstract":"The porphyrin boxes (PB-1 and PB-2), which are rationally designed porous organic cages with a large cavity using well-defined and rigid 3-connected triangular and 4-connected square shaped building units are reported. PB-1 has a cavity as large as 1.95 nm in diameter and shows high chemical stability in a broad pH range (4.8 to 13) in aqueous media. The crystalline nature as well as cavity structure of the shape-persistent organic cage crystals were intact even after complete removal of guest molecules, leading to one of the highest surface areas (1370 m2g-1) among the known porous organic molecular solids. The size of the cavities and windows of the porous organic cages can be modulated using different sized building units while maintaining the topology of the cages, as illustrated with PB-2. Interestingly, PB-2 crystals showed unusual N2 sorption isotherms as well as high selectivity for CO2 over N2 and CH4 (201 and 47.9, respectively at 273 K at 1 bar).","author":[{"dropping-particle":"","family":"Hong","given":"Soonsang","non-dropping-particle":"","parse-names":false,"suffix":""},{"dropping-particle":"","family":"Rohman","given":"Md Rumum","non-dropping-particle":"","parse-names":false,"suffix":""},{"dropping-particle":"","family":"Jia","given":"Jiangtao","non-dropping-particle":"","parse-names":false,"suffix":""},{"dropping-particle":"","family":"Kim","given":"Youngkook","non-dropping-particle":"","parse-names":false,"suffix":""},{"dropping-particle":"","family":"Moon","given":"Dohyun","non-dropping-particle":"","parse-names":false,"suffix":""},{"dropping-particle":"","family":"Kim","given":"Yonghwi","non-dropping-particle":"","parse-names":false,"suffix":""},{"dropping-particle":"","family":"Ko","given":"Young Ho","non-dropping-particle":"","parse-names":false,"suffix":""},{"dropping-particle":"","family":"Lee","given":"Eunsung","non-dropping-particle":"","parse-names":false,"suffix":""},{"dropping-particle":"","family":"Kim","given":"Kimoon","non-dropping-particle":"","parse-names":false,"suffix":""}],"container-title":"Angewandte Chemie - International Edition","id":"ITEM-1","issue":"45","issued":{"date-parts":[["2015"]]},"page":"13241-13244","title":"Porphyrin Boxes: Rationally Designed Porous Organic Cages","type":"article-journal","volume":"54"},"uris":["http://www.mendeley.com/documents/?uuid=f8cbdf53-34d5-373b-b255-cf3e3fef412f"]}],"mendeley":{"formattedCitation":"&lt;sup&gt;18&lt;/sup&gt;","plainTextFormattedCitation":"18","previouslyFormattedCitation":"&lt;sup&gt;18&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18</w:t>
            </w:r>
            <w:r w:rsidRPr="00364B71">
              <w:rPr>
                <w:rFonts w:cs="Times New Roman"/>
                <w:sz w:val="20"/>
                <w:szCs w:val="20"/>
              </w:rPr>
              <w:fldChar w:fldCharType="end"/>
            </w:r>
          </w:p>
        </w:tc>
      </w:tr>
      <w:tr w:rsidR="007321E6" w:rsidRPr="007321E6" w14:paraId="0BBC67BB" w14:textId="77777777" w:rsidTr="00364B71">
        <w:tc>
          <w:tcPr>
            <w:tcW w:w="750" w:type="dxa"/>
          </w:tcPr>
          <w:p w14:paraId="14B6396A" w14:textId="77777777" w:rsidR="007321E6" w:rsidRPr="00364B71" w:rsidRDefault="007321E6" w:rsidP="00E82ADE">
            <w:pPr>
              <w:rPr>
                <w:rFonts w:cs="Times New Roman"/>
                <w:sz w:val="20"/>
                <w:szCs w:val="20"/>
              </w:rPr>
            </w:pPr>
            <w:r w:rsidRPr="00364B71">
              <w:rPr>
                <w:rFonts w:cs="Times New Roman"/>
                <w:sz w:val="20"/>
                <w:szCs w:val="20"/>
              </w:rPr>
              <w:t>7</w:t>
            </w:r>
          </w:p>
        </w:tc>
        <w:tc>
          <w:tcPr>
            <w:tcW w:w="1939" w:type="dxa"/>
          </w:tcPr>
          <w:p w14:paraId="2DC54524" w14:textId="77777777" w:rsidR="007321E6" w:rsidRPr="00364B71" w:rsidRDefault="007321E6" w:rsidP="00E82ADE">
            <w:pPr>
              <w:rPr>
                <w:rFonts w:cs="Times New Roman"/>
                <w:sz w:val="20"/>
                <w:szCs w:val="20"/>
              </w:rPr>
            </w:pPr>
            <w:r w:rsidRPr="00364B71">
              <w:rPr>
                <w:rFonts w:cs="Times New Roman"/>
                <w:sz w:val="20"/>
                <w:szCs w:val="20"/>
              </w:rPr>
              <w:t>CC3-S/CC15-R cocrystal</w:t>
            </w:r>
          </w:p>
        </w:tc>
        <w:tc>
          <w:tcPr>
            <w:tcW w:w="1275" w:type="dxa"/>
          </w:tcPr>
          <w:p w14:paraId="03FA414F"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32A83543" w14:textId="77777777" w:rsidR="007321E6" w:rsidRPr="00364B71" w:rsidRDefault="007321E6" w:rsidP="00E82ADE">
            <w:pPr>
              <w:rPr>
                <w:rFonts w:cs="Times New Roman"/>
                <w:sz w:val="20"/>
                <w:szCs w:val="20"/>
              </w:rPr>
            </w:pPr>
            <w:r w:rsidRPr="00364B71">
              <w:rPr>
                <w:rFonts w:cs="Times New Roman"/>
                <w:sz w:val="20"/>
                <w:szCs w:val="20"/>
              </w:rPr>
              <w:t>13</w:t>
            </w:r>
          </w:p>
        </w:tc>
        <w:tc>
          <w:tcPr>
            <w:tcW w:w="1490" w:type="dxa"/>
          </w:tcPr>
          <w:p w14:paraId="7A1022B4" w14:textId="77777777" w:rsidR="007321E6" w:rsidRPr="00364B71" w:rsidRDefault="007321E6" w:rsidP="00E82ADE">
            <w:pPr>
              <w:rPr>
                <w:rFonts w:cs="Times New Roman"/>
                <w:sz w:val="20"/>
                <w:szCs w:val="20"/>
              </w:rPr>
            </w:pPr>
            <w:r w:rsidRPr="00364B71">
              <w:rPr>
                <w:rFonts w:cs="Times New Roman"/>
                <w:sz w:val="20"/>
                <w:szCs w:val="20"/>
              </w:rPr>
              <w:t>1.84</w:t>
            </w:r>
          </w:p>
        </w:tc>
        <w:tc>
          <w:tcPr>
            <w:tcW w:w="1282" w:type="dxa"/>
          </w:tcPr>
          <w:p w14:paraId="58104BA6" w14:textId="12CF11C8"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{"citationItems":[{"id":"ITEM-1","itemData":{"DOI":"10.1021/acscentsci.7b00145","ISSN":"23747951","abstract":"The physical properties of 3-D porous solids are defined by their molecular geometry. Hence, precise control of pore size, pore shape, and pore connectivity are needed to tailor them for specific applications. However, for porous molecular crystals, the modification of pore size by adding pore-blocking groups can also affect crystal packing in an unpredictable way. This precludes strategies adopted for isoreticular metal-organic frameworks, where addition of a small group, such as a methyl group, does not affect the basic framework topology. Here, we narrow the pore size of a cage molecule, CC3, in a systematic way by introducing methyl groups into the cage windows. Computational crystal structure prediction was used to anticipate the packing preferences of two homochiral methylated cages, CC14-R and CC15-R, and to assess the structure-energy landscape of a CC15-R/CC3-S cocrystal, designed such that both component cages could be directed to pack with a 3-D, interconnected pore structure. The experimental gas sorption properties of these three cage systems agree well with physical properties predicted by computational energy-structure-function maps.","author":[{"dropping-particle":"","family":"Slater","given":"Anna G.","non-dropping-particle":"","parse-names":false,"suffix":""},{"dropping-particle":"","family":"Reiss","given":"Paul S.","non-dropping-particle":"","parse-names":false,"suffix":""},{"dropping-particle":"","family":"Pulido","given":"Angeles","non-dropping-particle":"","parse-names":false,"suffix":""},{"dropping-particle":"","family":"Little","given":"Marc A.","non-dropping-particle":"","parse-names":false,"suffix":""},{"dropping-particle":"","family":"Holden","given":"Daniel L.","non-dropping-particle":"","parse-names":false,"suffix":""},{"dropping-particle":"","family":"Chen","given":"Linjiang","non-dropping-particle":"","parse-names":false,"suffix":""},{"dropping-particle":"","family":"Chong","given":"Samantha Y.","non-dropping-particle":"","parse-names":false,"suffix":""},{"dropping-particle":"","family":"Alston","given":"Ben M.","non-dropping-particle":"","parse-names":false,"suffix":""},{"dropping-particle":"","family":"Clowes","given":"Rob","non-dropping-particle":"","parse-names":false,"suffix":""},{"dropping-particle":"","family":"Haranczyk","given":"Maciej","non-dropping-particle":"","parse-names":false,"suffix":""},{"dropping-particle":"","family":"Briggs","given":"Michael E.","non-dropping-particle":"","parse-names":false,"suffix":""},{"dropping-particle":"","family":"Hasell","given":"Tom","non-dropping-particle":"","parse-names":false,"suffix":""},{"dropping-particle":"","family":"Day","given":"Graeme M.","non-dropping-particle":"","parse-names":false,"suffix":""},{"dropping-particle":"","family":"Cooper","given":"Andrew I.","non-dropping-particle":"","parse-names":false,"suffix":""}],"container-title":"ACS Central Science","id":"ITEM-1","issue":"7","issued":{"date-parts":[["2017"]]},"page":"734-742","title":"Computationally-Guided Synthetic Control over Pore Size in Isostructural Porous Organic Cages","type":"article-journal","volume":"3"},"uris":["http://www.mendeley.com/documents/?uuid=17c77e42-553a-4fce-8ace-e0e43fa8571c","http://www.mendeley.com/documents/?uuid=8d5d143b-f541-3597-ab66-50ae2ff5f206"]}],"mendeley":{"formattedCitation":"&lt;sup&gt;16&lt;/sup&gt;","plainTextFormattedCitation":"16","previouslyFormattedCitation":"&lt;sup&gt;16&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16</w:t>
            </w:r>
            <w:r w:rsidRPr="00364B71">
              <w:rPr>
                <w:rFonts w:cs="Times New Roman"/>
                <w:sz w:val="20"/>
                <w:szCs w:val="20"/>
              </w:rPr>
              <w:fldChar w:fldCharType="end"/>
            </w:r>
          </w:p>
        </w:tc>
      </w:tr>
      <w:tr w:rsidR="007321E6" w:rsidRPr="007321E6" w14:paraId="1720EDEB" w14:textId="77777777" w:rsidTr="00364B71">
        <w:tc>
          <w:tcPr>
            <w:tcW w:w="750" w:type="dxa"/>
          </w:tcPr>
          <w:p w14:paraId="35A06EAE" w14:textId="77777777" w:rsidR="007321E6" w:rsidRPr="00364B71" w:rsidRDefault="007321E6" w:rsidP="00E82ADE">
            <w:pPr>
              <w:rPr>
                <w:rFonts w:cs="Times New Roman"/>
                <w:sz w:val="20"/>
                <w:szCs w:val="20"/>
              </w:rPr>
            </w:pPr>
            <w:r w:rsidRPr="00364B71">
              <w:rPr>
                <w:rFonts w:cs="Times New Roman"/>
                <w:sz w:val="20"/>
                <w:szCs w:val="20"/>
              </w:rPr>
              <w:t>8</w:t>
            </w:r>
          </w:p>
        </w:tc>
        <w:tc>
          <w:tcPr>
            <w:tcW w:w="1939" w:type="dxa"/>
          </w:tcPr>
          <w:p w14:paraId="66C2D1F7" w14:textId="77777777" w:rsidR="007321E6" w:rsidRPr="00364B71" w:rsidRDefault="007321E6" w:rsidP="00E82ADE">
            <w:pPr>
              <w:rPr>
                <w:rFonts w:cs="Times New Roman"/>
                <w:sz w:val="20"/>
                <w:szCs w:val="20"/>
              </w:rPr>
            </w:pPr>
            <w:r w:rsidRPr="00364B71">
              <w:rPr>
                <w:rFonts w:cs="Times New Roman"/>
                <w:sz w:val="20"/>
                <w:szCs w:val="20"/>
              </w:rPr>
              <w:t>3-Et-Et</w:t>
            </w:r>
          </w:p>
        </w:tc>
        <w:tc>
          <w:tcPr>
            <w:tcW w:w="1275" w:type="dxa"/>
          </w:tcPr>
          <w:p w14:paraId="5AFDD8E1"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57761C02" w14:textId="77777777" w:rsidR="007321E6" w:rsidRPr="00364B71" w:rsidRDefault="007321E6" w:rsidP="00E82ADE">
            <w:pPr>
              <w:rPr>
                <w:rFonts w:cs="Times New Roman"/>
                <w:sz w:val="20"/>
                <w:szCs w:val="20"/>
              </w:rPr>
            </w:pPr>
            <w:r w:rsidRPr="00364B71">
              <w:rPr>
                <w:rFonts w:cs="Times New Roman"/>
                <w:sz w:val="20"/>
                <w:szCs w:val="20"/>
              </w:rPr>
              <w:t>71</w:t>
            </w:r>
          </w:p>
        </w:tc>
        <w:tc>
          <w:tcPr>
            <w:tcW w:w="1490" w:type="dxa"/>
          </w:tcPr>
          <w:p w14:paraId="691D649F" w14:textId="77777777" w:rsidR="007321E6" w:rsidRPr="00364B71" w:rsidRDefault="007321E6" w:rsidP="00E82ADE">
            <w:pPr>
              <w:rPr>
                <w:rFonts w:cs="Times New Roman"/>
                <w:sz w:val="20"/>
                <w:szCs w:val="20"/>
              </w:rPr>
            </w:pPr>
            <w:r w:rsidRPr="00364B71">
              <w:rPr>
                <w:rFonts w:cs="Times New Roman"/>
                <w:sz w:val="20"/>
                <w:szCs w:val="20"/>
              </w:rPr>
              <w:t>1.87</w:t>
            </w:r>
          </w:p>
        </w:tc>
        <w:tc>
          <w:tcPr>
            <w:tcW w:w="1282" w:type="dxa"/>
          </w:tcPr>
          <w:p w14:paraId="27AA172F" w14:textId="414D7AA4"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{"citationItems":[{"id":"ITEM-1","itemData":{"DOI":"10.1002/chem.201705713","ISSN":"15213765","PMID":"29272048","abstract":"The synthesis of shape-persistent organic cage compounds is often based on the usage of multiple dynamic covalent bond formation (such as imines) of readily available precursors. By careful choice of the precursors geometry, the geometry and size of the resulting cage can be accurately designed and indeed a number of different geometries and sizes have been realized to date. Despite of this fact, little is known about the precursors conformational rigidity and steric preorganization of reacting functional groups on the outcome of the reaction. Herein, the influence of conformational rigidity in the precursors on the formation of a [4+4] imine cage with truncated tetrahedral geometry is discussed.","author":[{"dropping-particle":"","family":"Lauer","given":"Jochen C.","non-dropping-particle":"","parse-names":false,"suffix":""},{"dropping-particle":"","family":"Zhang","given":"Wen Shan","non-dropping-particle":"","parse-names":false,"suffix":""},{"dropping-particle":"","family":"Rominger","given":"Frank","non-dropping-particle":"","parse-names":false,"suffix":""},{"dropping-particle":"","family":"Schröder","given":"Rasmus R.","non-dropping-particle":"","parse-names":false,"suffix":""},{"dropping-particle":"","family":"Mastalerz","given":"Michael","non-dropping-particle":"","parse-names":false,"suffix":""}],"container-title":"Chemistry - A European Journal","id":"ITEM-1","issue":"8","issued":{"date-parts":[["2018"]]},"note":"Lauer, Jochen C\rZhang, Wen-Shan\rRominger, Frank\rSchroder, Rasmus R\rMastalerz, Michael\reng\rGermany\rWeinheim an der Bergstrasse, Germany\r2017/12/23 06:00\rChemistry. 2018 Feb 6;24(8):1816-1820. doi: 10.1002/chem.201705713. Epub 2018 Jan 16.","page":"1816-1820","title":"Shape-Persistent [4+4] Imine Cages with a Truncated Tetrahedral Geometry","type":"article-journal","volume":"24"},"uris":["http://www.mendeley.com/documents/?uuid=34cb39c7-c78c-31f1-9333-1c9db9d00e43"]}],"mendeley":{"formattedCitation":"&lt;sup&gt;19&lt;/sup&gt;","plainTextFormattedCitation":"19","previouslyFormattedCitation":"&lt;sup&gt;19&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19</w:t>
            </w:r>
            <w:r w:rsidRPr="00364B71">
              <w:rPr>
                <w:rFonts w:cs="Times New Roman"/>
                <w:sz w:val="20"/>
                <w:szCs w:val="20"/>
              </w:rPr>
              <w:fldChar w:fldCharType="end"/>
            </w:r>
          </w:p>
        </w:tc>
      </w:tr>
      <w:tr w:rsidR="007321E6" w:rsidRPr="007321E6" w14:paraId="6BD76AFF" w14:textId="77777777" w:rsidTr="00364B71">
        <w:tc>
          <w:tcPr>
            <w:tcW w:w="750" w:type="dxa"/>
          </w:tcPr>
          <w:p w14:paraId="409BA14D" w14:textId="77777777" w:rsidR="007321E6" w:rsidRPr="00364B71" w:rsidRDefault="007321E6" w:rsidP="00E82ADE">
            <w:pPr>
              <w:rPr>
                <w:rFonts w:cs="Times New Roman"/>
                <w:sz w:val="20"/>
                <w:szCs w:val="20"/>
              </w:rPr>
            </w:pPr>
            <w:r w:rsidRPr="00364B71">
              <w:rPr>
                <w:rFonts w:cs="Times New Roman"/>
                <w:sz w:val="20"/>
                <w:szCs w:val="20"/>
              </w:rPr>
              <w:t>9</w:t>
            </w:r>
          </w:p>
        </w:tc>
        <w:tc>
          <w:tcPr>
            <w:tcW w:w="1939" w:type="dxa"/>
          </w:tcPr>
          <w:p w14:paraId="2D87CE02" w14:textId="77777777" w:rsidR="007321E6" w:rsidRPr="00364B71" w:rsidRDefault="007321E6" w:rsidP="00E82ADE">
            <w:pPr>
              <w:rPr>
                <w:rFonts w:cs="Times New Roman"/>
                <w:sz w:val="20"/>
                <w:szCs w:val="20"/>
              </w:rPr>
            </w:pPr>
            <w:r w:rsidRPr="00364B71">
              <w:rPr>
                <w:rFonts w:cs="Times New Roman"/>
                <w:sz w:val="20"/>
                <w:szCs w:val="20"/>
              </w:rPr>
              <w:t>BTPOC</w:t>
            </w:r>
          </w:p>
        </w:tc>
        <w:tc>
          <w:tcPr>
            <w:tcW w:w="1275" w:type="dxa"/>
          </w:tcPr>
          <w:p w14:paraId="4DF6DDB2"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12A3CDA2" w14:textId="331AB18B" w:rsidR="007321E6" w:rsidRPr="00364B71" w:rsidRDefault="007321E6" w:rsidP="00E82ADE">
            <w:pPr>
              <w:rPr>
                <w:rFonts w:cs="Times New Roman"/>
                <w:sz w:val="20"/>
                <w:szCs w:val="20"/>
              </w:rPr>
            </w:pPr>
            <w:r w:rsidRPr="00364B71">
              <w:rPr>
                <w:rFonts w:cs="Times New Roman"/>
                <w:sz w:val="20"/>
                <w:szCs w:val="20"/>
              </w:rPr>
              <w:t>605</w:t>
            </w:r>
            <w:r w:rsidRPr="00364B71">
              <w:rPr>
                <w:rFonts w:cs="Times New Roman"/>
                <w:sz w:val="20"/>
                <w:szCs w:val="20"/>
                <w:vertAlign w:val="superscript"/>
              </w:rPr>
              <w:t>b</w:t>
            </w:r>
          </w:p>
        </w:tc>
        <w:tc>
          <w:tcPr>
            <w:tcW w:w="1490" w:type="dxa"/>
          </w:tcPr>
          <w:p w14:paraId="31147CC5" w14:textId="77777777" w:rsidR="007321E6" w:rsidRPr="00364B71" w:rsidRDefault="007321E6" w:rsidP="00E82ADE">
            <w:pPr>
              <w:rPr>
                <w:rFonts w:cs="Times New Roman"/>
                <w:sz w:val="20"/>
                <w:szCs w:val="20"/>
              </w:rPr>
            </w:pPr>
            <w:r w:rsidRPr="00364B71">
              <w:rPr>
                <w:rFonts w:cs="Times New Roman"/>
                <w:sz w:val="20"/>
                <w:szCs w:val="20"/>
              </w:rPr>
              <w:t>1.96</w:t>
            </w:r>
          </w:p>
        </w:tc>
        <w:tc>
          <w:tcPr>
            <w:tcW w:w="1282" w:type="dxa"/>
          </w:tcPr>
          <w:p w14:paraId="7A035EE4" w14:textId="2BCF25FD"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{"citationItems":[{"id":"ITEM-1","itemData":{"DOI":"10.1016/j.cej.2021.131129","ISSN":"13858947","abstract":"The enantiomeric porous organic cages, (R)/(S)-BTPOC, have been devised and prepared by means of dynamic covalent chemistry, using imine bond formation between bithiophene-based tetraaldehyde and cyclohexanediamine building blocks. These two cage molecules with porous interiors, stable aromatic backbones, and multiple electron-rich building units have been fully characterized by spectroscopy and single crystal X-ray diffraction studies. Self-assembly of BTPOC molecules provided porous crystalline materials with high CO2 adsorption of 265 cm3 g−1 under 760 mmHg and 196 K according to the physical gas sorption analysis. The guest-free cage shows distinct CO2, CH4, and N2 adsorption behaviors. Moreover, BTPOC is able to accommodate a large amount of I2 with a high uptake value of 3.21 g g−1, superior to almost all the porous molecular crystals reported thus far. This stable material has also excellent recyclability, keeping above 85% capacity when being activated for the fourth cycles. Mechanism investigations reveal the close association of the good adsorption ability with the abundant porosity, π-conjugated network structure, and high imine bonds content. The present work shows the great application potentialities of these microporous POCs.","author":[{"dropping-particle":"","family":"Liu","given":"Chao","non-dropping-particle":"","parse-names":false,"suffix":""},{"dropping-particle":"","family":"Li","given":"Wenliang","non-dropping-particle":"","parse-names":false,"suffix":""},{"dropping-particle":"","family":"Liu","given":"Ying","non-dropping-particle":"","parse-names":false,"suffix":""},{"dropping-particle":"","family":"Wang","given":"Hailong","non-dropping-particle":"","parse-names":false,"suffix":""},{"dropping-particle":"","family":"Yu","given":"Baoqiu","non-dropping-particle":"","parse-names":false,"suffix":""},{"dropping-particle":"","family":"Bao","given":"Zongbi","non-dropping-particle":"","parse-names":false,"suffix":""},{"dropping-particle":"","family":"Jiang","given":"Jianzhuang","non-dropping-particle":"","parse-names":false,"suffix":""}],"container-title":"Chemical Engineering Journal","id":"ITEM-1","issued":{"date-parts":[["2022","1"]]},"page":"131129","title":"Porous organic cages for efficient gas selective separation and iodine capture","type":"article-journal","volume":"428"},"uris":["http://www.mendeley.com/documents/?uuid=8d6696bf-c626-367d-b175-ce94ee83589c","http://www.mendeley.com/documents/?uuid=4a54e686-7e6f-49cc-b314-368cfa86d517"]}],"mendeley":{"formattedCitation":"&lt;sup&gt;20&lt;/sup&gt;","plainTextFormattedCitation":"20","previouslyFormattedCitation":"&lt;sup&gt;20&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20</w:t>
            </w:r>
            <w:r w:rsidRPr="00364B71">
              <w:rPr>
                <w:rFonts w:cs="Times New Roman"/>
                <w:sz w:val="20"/>
                <w:szCs w:val="20"/>
              </w:rPr>
              <w:fldChar w:fldCharType="end"/>
            </w:r>
          </w:p>
        </w:tc>
      </w:tr>
      <w:tr w:rsidR="007321E6" w:rsidRPr="007321E6" w14:paraId="5C6EF815" w14:textId="77777777" w:rsidTr="00364B71">
        <w:tc>
          <w:tcPr>
            <w:tcW w:w="750" w:type="dxa"/>
          </w:tcPr>
          <w:p w14:paraId="637895DD" w14:textId="77777777" w:rsidR="007321E6" w:rsidRPr="00364B71" w:rsidRDefault="007321E6" w:rsidP="00E82ADE">
            <w:pPr>
              <w:rPr>
                <w:rFonts w:cs="Times New Roman"/>
                <w:sz w:val="20"/>
                <w:szCs w:val="20"/>
              </w:rPr>
            </w:pPr>
            <w:r w:rsidRPr="00364B71">
              <w:rPr>
                <w:rFonts w:cs="Times New Roman"/>
                <w:sz w:val="20"/>
                <w:szCs w:val="20"/>
              </w:rPr>
              <w:t>10</w:t>
            </w:r>
          </w:p>
        </w:tc>
        <w:tc>
          <w:tcPr>
            <w:tcW w:w="1939" w:type="dxa"/>
          </w:tcPr>
          <w:p w14:paraId="241A22B8" w14:textId="77777777" w:rsidR="007321E6" w:rsidRPr="00364B71" w:rsidRDefault="007321E6" w:rsidP="00E82ADE">
            <w:pPr>
              <w:rPr>
                <w:rFonts w:cs="Times New Roman"/>
                <w:sz w:val="20"/>
                <w:szCs w:val="20"/>
              </w:rPr>
            </w:pPr>
            <w:r w:rsidRPr="00364B71">
              <w:rPr>
                <w:rFonts w:cs="Times New Roman"/>
                <w:sz w:val="20"/>
                <w:szCs w:val="20"/>
              </w:rPr>
              <w:t>CC3α</w:t>
            </w:r>
          </w:p>
        </w:tc>
        <w:tc>
          <w:tcPr>
            <w:tcW w:w="1275" w:type="dxa"/>
          </w:tcPr>
          <w:p w14:paraId="19B2A1BF"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74F3D900" w14:textId="77777777" w:rsidR="007321E6" w:rsidRPr="00364B71" w:rsidRDefault="007321E6" w:rsidP="00E82ADE">
            <w:pPr>
              <w:rPr>
                <w:rFonts w:cs="Times New Roman"/>
                <w:sz w:val="20"/>
                <w:szCs w:val="20"/>
              </w:rPr>
            </w:pPr>
            <w:r w:rsidRPr="00364B71">
              <w:rPr>
                <w:rFonts w:cs="Times New Roman"/>
                <w:sz w:val="20"/>
                <w:szCs w:val="20"/>
              </w:rPr>
              <w:t>409</w:t>
            </w:r>
          </w:p>
        </w:tc>
        <w:tc>
          <w:tcPr>
            <w:tcW w:w="1490" w:type="dxa"/>
          </w:tcPr>
          <w:p w14:paraId="49D8D32E" w14:textId="77777777" w:rsidR="007321E6" w:rsidRPr="00364B71" w:rsidRDefault="007321E6" w:rsidP="00E82ADE">
            <w:pPr>
              <w:rPr>
                <w:rFonts w:cs="Times New Roman"/>
                <w:sz w:val="20"/>
                <w:szCs w:val="20"/>
              </w:rPr>
            </w:pPr>
            <w:r w:rsidRPr="00364B71">
              <w:rPr>
                <w:rFonts w:cs="Times New Roman"/>
                <w:sz w:val="20"/>
                <w:szCs w:val="20"/>
              </w:rPr>
              <w:t>2.01</w:t>
            </w:r>
          </w:p>
        </w:tc>
        <w:tc>
          <w:tcPr>
            <w:tcW w:w="1282" w:type="dxa"/>
          </w:tcPr>
          <w:p w14:paraId="1E2A610F" w14:textId="6DFB1177"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{"citationItems":[{"id":"ITEM-1","itemData":{"DOI":"10.1021/acscentsci.7b00145","ISSN":"23747951","abstract":"The physical properties of 3-D porous solids are defined by their molecular geometry. Hence, precise control of pore size, pore shape, and pore connectivity are needed to tailor them for specific applications. However, for porous molecular crystals, the modification of pore size by adding pore-blocking groups can also affect crystal packing in an unpredictable way. This precludes strategies adopted for isoreticular metal-organic frameworks, where addition of a small group, such as a methyl group, does not affect the basic framework topology. Here, we narrow the pore size of a cage molecule, CC3, in a systematic way by introducing methyl groups into the cage windows. Computational crystal structure prediction was used to anticipate the packing preferences of two homochiral methylated cages, CC14-R and CC15-R, and to assess the structure-energy landscape of a CC15-R/CC3-S cocrystal, designed such that both component cages could be directed to pack with a 3-D, interconnected pore structure. The experimental gas sorption properties of these three cage systems agree well with physical properties predicted by computational energy-structure-function maps.","author":[{"dropping-particle":"","family":"Slater","given":"Anna G.","non-dropping-particle":"","parse-names":false,"suffix":""},{"dropping-particle":"","family":"Reiss","given":"Paul S.","non-dropping-particle":"","parse-names":false,"suffix":""},{"dropping-particle":"","family":"Pulido","given":"Angeles","non-dropping-particle":"","parse-names":false,"suffix":""},{"dropping-particle":"","family":"Little","given":"Marc A.","non-dropping-particle":"","parse-names":false,"suffix":""},{"dropping-particle":"","family":"Holden","given":"Daniel L.","non-dropping-particle":"","parse-names":false,"suffix":""},{"dropping-particle":"","family":"Chen","given":"Linjiang","non-dropping-particle":"","parse-names":false,"suffix":""},{"dropping-particle":"","family":"Chong","given":"Samantha Y.","non-dropping-particle":"","parse-names":false,"suffix":""},{"dropping-particle":"","family":"Alston","given":"Ben M.","non-dropping-particle":"","parse-names":false,"suffix":""},{"dropping-particle":"","family":"Clowes","given":"Rob","non-dropping-particle":"","parse-names":false,"suffix":""},{"dropping-particle":"","family":"Haranczyk","given":"Maciej","non-dropping-particle":"","parse-names":false,"suffix":""},{"dropping-particle":"","family":"Briggs","given":"Michael E.","non-dropping-particle":"","parse-names":false,"suffix":""},{"dropping-particle":"","family":"Hasell","given":"Tom","non-dropping-particle":"","parse-names":false,"suffix":""},{"dropping-particle":"","family":"Day","given":"Graeme M.","non-dropping-particle":"","parse-names":false,"suffix":""},{"dropping-particle":"","family":"Cooper","given":"Andrew I.","non-dropping-particle":"","parse-names":false,"suffix":""}],"container-title":"ACS Central Science","id":"ITEM-1","issue":"7","issued":{"date-parts":[["2017"]]},"page":"734-742","title":"Computationally-Guided Synthetic Control over Pore Size in Isostructural Porous Organic Cages","type":"article-journal","volume":"3"},"uris":["http://www.mendeley.com/documents/?uuid=17c77e42-553a-4fce-8ace-e0e43fa8571c","http://www.mendeley.com/documents/?uuid=8d5d143b-f541-3597-ab66-50ae2ff5f206"]}],"mendeley":{"formattedCitation":"&lt;sup&gt;16&lt;/sup&gt;","plainTextFormattedCitation":"16","previouslyFormattedCitation":"&lt;sup&gt;16&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16</w:t>
            </w:r>
            <w:r w:rsidRPr="00364B71">
              <w:rPr>
                <w:rFonts w:cs="Times New Roman"/>
                <w:sz w:val="20"/>
                <w:szCs w:val="20"/>
              </w:rPr>
              <w:fldChar w:fldCharType="end"/>
            </w:r>
          </w:p>
        </w:tc>
      </w:tr>
      <w:tr w:rsidR="007321E6" w:rsidRPr="007321E6" w14:paraId="25AE85F0" w14:textId="77777777" w:rsidTr="00364B71">
        <w:tc>
          <w:tcPr>
            <w:tcW w:w="750" w:type="dxa"/>
          </w:tcPr>
          <w:p w14:paraId="7EC99023" w14:textId="77777777" w:rsidR="007321E6" w:rsidRPr="00364B71" w:rsidRDefault="007321E6" w:rsidP="00E82ADE">
            <w:pPr>
              <w:rPr>
                <w:rFonts w:cs="Times New Roman"/>
                <w:sz w:val="20"/>
                <w:szCs w:val="20"/>
              </w:rPr>
            </w:pPr>
            <w:r w:rsidRPr="00364B71">
              <w:rPr>
                <w:rFonts w:cs="Times New Roman"/>
                <w:sz w:val="20"/>
                <w:szCs w:val="20"/>
              </w:rPr>
              <w:t>10</w:t>
            </w:r>
          </w:p>
        </w:tc>
        <w:tc>
          <w:tcPr>
            <w:tcW w:w="1939" w:type="dxa"/>
          </w:tcPr>
          <w:p w14:paraId="15AB9331" w14:textId="77777777" w:rsidR="007321E6" w:rsidRPr="00364B71" w:rsidRDefault="007321E6" w:rsidP="00E82ADE">
            <w:pPr>
              <w:rPr>
                <w:rFonts w:cs="Times New Roman"/>
                <w:sz w:val="20"/>
                <w:szCs w:val="20"/>
              </w:rPr>
            </w:pPr>
            <w:r w:rsidRPr="00364B71">
              <w:rPr>
                <w:rFonts w:cs="Times New Roman"/>
                <w:sz w:val="20"/>
                <w:szCs w:val="20"/>
              </w:rPr>
              <w:t>CC3-RS</w:t>
            </w:r>
          </w:p>
        </w:tc>
        <w:tc>
          <w:tcPr>
            <w:tcW w:w="1275" w:type="dxa"/>
          </w:tcPr>
          <w:p w14:paraId="723A77AB"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480DD627" w14:textId="77777777" w:rsidR="007321E6" w:rsidRPr="00364B71" w:rsidRDefault="007321E6" w:rsidP="00E82ADE">
            <w:pPr>
              <w:rPr>
                <w:rFonts w:cs="Times New Roman"/>
                <w:sz w:val="20"/>
                <w:szCs w:val="20"/>
              </w:rPr>
            </w:pPr>
            <w:r w:rsidRPr="00364B71">
              <w:rPr>
                <w:rFonts w:cs="Times New Roman"/>
                <w:sz w:val="20"/>
                <w:szCs w:val="20"/>
              </w:rPr>
              <w:t>598</w:t>
            </w:r>
          </w:p>
        </w:tc>
        <w:tc>
          <w:tcPr>
            <w:tcW w:w="1490" w:type="dxa"/>
          </w:tcPr>
          <w:p w14:paraId="55DD79E6" w14:textId="77777777" w:rsidR="007321E6" w:rsidRPr="00364B71" w:rsidRDefault="007321E6" w:rsidP="00E82ADE">
            <w:pPr>
              <w:rPr>
                <w:rFonts w:cs="Times New Roman"/>
                <w:sz w:val="20"/>
                <w:szCs w:val="20"/>
              </w:rPr>
            </w:pPr>
            <w:r w:rsidRPr="00364B71">
              <w:rPr>
                <w:rFonts w:cs="Times New Roman"/>
                <w:sz w:val="20"/>
                <w:szCs w:val="20"/>
              </w:rPr>
              <w:t>2.01</w:t>
            </w:r>
          </w:p>
        </w:tc>
        <w:tc>
          <w:tcPr>
            <w:tcW w:w="1282" w:type="dxa"/>
          </w:tcPr>
          <w:p w14:paraId="2C9A3D54" w14:textId="1138049D"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{"citationItems":[{"id":"ITEM-1","itemData":{"DOI":"10.1002/anie.201803244","ISSN":"15213773","PMID":"29888555","abstract":"The first examples of core–shell porous molecular crystals are described. The physical properties of the core–shell crystals, such as surface hydrophobicity, CO2 /CH4 selectivity, are controlled by the chemical composition of the shell. This shows that porous core–shell molecular crystals can exhibit synergistic properties that out-perform materials built from the individual, constituent molecules.","author":[{"dropping-particle":"","family":"Jiang","given":"Shan","non-dropping-particle":"","parse-names":false,"suffix":""},{"dropping-particle":"","family":"Du","given":"Yi","non-dropping-particle":"","parse-names":false,"suffix":""},{"dropping-particle":"","family":"Marcello","given":"Marco","non-dropping-particle":"","parse-names":false,"suffix":""},{"dropping-particle":"","family":"Corcoran","given":"Edward W.","non-dropping-particle":"","parse-names":false,"suffix":""},{"dropping-particle":"","family":"Calabro","given":"David C.","non-dropping-particle":"","parse-names":false,"suffix":""},{"dropping-particle":"","family":"Chong","given":"Samantha Y.","non-dropping-particle":"","parse-names":false,"suffix":""},{"dropping-particle":"","family":"Chen","given":"Linjiang","non-dropping-particle":"","parse-names":false,"suffix":""},{"dropping-particle":"","family":"Clowes","given":"Rob","non-dropping-particle":"","parse-names":false,"suffix":""},{"dropping-particle":"","family":"Hasell","given":"Tom","non-dropping-particle":"","parse-names":false,"suffix":""},{"dropping-particle":"","family":"Cooper","given":"Andrew I.","non-dropping-particle":"","parse-names":false,"suffix":""}],"container-title":"Angewandte Chemie - International Edition","id":"ITEM-1","issue":"35","issued":{"date-parts":[["2018"]]},"page":"11228-11232","title":"Core–Shell Crystals of Porous Organic Cages","type":"article-journal","volume":"57"},"uris":["http://www.mendeley.com/documents/?uuid=dbef344a-521e-3e15-a8b3-978deb1c0a8d","http://www.mendeley.com/documents/?uuid=c8947da4-94d4-4259-917d-eeb1ad81f6a6"]}],"mendeley":{"formattedCitation":"&lt;sup&gt;21&lt;/sup&gt;","plainTextFormattedCitation":"21","previouslyFormattedCitation":"&lt;sup&gt;21&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21</w:t>
            </w:r>
            <w:r w:rsidRPr="00364B71">
              <w:rPr>
                <w:rFonts w:cs="Times New Roman"/>
                <w:sz w:val="20"/>
                <w:szCs w:val="20"/>
              </w:rPr>
              <w:fldChar w:fldCharType="end"/>
            </w:r>
          </w:p>
        </w:tc>
      </w:tr>
      <w:tr w:rsidR="007321E6" w:rsidRPr="007321E6" w14:paraId="0C601B35" w14:textId="77777777" w:rsidTr="00364B71">
        <w:tc>
          <w:tcPr>
            <w:tcW w:w="750" w:type="dxa"/>
          </w:tcPr>
          <w:p w14:paraId="20015668" w14:textId="77777777" w:rsidR="007321E6" w:rsidRPr="00364B71" w:rsidRDefault="007321E6" w:rsidP="00E82ADE">
            <w:pPr>
              <w:rPr>
                <w:rFonts w:cs="Times New Roman"/>
                <w:sz w:val="20"/>
                <w:szCs w:val="20"/>
              </w:rPr>
            </w:pPr>
            <w:r w:rsidRPr="00364B71">
              <w:rPr>
                <w:rFonts w:cs="Times New Roman"/>
                <w:sz w:val="20"/>
                <w:szCs w:val="20"/>
              </w:rPr>
              <w:t>12</w:t>
            </w:r>
          </w:p>
        </w:tc>
        <w:tc>
          <w:tcPr>
            <w:tcW w:w="1939" w:type="dxa"/>
          </w:tcPr>
          <w:p w14:paraId="6E5C9B09" w14:textId="77777777" w:rsidR="007321E6" w:rsidRPr="00364B71" w:rsidRDefault="007321E6" w:rsidP="00E82ADE">
            <w:pPr>
              <w:rPr>
                <w:rFonts w:cs="Times New Roman"/>
                <w:sz w:val="20"/>
                <w:szCs w:val="20"/>
              </w:rPr>
            </w:pPr>
            <w:r w:rsidRPr="00364B71">
              <w:rPr>
                <w:rFonts w:cs="Times New Roman"/>
                <w:sz w:val="20"/>
                <w:szCs w:val="20"/>
              </w:rPr>
              <w:t>cage 9</w:t>
            </w:r>
          </w:p>
        </w:tc>
        <w:tc>
          <w:tcPr>
            <w:tcW w:w="1275" w:type="dxa"/>
          </w:tcPr>
          <w:p w14:paraId="71B49E81" w14:textId="77777777" w:rsidR="007321E6" w:rsidRPr="00364B71" w:rsidRDefault="007321E6" w:rsidP="00E82ADE">
            <w:pPr>
              <w:rPr>
                <w:rFonts w:cs="Times New Roman"/>
                <w:sz w:val="20"/>
                <w:szCs w:val="20"/>
              </w:rPr>
            </w:pPr>
            <w:r w:rsidRPr="00364B71">
              <w:rPr>
                <w:rFonts w:cs="Times New Roman"/>
                <w:sz w:val="20"/>
                <w:szCs w:val="20"/>
              </w:rPr>
              <w:t>amide</w:t>
            </w:r>
          </w:p>
        </w:tc>
        <w:tc>
          <w:tcPr>
            <w:tcW w:w="1560" w:type="dxa"/>
          </w:tcPr>
          <w:p w14:paraId="3931ACFB" w14:textId="77777777" w:rsidR="007321E6" w:rsidRPr="00364B71" w:rsidRDefault="007321E6" w:rsidP="00E82ADE">
            <w:pPr>
              <w:rPr>
                <w:rFonts w:cs="Times New Roman"/>
                <w:sz w:val="20"/>
                <w:szCs w:val="20"/>
              </w:rPr>
            </w:pPr>
            <w:r w:rsidRPr="00364B71">
              <w:rPr>
                <w:rFonts w:cs="Times New Roman"/>
                <w:sz w:val="20"/>
                <w:szCs w:val="20"/>
              </w:rPr>
              <w:t>102</w:t>
            </w:r>
          </w:p>
        </w:tc>
        <w:tc>
          <w:tcPr>
            <w:tcW w:w="1490" w:type="dxa"/>
          </w:tcPr>
          <w:p w14:paraId="41C5E53C" w14:textId="77777777" w:rsidR="007321E6" w:rsidRPr="00364B71" w:rsidRDefault="007321E6" w:rsidP="00E82ADE">
            <w:pPr>
              <w:rPr>
                <w:rFonts w:cs="Times New Roman"/>
                <w:sz w:val="20"/>
                <w:szCs w:val="20"/>
              </w:rPr>
            </w:pPr>
            <w:r w:rsidRPr="00364B71">
              <w:rPr>
                <w:rFonts w:cs="Times New Roman"/>
                <w:sz w:val="20"/>
                <w:szCs w:val="20"/>
              </w:rPr>
              <w:t>2.05</w:t>
            </w:r>
          </w:p>
        </w:tc>
        <w:tc>
          <w:tcPr>
            <w:tcW w:w="1282" w:type="dxa"/>
          </w:tcPr>
          <w:p w14:paraId="5FF816A5" w14:textId="1B503760"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{"citationItems":[{"id":"ITEM-1","itemData":{"DOI":"10.1002/anie.201903631","ISSN":"15213773","PMID":"30964597","abstract":"In recent years, interest in shape-persistent organic cage compounds has steadily increased, not least because dynamic covalent bond formation enables such structures to be made in high to excellent yields. One often used type of dynamic bond formation is the generation of an imine bond from an aldehyde and an amine. Although the reversibility of the imine bond formation is advantageous for high yields, it is disadvantageous for the chemical stability of the compounds. Amide bonds are, in contrast to imine bonds much more robust. Shape-persistent amide cages have so far been made by irreversible amide bond formations in multiple steps, very often accompanied by low yields. Here, we present an approach to shape-persistent amide cages by exploiting a high-yielding reversible cage formation in the first step, and a Pinnick oxidation as a key step to access the amide cages in just three steps. These chemically robust amide cages can be further transformed by bromination or nitration to allow post-functionalization in high yields. The impact of the substituents on the gas sorption behavior was also investigated.","author":[{"dropping-particle":"","family":"Bhat","given":"Avinash S.","non-dropping-particle":"","parse-names":false,"suffix":""},{"dropping-particle":"","family":"Elbert","given":"Sven M.","non-dropping-particle":"","parse-names":false,"suffix":""},{"dropping-particle":"","family":"Zhang","given":"Wen Shan","non-dropping-particle":"","parse-names":false,"suffix":""},{"dropping-particle":"","family":"Rominger","given":"Frank","non-dropping-particle":"","parse-names":false,"suffix":""},{"dropping-particle":"","family":"Dieckmann","given":"Michael","non-dropping-particle":"","parse-names":false,"suffix":""},{"dropping-particle":"","family":"Schröder","given":"Rasmus R.","non-dropping-particle":"","parse-names":false,"suffix":""},{"dropping-particle":"","family":"Mastalerz","given":"Michael","non-dropping-particle":"","parse-names":false,"suffix":""}],"container-title":"Angewandte Chemie - International Edition","edition":"2019/04/10","id":"ITEM-1","issue":"26","issued":{"date-parts":[["2019"]]},"note":"Bhat, Avinash S\rElbert, Sven M\rZhang, Wen-Shan\rRominger, Frank\rDieckmann, Michael\rSchroder, Rasmus R\rMastalerz, Michael\reng\rCaTs n DOCs (grant agreement no.725765/ERC\rGermany\rAngew Chem Int Ed Engl. 2019 Jun 24;58(26):8819-8823. doi: 10.1002/anie.201903631. Epub 2019 May 17.","page":"8819-8823","title":"Transformation of a [4+6] Salicylbisimine Cage to Chemically Robust Amide Cages","type":"article-journal","volume":"58"},"uris":["http://www.mendeley.com/documents/?uuid=5bf70df6-a608-3da0-9671-86c2730f0cef"]}],"mendeley":{"formattedCitation":"&lt;sup&gt;22&lt;/sup&gt;","plainTextFormattedCitation":"22","previouslyFormattedCitation":"&lt;sup&gt;22&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22</w:t>
            </w:r>
            <w:r w:rsidRPr="00364B71">
              <w:rPr>
                <w:rFonts w:cs="Times New Roman"/>
                <w:sz w:val="20"/>
                <w:szCs w:val="20"/>
              </w:rPr>
              <w:fldChar w:fldCharType="end"/>
            </w:r>
          </w:p>
        </w:tc>
      </w:tr>
      <w:tr w:rsidR="007321E6" w:rsidRPr="007321E6" w14:paraId="6F152CCB" w14:textId="77777777" w:rsidTr="00364B71">
        <w:tc>
          <w:tcPr>
            <w:tcW w:w="750" w:type="dxa"/>
          </w:tcPr>
          <w:p w14:paraId="7C000568" w14:textId="77777777" w:rsidR="007321E6" w:rsidRPr="00364B71" w:rsidRDefault="007321E6" w:rsidP="00E82ADE">
            <w:pPr>
              <w:rPr>
                <w:rFonts w:cs="Times New Roman"/>
                <w:sz w:val="20"/>
                <w:szCs w:val="20"/>
              </w:rPr>
            </w:pPr>
            <w:r w:rsidRPr="00364B71">
              <w:rPr>
                <w:rFonts w:cs="Times New Roman"/>
                <w:sz w:val="20"/>
                <w:szCs w:val="20"/>
              </w:rPr>
              <w:t>12</w:t>
            </w:r>
          </w:p>
        </w:tc>
        <w:tc>
          <w:tcPr>
            <w:tcW w:w="1939" w:type="dxa"/>
          </w:tcPr>
          <w:p w14:paraId="27DC54B4" w14:textId="77777777" w:rsidR="007321E6" w:rsidRPr="00364B71" w:rsidRDefault="007321E6" w:rsidP="00E82ADE">
            <w:pPr>
              <w:rPr>
                <w:rFonts w:cs="Times New Roman"/>
                <w:sz w:val="20"/>
                <w:szCs w:val="20"/>
              </w:rPr>
            </w:pPr>
            <w:r w:rsidRPr="00364B71">
              <w:rPr>
                <w:rFonts w:cs="Times New Roman"/>
                <w:sz w:val="20"/>
                <w:szCs w:val="20"/>
              </w:rPr>
              <w:t>cage 7</w:t>
            </w:r>
          </w:p>
        </w:tc>
        <w:tc>
          <w:tcPr>
            <w:tcW w:w="1275" w:type="dxa"/>
          </w:tcPr>
          <w:p w14:paraId="4AAA42D9" w14:textId="77777777" w:rsidR="007321E6" w:rsidRPr="00364B71" w:rsidRDefault="007321E6" w:rsidP="00E82ADE">
            <w:pPr>
              <w:rPr>
                <w:rFonts w:cs="Times New Roman"/>
                <w:sz w:val="20"/>
                <w:szCs w:val="20"/>
              </w:rPr>
            </w:pPr>
            <w:r w:rsidRPr="00364B71">
              <w:rPr>
                <w:rFonts w:cs="Times New Roman"/>
                <w:sz w:val="20"/>
                <w:szCs w:val="20"/>
              </w:rPr>
              <w:t>amide</w:t>
            </w:r>
          </w:p>
        </w:tc>
        <w:tc>
          <w:tcPr>
            <w:tcW w:w="1560" w:type="dxa"/>
          </w:tcPr>
          <w:p w14:paraId="00D36749" w14:textId="77777777" w:rsidR="007321E6" w:rsidRPr="00364B71" w:rsidRDefault="007321E6" w:rsidP="00E82ADE">
            <w:pPr>
              <w:rPr>
                <w:rFonts w:cs="Times New Roman"/>
                <w:sz w:val="20"/>
                <w:szCs w:val="20"/>
              </w:rPr>
            </w:pPr>
            <w:r w:rsidRPr="00364B71">
              <w:rPr>
                <w:rFonts w:cs="Times New Roman"/>
                <w:sz w:val="20"/>
                <w:szCs w:val="20"/>
              </w:rPr>
              <w:t>398</w:t>
            </w:r>
          </w:p>
        </w:tc>
        <w:tc>
          <w:tcPr>
            <w:tcW w:w="1490" w:type="dxa"/>
          </w:tcPr>
          <w:p w14:paraId="492E16F0" w14:textId="77777777" w:rsidR="007321E6" w:rsidRPr="00364B71" w:rsidRDefault="007321E6" w:rsidP="00E82ADE">
            <w:pPr>
              <w:rPr>
                <w:rFonts w:cs="Times New Roman"/>
                <w:sz w:val="20"/>
                <w:szCs w:val="20"/>
              </w:rPr>
            </w:pPr>
            <w:r w:rsidRPr="00364B71">
              <w:rPr>
                <w:rFonts w:cs="Times New Roman"/>
                <w:sz w:val="20"/>
                <w:szCs w:val="20"/>
              </w:rPr>
              <w:t>2.05</w:t>
            </w:r>
          </w:p>
        </w:tc>
        <w:tc>
          <w:tcPr>
            <w:tcW w:w="1282" w:type="dxa"/>
          </w:tcPr>
          <w:p w14:paraId="0832D09B" w14:textId="2D50B62A"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{"citationItems":[{"id":"ITEM-1","itemData":{"DOI":"10.1002/anie.201903631","ISSN":"15213773","PMID":"30964597","abstract":"In recent years, interest in shape-persistent organic cage compounds has steadily increased, not least because dynamic covalent bond formation enables such structures to be made in high to excellent yields. One often used type of dynamic bond formation is the generation of an imine bond from an aldehyde and an amine. Although the reversibility of the imine bond formation is advantageous for high yields, it is disadvantageous for the chemical stability of the compounds. Amide bonds are, in contrast to imine bonds much more robust. Shape-persistent amide cages have so far been made by irreversible amide bond formations in multiple steps, very often accompanied by low yields. Here, we present an approach to shape-persistent amide cages by exploiting a high-yielding reversible cage formation in the first step, and a Pinnick oxidation as a key step to access the amide cages in just three steps. These chemically robust amide cages can be further transformed by bromination or nitration to allow post-functionalization in high yields. The impact of the substituents on the gas sorption behavior was also investigated.","author":[{"dropping-particle":"","family":"Bhat","given":"Avinash S.","non-dropping-particle":"","parse-names":false,"suffix":""},{"dropping-particle":"","family":"Elbert","given":"Sven M.","non-dropping-particle":"","parse-names":false,"suffix":""},{"dropping-particle":"","family":"Zhang","given":"Wen Shan","non-dropping-particle":"","parse-names":false,"suffix":""},{"dropping-particle":"","family":"Rominger","given":"Frank","non-dropping-particle":"","parse-names":false,"suffix":""},{"dropping-particle":"","family":"Dieckmann","given":"Michael","non-dropping-particle":"","parse-names":false,"suffix":""},{"dropping-particle":"","family":"Schröder","given":"Rasmus R.","non-dropping-particle":"","parse-names":false,"suffix":""},{"dropping-particle":"","family":"Mastalerz","given":"Michael","non-dropping-particle":"","parse-names":false,"suffix":""}],"container-title":"Angewandte Chemie - International Edition","edition":"2019/04/10","id":"ITEM-1","issue":"26","issued":{"date-parts":[["2019"]]},"note":"Bhat, Avinash S\rElbert, Sven M\rZhang, Wen-Shan\rRominger, Frank\rDieckmann, Michael\rSchroder, Rasmus R\rMastalerz, Michael\reng\rCaTs n DOCs (grant agreement no.725765/ERC\rGermany\rAngew Chem Int Ed Engl. 2019 Jun 24;58(26):8819-8823. doi: 10.1002/anie.201903631. Epub 2019 May 17.","page":"8819-8823","title":"Transformation of a [4+6] Salicylbisimine Cage to Chemically Robust Amide Cages","type":"article-journal","volume":"58"},"uris":["http://www.mendeley.com/documents/?uuid=5bf70df6-a608-3da0-9671-86c2730f0cef"]}],"mendeley":{"formattedCitation":"&lt;sup&gt;22&lt;/sup&gt;","plainTextFormattedCitation":"22","previouslyFormattedCitation":"&lt;sup&gt;22&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22</w:t>
            </w:r>
            <w:r w:rsidRPr="00364B71">
              <w:rPr>
                <w:rFonts w:cs="Times New Roman"/>
                <w:sz w:val="20"/>
                <w:szCs w:val="20"/>
              </w:rPr>
              <w:fldChar w:fldCharType="end"/>
            </w:r>
          </w:p>
        </w:tc>
      </w:tr>
      <w:tr w:rsidR="007321E6" w:rsidRPr="007321E6" w14:paraId="5F3C2786" w14:textId="77777777" w:rsidTr="00364B71">
        <w:tc>
          <w:tcPr>
            <w:tcW w:w="750" w:type="dxa"/>
          </w:tcPr>
          <w:p w14:paraId="6F48C049" w14:textId="77777777" w:rsidR="007321E6" w:rsidRPr="00364B71" w:rsidRDefault="007321E6" w:rsidP="00E82ADE">
            <w:pPr>
              <w:rPr>
                <w:rFonts w:cs="Times New Roman"/>
                <w:sz w:val="20"/>
                <w:szCs w:val="20"/>
              </w:rPr>
            </w:pPr>
            <w:r w:rsidRPr="00364B71">
              <w:rPr>
                <w:rFonts w:cs="Times New Roman"/>
                <w:sz w:val="20"/>
                <w:szCs w:val="20"/>
              </w:rPr>
              <w:t>14</w:t>
            </w:r>
          </w:p>
        </w:tc>
        <w:tc>
          <w:tcPr>
            <w:tcW w:w="1939" w:type="dxa"/>
          </w:tcPr>
          <w:p w14:paraId="55059C44" w14:textId="77777777" w:rsidR="007321E6" w:rsidRPr="00364B71" w:rsidRDefault="007321E6" w:rsidP="00E82ADE">
            <w:pPr>
              <w:rPr>
                <w:rFonts w:cs="Times New Roman"/>
                <w:sz w:val="20"/>
                <w:szCs w:val="20"/>
              </w:rPr>
            </w:pPr>
            <w:r w:rsidRPr="00364B71">
              <w:rPr>
                <w:rFonts w:cs="Times New Roman"/>
                <w:sz w:val="20"/>
                <w:szCs w:val="20"/>
              </w:rPr>
              <w:t>cage 8</w:t>
            </w:r>
          </w:p>
        </w:tc>
        <w:tc>
          <w:tcPr>
            <w:tcW w:w="1275" w:type="dxa"/>
          </w:tcPr>
          <w:p w14:paraId="5348BE55" w14:textId="77777777" w:rsidR="007321E6" w:rsidRPr="00364B71" w:rsidRDefault="007321E6" w:rsidP="00E82ADE">
            <w:pPr>
              <w:rPr>
                <w:rFonts w:cs="Times New Roman"/>
                <w:sz w:val="20"/>
                <w:szCs w:val="20"/>
              </w:rPr>
            </w:pPr>
            <w:r w:rsidRPr="00364B71">
              <w:rPr>
                <w:rFonts w:cs="Times New Roman"/>
                <w:sz w:val="20"/>
                <w:szCs w:val="20"/>
              </w:rPr>
              <w:t>amide</w:t>
            </w:r>
          </w:p>
        </w:tc>
        <w:tc>
          <w:tcPr>
            <w:tcW w:w="1560" w:type="dxa"/>
          </w:tcPr>
          <w:p w14:paraId="28BAB6B8" w14:textId="77777777" w:rsidR="007321E6" w:rsidRPr="00364B71" w:rsidRDefault="007321E6" w:rsidP="00E82ADE">
            <w:pPr>
              <w:rPr>
                <w:rFonts w:cs="Times New Roman"/>
                <w:sz w:val="20"/>
                <w:szCs w:val="20"/>
              </w:rPr>
            </w:pPr>
            <w:r w:rsidRPr="00364B71">
              <w:rPr>
                <w:rFonts w:cs="Times New Roman"/>
                <w:sz w:val="20"/>
                <w:szCs w:val="20"/>
              </w:rPr>
              <w:t>260</w:t>
            </w:r>
          </w:p>
        </w:tc>
        <w:tc>
          <w:tcPr>
            <w:tcW w:w="1490" w:type="dxa"/>
          </w:tcPr>
          <w:p w14:paraId="1E0083A4" w14:textId="77777777" w:rsidR="007321E6" w:rsidRPr="00364B71" w:rsidRDefault="007321E6" w:rsidP="00E82ADE">
            <w:pPr>
              <w:rPr>
                <w:rFonts w:cs="Times New Roman"/>
                <w:sz w:val="20"/>
                <w:szCs w:val="20"/>
              </w:rPr>
            </w:pPr>
            <w:r w:rsidRPr="00364B71">
              <w:rPr>
                <w:rFonts w:cs="Times New Roman"/>
                <w:sz w:val="20"/>
                <w:szCs w:val="20"/>
              </w:rPr>
              <w:t>2.07</w:t>
            </w:r>
          </w:p>
        </w:tc>
        <w:tc>
          <w:tcPr>
            <w:tcW w:w="1282" w:type="dxa"/>
          </w:tcPr>
          <w:p w14:paraId="14C6F968" w14:textId="0265601B"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{"citationItems":[{"id":"ITEM-1","itemData":{"DOI":"10.1002/anie.201903631","ISSN":"15213773","PMID":"30964597","abstract":"In recent years, interest in shape-persistent organic cage compounds has steadily increased, not least because dynamic covalent bond formation enables such structures to be made in high to excellent yields. One often used type of dynamic bond formation is the generation of an imine bond from an aldehyde and an amine. Although the reversibility of the imine bond formation is advantageous for high yields, it is disadvantageous for the chemical stability of the compounds. Amide bonds are, in contrast to imine bonds much more robust. Shape-persistent amide cages have so far been made by irreversible amide bond formations in multiple steps, very often accompanied by low yields. Here, we present an approach to shape-persistent amide cages by exploiting a high-yielding reversible cage formation in the first step, and a Pinnick oxidation as a key step to access the amide cages in just three steps. These chemically robust amide cages can be further transformed by bromination or nitration to allow post-functionalization in high yields. The impact of the substituents on the gas sorption behavior was also investigated.","author":[{"dropping-particle":"","family":"Bhat","given":"Avinash S.","non-dropping-particle":"","parse-names":false,"suffix":""},{"dropping-particle":"","family":"Elbert","given":"Sven M.","non-dropping-particle":"","parse-names":false,"suffix":""},{"dropping-particle":"","family":"Zhang","given":"Wen Shan","non-dropping-particle":"","parse-names":false,"suffix":""},{"dropping-particle":"","family":"Rominger","given":"Frank","non-dropping-particle":"","parse-names":false,"suffix":""},{"dropping-particle":"","family":"Dieckmann","given":"Michael","non-dropping-particle":"","parse-names":false,"suffix":""},{"dropping-particle":"","family":"Schröder","given":"Rasmus R.","non-dropping-particle":"","parse-names":false,"suffix":""},{"dropping-particle":"","family":"Mastalerz","given":"Michael","non-dropping-particle":"","parse-names":false,"suffix":""}],"container-title":"Angewandte Chemie - International Edition","edition":"2019/04/10","id":"ITEM-1","issue":"26","issued":{"date-parts":[["2019"]]},"note":"Bhat, Avinash S\rElbert, Sven M\rZhang, Wen-Shan\rRominger, Frank\rDieckmann, Michael\rSchroder, Rasmus R\rMastalerz, Michael\reng\rCaTs n DOCs (grant agreement no.725765/ERC\rGermany\rAngew Chem Int Ed Engl. 2019 Jun 24;58(26):8819-8823. doi: 10.1002/anie.201903631. Epub 2019 May 17.","page":"8819-8823","title":"Transformation of a [4+6] Salicylbisimine Cage to Chemically Robust Amide Cages","type":"article-journal","volume":"58"},"uris":["http://www.mendeley.com/documents/?uuid=5bf70df6-a608-3da0-9671-86c2730f0cef"]}],"mendeley":{"formattedCitation":"&lt;sup&gt;22&lt;/sup&gt;","plainTextFormattedCitation":"22","previouslyFormattedCitation":"&lt;sup&gt;22&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22</w:t>
            </w:r>
            <w:r w:rsidRPr="00364B71">
              <w:rPr>
                <w:rFonts w:cs="Times New Roman"/>
                <w:sz w:val="20"/>
                <w:szCs w:val="20"/>
              </w:rPr>
              <w:fldChar w:fldCharType="end"/>
            </w:r>
          </w:p>
        </w:tc>
      </w:tr>
      <w:tr w:rsidR="007321E6" w:rsidRPr="007321E6" w14:paraId="73E3FC3C" w14:textId="77777777" w:rsidTr="00364B71">
        <w:tc>
          <w:tcPr>
            <w:tcW w:w="750" w:type="dxa"/>
          </w:tcPr>
          <w:p w14:paraId="24C035F6" w14:textId="77777777" w:rsidR="007321E6" w:rsidRPr="00364B71" w:rsidRDefault="007321E6" w:rsidP="00E82ADE">
            <w:pPr>
              <w:rPr>
                <w:rFonts w:cs="Times New Roman"/>
                <w:sz w:val="20"/>
                <w:szCs w:val="20"/>
              </w:rPr>
            </w:pPr>
            <w:r w:rsidRPr="00364B71">
              <w:rPr>
                <w:rFonts w:cs="Times New Roman"/>
                <w:sz w:val="20"/>
                <w:szCs w:val="20"/>
              </w:rPr>
              <w:t>15</w:t>
            </w:r>
          </w:p>
        </w:tc>
        <w:tc>
          <w:tcPr>
            <w:tcW w:w="1939" w:type="dxa"/>
          </w:tcPr>
          <w:p w14:paraId="7CE2DBE1" w14:textId="77777777" w:rsidR="007321E6" w:rsidRPr="00364B71" w:rsidRDefault="007321E6" w:rsidP="00E82ADE">
            <w:pPr>
              <w:rPr>
                <w:rFonts w:cs="Times New Roman"/>
                <w:sz w:val="20"/>
                <w:szCs w:val="20"/>
              </w:rPr>
            </w:pPr>
            <w:r w:rsidRPr="00364B71">
              <w:rPr>
                <w:rFonts w:cs="Times New Roman"/>
                <w:sz w:val="20"/>
                <w:szCs w:val="20"/>
              </w:rPr>
              <w:t>cage 2</w:t>
            </w:r>
          </w:p>
        </w:tc>
        <w:tc>
          <w:tcPr>
            <w:tcW w:w="1275" w:type="dxa"/>
          </w:tcPr>
          <w:p w14:paraId="261A4BD0"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59DB34D1" w14:textId="77777777" w:rsidR="007321E6" w:rsidRPr="00364B71" w:rsidRDefault="007321E6" w:rsidP="00E82ADE">
            <w:pPr>
              <w:rPr>
                <w:rFonts w:cs="Times New Roman"/>
                <w:sz w:val="20"/>
                <w:szCs w:val="20"/>
              </w:rPr>
            </w:pPr>
            <w:r w:rsidRPr="00364B71">
              <w:rPr>
                <w:rFonts w:cs="Times New Roman"/>
                <w:sz w:val="20"/>
                <w:szCs w:val="20"/>
              </w:rPr>
              <w:t>1375</w:t>
            </w:r>
          </w:p>
        </w:tc>
        <w:tc>
          <w:tcPr>
            <w:tcW w:w="1490" w:type="dxa"/>
          </w:tcPr>
          <w:p w14:paraId="49860FFD" w14:textId="77777777" w:rsidR="007321E6" w:rsidRPr="00364B71" w:rsidRDefault="007321E6" w:rsidP="00E82ADE">
            <w:pPr>
              <w:rPr>
                <w:rFonts w:cs="Times New Roman"/>
                <w:sz w:val="20"/>
                <w:szCs w:val="20"/>
              </w:rPr>
            </w:pPr>
            <w:r w:rsidRPr="00364B71">
              <w:rPr>
                <w:rFonts w:cs="Times New Roman"/>
                <w:sz w:val="20"/>
                <w:szCs w:val="20"/>
              </w:rPr>
              <w:t>2.1</w:t>
            </w:r>
          </w:p>
        </w:tc>
        <w:tc>
          <w:tcPr>
            <w:tcW w:w="1282" w:type="dxa"/>
          </w:tcPr>
          <w:p w14:paraId="3720437D" w14:textId="6302D59F"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{"citationItems":[{"id":"ITEM-1","itemData":{"DOI":"10.1002/anie.201005301","ISSN":"14337851","abstract":"Preference for polar adsorbates: The crystalline porous organic cage compound shown has an exceptional high surface area (1566 m2ag -1) and selective gas uptake. The compound preferably adsorbs CO 2 (9.4 wta%) over methane (0.98 wta%). © 2010 Wiley-VCH Verlag GmbH &amp; Co. KGaA, Weinheim.","author":[{"dropping-particle":"","family":"Mastalerz","given":"Michael","non-dropping-particle":"","parse-names":false,"suffix":""},{"dropping-particle":"","family":"Schneider","given":"Markus W.","non-dropping-particle":"","parse-names":false,"suffix":""},{"dropping-particle":"","family":"Oppel","given":"Iris M.","non-dropping-particle":"","parse-names":false,"suffix":""},{"dropping-particle":"","family":"Presly","given":"Oliver","non-dropping-particle":"","parse-names":false,"suffix":""}],"container-title":"Angewandte Chemie - International Edition","id":"ITEM-1","issue":"5","issued":{"date-parts":[["2011"]]},"page":"1046-1051","title":"A salicylbisimine cage compound with high surface area and selective CO2/CH4 adsorption","type":"article-journal","volume":"50"},"uris":["http://www.mendeley.com/documents/?uuid=cbbf5ed4-5e65-3c21-8e57-15140157e3af","http://www.mendeley.com/documents/?uuid=9bf886f3-9131-4029-b2e6-6824fc143540"]}],"mendeley":{"formattedCitation":"&lt;sup&gt;23&lt;/sup&gt;","plainTextFormattedCitation":"23","previouslyFormattedCitation":"&lt;sup&gt;23&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23</w:t>
            </w:r>
            <w:r w:rsidRPr="00364B71">
              <w:rPr>
                <w:rFonts w:cs="Times New Roman"/>
                <w:sz w:val="20"/>
                <w:szCs w:val="20"/>
              </w:rPr>
              <w:fldChar w:fldCharType="end"/>
            </w:r>
          </w:p>
        </w:tc>
      </w:tr>
      <w:tr w:rsidR="007321E6" w:rsidRPr="007321E6" w14:paraId="5E365095" w14:textId="77777777" w:rsidTr="00364B71">
        <w:tc>
          <w:tcPr>
            <w:tcW w:w="750" w:type="dxa"/>
          </w:tcPr>
          <w:p w14:paraId="3A8D9B0A" w14:textId="77777777" w:rsidR="007321E6" w:rsidRPr="00364B71" w:rsidRDefault="007321E6" w:rsidP="00E82ADE">
            <w:pPr>
              <w:rPr>
                <w:rFonts w:cs="Times New Roman"/>
                <w:sz w:val="20"/>
                <w:szCs w:val="20"/>
              </w:rPr>
            </w:pPr>
            <w:r w:rsidRPr="00364B71">
              <w:rPr>
                <w:rFonts w:cs="Times New Roman"/>
                <w:sz w:val="20"/>
                <w:szCs w:val="20"/>
              </w:rPr>
              <w:t>16</w:t>
            </w:r>
          </w:p>
        </w:tc>
        <w:tc>
          <w:tcPr>
            <w:tcW w:w="1939" w:type="dxa"/>
          </w:tcPr>
          <w:p w14:paraId="65818FE5" w14:textId="77777777" w:rsidR="007321E6" w:rsidRPr="00364B71" w:rsidRDefault="007321E6" w:rsidP="00E82ADE">
            <w:pPr>
              <w:rPr>
                <w:rFonts w:cs="Times New Roman"/>
                <w:sz w:val="20"/>
                <w:szCs w:val="20"/>
              </w:rPr>
            </w:pPr>
            <w:r w:rsidRPr="00364B71">
              <w:rPr>
                <w:rFonts w:cs="Times New Roman"/>
                <w:sz w:val="20"/>
                <w:szCs w:val="20"/>
              </w:rPr>
              <w:t>cage 4</w:t>
            </w:r>
          </w:p>
        </w:tc>
        <w:tc>
          <w:tcPr>
            <w:tcW w:w="1275" w:type="dxa"/>
          </w:tcPr>
          <w:p w14:paraId="367A260C" w14:textId="77777777" w:rsidR="007321E6" w:rsidRPr="00364B71" w:rsidRDefault="007321E6" w:rsidP="00E82ADE">
            <w:pPr>
              <w:rPr>
                <w:rFonts w:cs="Times New Roman"/>
                <w:sz w:val="20"/>
                <w:szCs w:val="20"/>
              </w:rPr>
            </w:pPr>
            <w:r w:rsidRPr="00364B71">
              <w:rPr>
                <w:rFonts w:cs="Times New Roman"/>
                <w:sz w:val="20"/>
                <w:szCs w:val="20"/>
              </w:rPr>
              <w:t>amide</w:t>
            </w:r>
          </w:p>
        </w:tc>
        <w:tc>
          <w:tcPr>
            <w:tcW w:w="1560" w:type="dxa"/>
          </w:tcPr>
          <w:p w14:paraId="07127CBE" w14:textId="77777777" w:rsidR="007321E6" w:rsidRPr="00364B71" w:rsidRDefault="007321E6" w:rsidP="00E82ADE">
            <w:pPr>
              <w:rPr>
                <w:rFonts w:cs="Times New Roman"/>
                <w:sz w:val="20"/>
                <w:szCs w:val="20"/>
              </w:rPr>
            </w:pPr>
            <w:r w:rsidRPr="00364B71">
              <w:rPr>
                <w:rFonts w:cs="Times New Roman"/>
                <w:sz w:val="20"/>
                <w:szCs w:val="20"/>
              </w:rPr>
              <w:t>275</w:t>
            </w:r>
          </w:p>
        </w:tc>
        <w:tc>
          <w:tcPr>
            <w:tcW w:w="1490" w:type="dxa"/>
          </w:tcPr>
          <w:p w14:paraId="6B484B74" w14:textId="77777777" w:rsidR="007321E6" w:rsidRPr="00364B71" w:rsidRDefault="007321E6" w:rsidP="00E82ADE">
            <w:pPr>
              <w:rPr>
                <w:rFonts w:cs="Times New Roman"/>
                <w:sz w:val="20"/>
                <w:szCs w:val="20"/>
              </w:rPr>
            </w:pPr>
            <w:r w:rsidRPr="00364B71">
              <w:rPr>
                <w:rFonts w:cs="Times New Roman"/>
                <w:sz w:val="20"/>
                <w:szCs w:val="20"/>
              </w:rPr>
              <w:t>2.14</w:t>
            </w:r>
          </w:p>
        </w:tc>
        <w:tc>
          <w:tcPr>
            <w:tcW w:w="1282" w:type="dxa"/>
          </w:tcPr>
          <w:p w14:paraId="4F839774" w14:textId="07718D09"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{"citationItems":[{"id":"ITEM-1","itemData":{"DOI":"10.1002/anie.201903631","ISSN":"15213773","PMID":"30964597","abstract":"In recent years, interest in shape-persistent organic cage compounds has steadily increased, not least because dynamic covalent bond formation enables such structures to be made in high to excellent yields. One often used type of dynamic bond formation is the generation of an imine bond from an aldehyde and an amine. Although the reversibility of the imine bond formation is advantageous for high yields, it is disadvantageous for the chemical stability of the compounds. Amide bonds are, in contrast to imine bonds much more robust. Shape-persistent amide cages have so far been made by irreversible amide bond formations in multiple steps, very often accompanied by low yields. Here, we present an approach to shape-persistent amide cages by exploiting a high-yielding reversible cage formation in the first step, and a Pinnick oxidation as a key step to access the amide cages in just three steps. These chemically robust amide cages can be further transformed by bromination or nitration to allow post-functionalization in high yields. The impact of the substituents on the gas sorption behavior was also investigated.","author":[{"dropping-particle":"","family":"Bhat","given":"Avinash S.","non-dropping-particle":"","parse-names":false,"suffix":""},{"dropping-particle":"","family":"Elbert","given":"Sven M.","non-dropping-particle":"","parse-names":false,"suffix":""},{"dropping-particle":"","family":"Zhang","given":"Wen Shan","non-dropping-particle":"","parse-names":false,"suffix":""},{"dropping-particle":"","family":"Rominger","given":"Frank","non-dropping-particle":"","parse-names":false,"suffix":""},{"dropping-particle":"","family":"Dieckmann","given":"Michael","non-dropping-particle":"","parse-names":false,"suffix":""},{"dropping-particle":"","family":"Schröder","given":"Rasmus R.","non-dropping-particle":"","parse-names":false,"suffix":""},{"dropping-particle":"","family":"Mastalerz","given":"Michael","non-dropping-particle":"","parse-names":false,"suffix":""}],"container-title":"Angewandte Chemie - International Edition","edition":"2019/04/10","id":"ITEM-1","issue":"26","issued":{"date-parts":[["2019"]]},"note":"Bhat, Avinash S\rElbert, Sven M\rZhang, Wen-Shan\rRominger, Frank\rDieckmann, Michael\rSchroder, Rasmus R\rMastalerz, Michael\reng\rCaTs n DOCs (grant agreement no.725765/ERC\rGermany\rAngew Chem Int Ed Engl. 2019 Jun 24;58(26):8819-8823. doi: 10.1002/anie.201903631. Epub 2019 May 17.","page":"8819-8823","title":"Transformation of a [4+6] Salicylbisimine Cage to Chemically Robust Amide Cages","type":"article-journal","volume":"58"},"uris":["http://www.mendeley.com/documents/?uuid=5bf70df6-a608-3da0-9671-86c2730f0cef"]}],"mendeley":{"formattedCitation":"&lt;sup&gt;22&lt;/sup&gt;","plainTextFormattedCitation":"22","previouslyFormattedCitation":"&lt;sup&gt;22&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22</w:t>
            </w:r>
            <w:r w:rsidRPr="00364B71">
              <w:rPr>
                <w:rFonts w:cs="Times New Roman"/>
                <w:sz w:val="20"/>
                <w:szCs w:val="20"/>
              </w:rPr>
              <w:fldChar w:fldCharType="end"/>
            </w:r>
          </w:p>
        </w:tc>
      </w:tr>
      <w:tr w:rsidR="007321E6" w:rsidRPr="007321E6" w14:paraId="5794B86C" w14:textId="77777777" w:rsidTr="00364B71">
        <w:tc>
          <w:tcPr>
            <w:tcW w:w="750" w:type="dxa"/>
          </w:tcPr>
          <w:p w14:paraId="2EA87946" w14:textId="77777777" w:rsidR="007321E6" w:rsidRPr="00364B71" w:rsidRDefault="007321E6" w:rsidP="00E82ADE">
            <w:pPr>
              <w:rPr>
                <w:rFonts w:cs="Times New Roman"/>
                <w:sz w:val="20"/>
                <w:szCs w:val="20"/>
              </w:rPr>
            </w:pPr>
            <w:r w:rsidRPr="00364B71">
              <w:rPr>
                <w:rFonts w:cs="Times New Roman"/>
                <w:sz w:val="20"/>
                <w:szCs w:val="20"/>
              </w:rPr>
              <w:t>17</w:t>
            </w:r>
          </w:p>
        </w:tc>
        <w:tc>
          <w:tcPr>
            <w:tcW w:w="1939" w:type="dxa"/>
          </w:tcPr>
          <w:p w14:paraId="10413173" w14:textId="77777777" w:rsidR="007321E6" w:rsidRPr="00364B71" w:rsidRDefault="007321E6" w:rsidP="00E82ADE">
            <w:pPr>
              <w:rPr>
                <w:rFonts w:cs="Times New Roman"/>
                <w:sz w:val="20"/>
                <w:szCs w:val="20"/>
              </w:rPr>
            </w:pPr>
            <w:r w:rsidRPr="00364B71">
              <w:rPr>
                <w:rFonts w:cs="Times New Roman"/>
                <w:sz w:val="20"/>
                <w:szCs w:val="20"/>
              </w:rPr>
              <w:t>CC3-RScore/CC19-</w:t>
            </w:r>
          </w:p>
          <w:p w14:paraId="3012B30A" w14:textId="77777777" w:rsidR="007321E6" w:rsidRPr="00364B71" w:rsidRDefault="007321E6" w:rsidP="00E82ADE">
            <w:pPr>
              <w:rPr>
                <w:rFonts w:cs="Times New Roman"/>
                <w:sz w:val="20"/>
                <w:szCs w:val="20"/>
              </w:rPr>
            </w:pPr>
            <w:proofErr w:type="spellStart"/>
            <w:r w:rsidRPr="00364B71">
              <w:rPr>
                <w:rFonts w:cs="Times New Roman"/>
                <w:sz w:val="20"/>
                <w:szCs w:val="20"/>
              </w:rPr>
              <w:t>RSshell</w:t>
            </w:r>
            <w:proofErr w:type="spellEnd"/>
            <w:r w:rsidRPr="00364B71">
              <w:rPr>
                <w:rFonts w:cs="Times New Roman"/>
                <w:sz w:val="20"/>
                <w:szCs w:val="20"/>
              </w:rPr>
              <w:t xml:space="preserve"> – 3 </w:t>
            </w:r>
            <w:proofErr w:type="gramStart"/>
            <w:r w:rsidRPr="00364B71">
              <w:rPr>
                <w:rFonts w:cs="Times New Roman"/>
                <w:sz w:val="20"/>
                <w:szCs w:val="20"/>
              </w:rPr>
              <w:t>um</w:t>
            </w:r>
            <w:proofErr w:type="gramEnd"/>
          </w:p>
        </w:tc>
        <w:tc>
          <w:tcPr>
            <w:tcW w:w="1275" w:type="dxa"/>
          </w:tcPr>
          <w:p w14:paraId="586B4B31"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2730785C" w14:textId="77777777" w:rsidR="007321E6" w:rsidRPr="00364B71" w:rsidRDefault="007321E6" w:rsidP="00E82ADE">
            <w:pPr>
              <w:rPr>
                <w:rFonts w:cs="Times New Roman"/>
                <w:sz w:val="20"/>
                <w:szCs w:val="20"/>
              </w:rPr>
            </w:pPr>
            <w:r w:rsidRPr="00364B71">
              <w:rPr>
                <w:rFonts w:cs="Times New Roman"/>
                <w:sz w:val="20"/>
                <w:szCs w:val="20"/>
              </w:rPr>
              <w:t>539</w:t>
            </w:r>
          </w:p>
        </w:tc>
        <w:tc>
          <w:tcPr>
            <w:tcW w:w="1490" w:type="dxa"/>
          </w:tcPr>
          <w:p w14:paraId="098627EF" w14:textId="77777777" w:rsidR="007321E6" w:rsidRPr="00364B71" w:rsidRDefault="007321E6" w:rsidP="00E82ADE">
            <w:pPr>
              <w:rPr>
                <w:rFonts w:cs="Times New Roman"/>
                <w:sz w:val="20"/>
                <w:szCs w:val="20"/>
              </w:rPr>
            </w:pPr>
            <w:r w:rsidRPr="00364B71">
              <w:rPr>
                <w:rFonts w:cs="Times New Roman"/>
                <w:sz w:val="20"/>
                <w:szCs w:val="20"/>
              </w:rPr>
              <w:t>2.26</w:t>
            </w:r>
          </w:p>
        </w:tc>
        <w:tc>
          <w:tcPr>
            <w:tcW w:w="1282" w:type="dxa"/>
          </w:tcPr>
          <w:p w14:paraId="7AB6AC60" w14:textId="00C7E0E2"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{"citationItems":[{"id":"ITEM-1","itemData":{"DOI":"10.1002/anie.201803244","ISSN":"15213773","PMID":"29888555","abstract":"The first examples of core–shell porous molecular crystals are described. The physical properties of the core–shell crystals, such as surface hydrophobicity, CO2 /CH4 selectivity, are controlled by the chemical composition of the shell. This shows that porous core–shell molecular crystals can exhibit synergistic properties that out-perform materials built from the individual, constituent molecules.","author":[{"dropping-particle":"","family":"Jiang","given":"Shan","non-dropping-particle":"","parse-names":false,"suffix":""},{"dropping-particle":"","family":"Du","given":"Yi","non-dropping-particle":"","parse-names":false,"suffix":""},{"dropping-particle":"","family":"Marcello","given":"Marco","non-dropping-particle":"","parse-names":false,"suffix":""},{"dropping-particle":"","family":"Corcoran","given":"Edward W.","non-dropping-particle":"","parse-names":false,"suffix":""},{"dropping-particle":"","family":"Calabro","given":"David C.","non-dropping-particle":"","parse-names":false,"suffix":""},{"dropping-particle":"","family":"Chong","given":"Samantha Y.","non-dropping-particle":"","parse-names":false,"suffix":""},{"dropping-particle":"","family":"Chen","given":"Linjiang","non-dropping-particle":"","parse-names":false,"suffix":""},{"dropping-particle":"","family":"Clowes","given":"Rob","non-dropping-particle":"","parse-names":false,"suffix":""},{"dropping-particle":"","family":"Hasell","given":"Tom","non-dropping-particle":"","parse-names":false,"suffix":""},{"dropping-particle":"","family":"Cooper","given":"Andrew I.","non-dropping-particle":"","parse-names":false,"suffix":""}],"container-title":"Angewandte Chemie - International Edition","id":"ITEM-1","issue":"35","issued":{"date-parts":[["2018"]]},"page":"11228-11232","title":"Core–Shell Crystals of Porous Organic Cages","type":"article-journal","volume":"57"},"uris":["http://www.mendeley.com/documents/?uuid=c8947da4-94d4-4259-917d-eeb1ad81f6a6","http://www.mendeley.com/documents/?uuid=dbef344a-521e-3e15-a8b3-978deb1c0a8d"]}],"mendeley":{"formattedCitation":"&lt;sup&gt;21&lt;/sup&gt;","plainTextFormattedCitation":"21","previouslyFormattedCitation":"&lt;sup&gt;21&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21</w:t>
            </w:r>
            <w:r w:rsidRPr="00364B71">
              <w:rPr>
                <w:rFonts w:cs="Times New Roman"/>
                <w:sz w:val="20"/>
                <w:szCs w:val="20"/>
              </w:rPr>
              <w:fldChar w:fldCharType="end"/>
            </w:r>
          </w:p>
        </w:tc>
      </w:tr>
      <w:tr w:rsidR="007321E6" w:rsidRPr="007321E6" w14:paraId="3D931B0B" w14:textId="77777777" w:rsidTr="00364B71">
        <w:tc>
          <w:tcPr>
            <w:tcW w:w="750" w:type="dxa"/>
          </w:tcPr>
          <w:p w14:paraId="0D68E7AC" w14:textId="77777777" w:rsidR="007321E6" w:rsidRPr="00364B71" w:rsidRDefault="007321E6" w:rsidP="00E82ADE">
            <w:pPr>
              <w:rPr>
                <w:rFonts w:cs="Times New Roman"/>
                <w:sz w:val="20"/>
                <w:szCs w:val="20"/>
              </w:rPr>
            </w:pPr>
            <w:r w:rsidRPr="00364B71">
              <w:rPr>
                <w:rFonts w:cs="Times New Roman"/>
                <w:sz w:val="20"/>
                <w:szCs w:val="20"/>
              </w:rPr>
              <w:t>18</w:t>
            </w:r>
          </w:p>
        </w:tc>
        <w:tc>
          <w:tcPr>
            <w:tcW w:w="1939" w:type="dxa"/>
          </w:tcPr>
          <w:p w14:paraId="0C8C7812" w14:textId="77777777" w:rsidR="007321E6" w:rsidRPr="00364B71" w:rsidRDefault="007321E6" w:rsidP="00E82ADE">
            <w:pPr>
              <w:rPr>
                <w:rFonts w:cs="Times New Roman"/>
                <w:sz w:val="20"/>
                <w:szCs w:val="20"/>
              </w:rPr>
            </w:pPr>
            <w:r w:rsidRPr="00364B71">
              <w:rPr>
                <w:rFonts w:cs="Times New Roman"/>
                <w:sz w:val="20"/>
                <w:szCs w:val="20"/>
              </w:rPr>
              <w:t>CC19-RS</w:t>
            </w:r>
          </w:p>
        </w:tc>
        <w:tc>
          <w:tcPr>
            <w:tcW w:w="1275" w:type="dxa"/>
          </w:tcPr>
          <w:p w14:paraId="03E70211"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5046EA24" w14:textId="77777777" w:rsidR="007321E6" w:rsidRPr="00364B71" w:rsidRDefault="007321E6" w:rsidP="00E82ADE">
            <w:pPr>
              <w:rPr>
                <w:rFonts w:cs="Times New Roman"/>
                <w:sz w:val="20"/>
                <w:szCs w:val="20"/>
              </w:rPr>
            </w:pPr>
            <w:r w:rsidRPr="00364B71">
              <w:rPr>
                <w:rFonts w:cs="Times New Roman"/>
                <w:sz w:val="20"/>
                <w:szCs w:val="20"/>
              </w:rPr>
              <w:t>500</w:t>
            </w:r>
          </w:p>
        </w:tc>
        <w:tc>
          <w:tcPr>
            <w:tcW w:w="1490" w:type="dxa"/>
          </w:tcPr>
          <w:p w14:paraId="4B91481C" w14:textId="77777777" w:rsidR="007321E6" w:rsidRPr="00364B71" w:rsidRDefault="007321E6" w:rsidP="00E82ADE">
            <w:pPr>
              <w:rPr>
                <w:rFonts w:cs="Times New Roman"/>
                <w:sz w:val="20"/>
                <w:szCs w:val="20"/>
              </w:rPr>
            </w:pPr>
            <w:r w:rsidRPr="00364B71">
              <w:rPr>
                <w:rFonts w:cs="Times New Roman"/>
                <w:sz w:val="20"/>
                <w:szCs w:val="20"/>
              </w:rPr>
              <w:t>2.39</w:t>
            </w:r>
          </w:p>
        </w:tc>
        <w:tc>
          <w:tcPr>
            <w:tcW w:w="1282" w:type="dxa"/>
          </w:tcPr>
          <w:p w14:paraId="1F883CA1" w14:textId="7C81790F"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{"citationItems":[{"id":"ITEM-1","itemData":{"DOI":"10.1002/anie.201803244","ISSN":"15213773","PMID":"29888555","abstract":"The first examples of core–shell porous molecular crystals are described. The physical properties of the core–shell crystals, such as surface hydrophobicity, CO2 /CH4 selectivity, are controlled by the chemical composition of the shell. This shows that porous core–shell molecular crystals can exhibit synergistic properties that out-perform materials built from the individual, constituent molecules.","author":[{"dropping-particle":"","family":"Jiang","given":"Shan","non-dropping-particle":"","parse-names":false,"suffix":""},{"dropping-particle":"","family":"Du","given":"Yi","non-dropping-particle":"","parse-names":false,"suffix":""},{"dropping-particle":"","family":"Marcello","given":"Marco","non-dropping-particle":"","parse-names":false,"suffix":""},{"dropping-particle":"","family":"Corcoran","given":"Edward W.","non-dropping-particle":"","parse-names":false,"suffix":""},{"dropping-particle":"","family":"Calabro","given":"David C.","non-dropping-particle":"","parse-names":false,"suffix":""},{"dropping-particle":"","family":"Chong","given":"Samantha Y.","non-dropping-particle":"","parse-names":false,"suffix":""},{"dropping-particle":"","family":"Chen","given":"Linjiang","non-dropping-particle":"","parse-names":false,"suffix":""},{"dropping-particle":"","family":"Clowes","given":"Rob","non-dropping-particle":"","parse-names":false,"suffix":""},{"dropping-particle":"","family":"Hasell","given":"Tom","non-dropping-particle":"","parse-names":false,"suffix":""},{"dropping-particle":"","family":"Cooper","given":"Andrew I.","non-dropping-particle":"","parse-names":false,"suffix":""}],"container-title":"Angewandte Chemie - International Edition","id":"ITEM-1","issue":"35","issued":{"date-parts":[["2018"]]},"page":"11228-11232","title":"Core–Shell Crystals of Porous Organic Cages","type":"article-journal","volume":"57"},"uris":["http://www.mendeley.com/documents/?uuid=c8947da4-94d4-4259-917d-eeb1ad81f6a6","http://www.mendeley.com/documents/?uuid=dbef344a-521e-3e15-a8b3-978deb1c0a8d"]}],"mendeley":{"formattedCitation":"&lt;sup&gt;21&lt;/sup&gt;","plainTextFormattedCitation":"21","previouslyFormattedCitation":"&lt;sup&gt;21&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21</w:t>
            </w:r>
            <w:r w:rsidRPr="00364B71">
              <w:rPr>
                <w:rFonts w:cs="Times New Roman"/>
                <w:sz w:val="20"/>
                <w:szCs w:val="20"/>
              </w:rPr>
              <w:fldChar w:fldCharType="end"/>
            </w:r>
          </w:p>
        </w:tc>
      </w:tr>
      <w:tr w:rsidR="007321E6" w:rsidRPr="007321E6" w14:paraId="28F4D9C1" w14:textId="77777777" w:rsidTr="00364B71">
        <w:tc>
          <w:tcPr>
            <w:tcW w:w="750" w:type="dxa"/>
          </w:tcPr>
          <w:p w14:paraId="0D0A2BA9" w14:textId="77777777" w:rsidR="007321E6" w:rsidRPr="00364B71" w:rsidRDefault="007321E6" w:rsidP="00E82ADE">
            <w:pPr>
              <w:rPr>
                <w:rFonts w:cs="Times New Roman"/>
                <w:sz w:val="20"/>
                <w:szCs w:val="20"/>
              </w:rPr>
            </w:pPr>
            <w:r w:rsidRPr="00364B71">
              <w:rPr>
                <w:rFonts w:cs="Times New Roman"/>
                <w:sz w:val="20"/>
                <w:szCs w:val="20"/>
              </w:rPr>
              <w:t>19</w:t>
            </w:r>
          </w:p>
        </w:tc>
        <w:tc>
          <w:tcPr>
            <w:tcW w:w="1939" w:type="dxa"/>
          </w:tcPr>
          <w:p w14:paraId="5A399EFA" w14:textId="77777777" w:rsidR="007321E6" w:rsidRPr="00364B71" w:rsidRDefault="007321E6" w:rsidP="00E82ADE">
            <w:pPr>
              <w:rPr>
                <w:rFonts w:cs="Times New Roman"/>
                <w:sz w:val="20"/>
                <w:szCs w:val="20"/>
              </w:rPr>
            </w:pPr>
            <w:r w:rsidRPr="00364B71">
              <w:rPr>
                <w:rFonts w:cs="Times New Roman"/>
                <w:sz w:val="20"/>
                <w:szCs w:val="20"/>
              </w:rPr>
              <w:t>CC3</w:t>
            </w:r>
          </w:p>
        </w:tc>
        <w:tc>
          <w:tcPr>
            <w:tcW w:w="1275" w:type="dxa"/>
          </w:tcPr>
          <w:p w14:paraId="6F94B994"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37A05E06" w14:textId="77777777" w:rsidR="007321E6" w:rsidRPr="00364B71" w:rsidRDefault="007321E6" w:rsidP="00E82ADE">
            <w:pPr>
              <w:rPr>
                <w:rFonts w:cs="Times New Roman"/>
                <w:sz w:val="20"/>
                <w:szCs w:val="20"/>
              </w:rPr>
            </w:pPr>
            <w:r w:rsidRPr="00364B71">
              <w:rPr>
                <w:rFonts w:cs="Times New Roman"/>
                <w:sz w:val="20"/>
                <w:szCs w:val="20"/>
              </w:rPr>
              <w:t>624</w:t>
            </w:r>
          </w:p>
        </w:tc>
        <w:tc>
          <w:tcPr>
            <w:tcW w:w="1490" w:type="dxa"/>
          </w:tcPr>
          <w:p w14:paraId="1E43DE61" w14:textId="77777777" w:rsidR="007321E6" w:rsidRPr="00364B71" w:rsidRDefault="007321E6" w:rsidP="00E82ADE">
            <w:pPr>
              <w:rPr>
                <w:rFonts w:cs="Times New Roman"/>
                <w:sz w:val="20"/>
                <w:szCs w:val="20"/>
              </w:rPr>
            </w:pPr>
            <w:r w:rsidRPr="00364B71">
              <w:rPr>
                <w:rFonts w:cs="Times New Roman"/>
                <w:sz w:val="20"/>
                <w:szCs w:val="20"/>
              </w:rPr>
              <w:t>2.47</w:t>
            </w:r>
          </w:p>
        </w:tc>
        <w:tc>
          <w:tcPr>
            <w:tcW w:w="1282" w:type="dxa"/>
          </w:tcPr>
          <w:p w14:paraId="2CB6ECAE" w14:textId="164C163B"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{"citationItems":[{"id":"ITEM-1","itemData":{"DOI":"10.1038/nmat2545","ISSN":"14764660","PMID":"19855385","abstract":"Porous materials are important in a wide range of applications including molecular separations and catalysis. We demonstrate that covalently bonded organic cages can assemble into crystalline microporous materials. The porosity is prefabricated and intrinsic to the molecular cage structure, as opposed to being formed by non-covalent self-assembly of non-porous sub-units. The three-dimensional connectivity between the cage windows is controlled by varying the chemical functionality such that either non-porous or permanently porous assemblies can be produced. Surface areas and gas uptakes for the latter exceed comparable molecular solids. One of the cages can be converted by recrystallization to produce either porous or non-porous polymorphs with apparent Brunauer-Emmett-Teller surface areas of 550 and 23 m 2 g 1, respectively. These results suggest design principles for responsive porous organic solids and for the modular construction of extended materials from prefabricated molecular pores. © 2009 Macmillan Publishers Limited. All rights reserved.","author":[{"dropping-particle":"","family":"Tozawa","given":"Tomokazu","non-dropping-particle":"","parse-names":false,"suffix":""},{"dropping-particle":"","family":"Jones","given":"James T.A.","non-dropping-particle":"","parse-names":false,"suffix":""},{"dropping-particle":"","family":"Swamy","given":"Shashikala I.","non-dropping-particle":"","parse-names":false,"suffix":""},{"dropping-particle":"","family":"Jiang","given":"Shan","non-dropping-particle":"","parse-names":false,"suffix":""},{"dropping-particle":"","family":"Adams","given":"Dave J.","non-dropping-particle":"","parse-names":false,"suffix":""},{"dropping-particle":"","family":"Shakespeare","given":"Stephen","non-dropping-particle":"","parse-names":false,"suffix":""},{"dropping-particle":"","family":"Clowes","given":"Rob","non-dropping-particle":"","parse-names":false,"suffix":""},{"dropping-particle":"","family":"Bradshaw","given":"Darren","non-dropping-particle":"","parse-names":false,"suffix":""},{"dropping-particle":"","family":"Hasell","given":"Tom","non-dropping-particle":"","parse-names":false,"suffix":""},{"dropping-particle":"","family":"Chong","given":"Samantha Y.","non-dropping-particle":"","parse-names":false,"suffix":""},{"dropping-particle":"","family":"Tang","given":"Chiu","non-dropping-particle":"","parse-names":false,"suffix":""},{"dropping-particle":"","family":"Thompson","given":"Stephen","non-dropping-particle":"","parse-names":false,"suffix":""},{"dropping-particle":"","family":"Parker","given":"Julia","non-dropping-particle":"","parse-names":false,"suffix":""},{"dropping-particle":"","family":"Trewin","given":"Abbie","non-dropping-particle":"","parse-names":false,"suffix":""},{"dropping-particle":"","family":"Bacsa","given":"John","non-dropping-particle":"","parse-names":false,"suffix":""},{"dropping-particle":"","family":"Slawin","given":"Alexandra M.Z.","non-dropping-particle":"","parse-names":false,"suffix":""},{"dropping-particle":"","family":"Steiner","given":"Alexander","non-dropping-particle":"","parse-names":false,"suffix":""},{"dropping-particle":"","family":"Cooper","given":"Andrew I.","non-dropping-particle":"","parse-names":false,"suffix":""}],"container-title":"Nature Materials","id":"ITEM-1","issue":"12","issued":{"date-parts":[["2009"]]},"note":"Tozawa, Tomokazu\rJones, James T A\rSwamy, Shashikala I\rJiang, Shan\rAdams, Dave J\rShakespeare, Stephen\rClowes, Rob\rBradshaw, Darren\rHasell, Tom\rChong, Samantha Y\rTang, Chiu\rThompson, Stephen\rParker, Julia\rTrewin, Abbie\rBacsa, John\rSlawin, Alexandra M Z\rSteiner, Alexander\rCooper, Andrew I\reng\rEngland\r2009/10/27 06:00\rNat Mater. 2009 Dec;8(12):973-8. doi: 10.1038/nmat2545. Epub 2009 Oct 25.","page":"973-978","title":"Porous organic cages","type":"article-journal","volume":"8"},"uris":["http://www.mendeley.com/documents/?uuid=c6b69964-4efb-3c0b-ae0e-5572a2e9e11f"]}],"mendeley":{"formattedCitation":"&lt;sup&gt;24&lt;/sup&gt;","plainTextFormattedCitation":"24","previouslyFormattedCitation":"&lt;sup&gt;24&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24</w:t>
            </w:r>
            <w:r w:rsidRPr="00364B71">
              <w:rPr>
                <w:rFonts w:cs="Times New Roman"/>
                <w:sz w:val="20"/>
                <w:szCs w:val="20"/>
              </w:rPr>
              <w:fldChar w:fldCharType="end"/>
            </w:r>
          </w:p>
        </w:tc>
      </w:tr>
      <w:tr w:rsidR="007321E6" w:rsidRPr="007321E6" w14:paraId="44CAB913" w14:textId="77777777" w:rsidTr="00364B71">
        <w:tc>
          <w:tcPr>
            <w:tcW w:w="750" w:type="dxa"/>
          </w:tcPr>
          <w:p w14:paraId="7AEBAD03" w14:textId="77777777" w:rsidR="007321E6" w:rsidRPr="00364B71" w:rsidRDefault="007321E6" w:rsidP="00E82ADE">
            <w:pPr>
              <w:rPr>
                <w:rFonts w:cs="Times New Roman"/>
                <w:sz w:val="20"/>
                <w:szCs w:val="20"/>
              </w:rPr>
            </w:pPr>
            <w:r w:rsidRPr="00364B71">
              <w:rPr>
                <w:rFonts w:cs="Times New Roman"/>
                <w:sz w:val="20"/>
                <w:szCs w:val="20"/>
              </w:rPr>
              <w:t>20</w:t>
            </w:r>
          </w:p>
        </w:tc>
        <w:tc>
          <w:tcPr>
            <w:tcW w:w="1939" w:type="dxa"/>
          </w:tcPr>
          <w:p w14:paraId="3E594C25" w14:textId="77777777" w:rsidR="007321E6" w:rsidRPr="00364B71" w:rsidRDefault="007321E6" w:rsidP="00E82ADE">
            <w:pPr>
              <w:rPr>
                <w:rFonts w:cs="Times New Roman"/>
                <w:sz w:val="20"/>
                <w:szCs w:val="20"/>
              </w:rPr>
            </w:pPr>
            <w:r w:rsidRPr="00364B71">
              <w:rPr>
                <w:rFonts w:cs="Times New Roman"/>
                <w:sz w:val="20"/>
                <w:szCs w:val="20"/>
              </w:rPr>
              <w:t>CC19-RScore/CC3-</w:t>
            </w:r>
          </w:p>
          <w:p w14:paraId="02CAF6CB" w14:textId="77777777" w:rsidR="007321E6" w:rsidRPr="00364B71" w:rsidRDefault="007321E6" w:rsidP="00E82ADE">
            <w:pPr>
              <w:rPr>
                <w:rFonts w:cs="Times New Roman"/>
                <w:sz w:val="20"/>
                <w:szCs w:val="20"/>
              </w:rPr>
            </w:pPr>
            <w:proofErr w:type="spellStart"/>
            <w:r w:rsidRPr="00364B71">
              <w:rPr>
                <w:rFonts w:cs="Times New Roman"/>
                <w:sz w:val="20"/>
                <w:szCs w:val="20"/>
              </w:rPr>
              <w:t>RSshell</w:t>
            </w:r>
            <w:proofErr w:type="spellEnd"/>
            <w:r w:rsidRPr="00364B71">
              <w:rPr>
                <w:rFonts w:cs="Times New Roman"/>
                <w:sz w:val="20"/>
                <w:szCs w:val="20"/>
              </w:rPr>
              <w:t xml:space="preserve"> – 3 </w:t>
            </w:r>
            <w:proofErr w:type="gramStart"/>
            <w:r w:rsidRPr="00364B71">
              <w:rPr>
                <w:rFonts w:cs="Times New Roman"/>
                <w:sz w:val="20"/>
                <w:szCs w:val="20"/>
              </w:rPr>
              <w:t>um</w:t>
            </w:r>
            <w:proofErr w:type="gramEnd"/>
          </w:p>
        </w:tc>
        <w:tc>
          <w:tcPr>
            <w:tcW w:w="1275" w:type="dxa"/>
          </w:tcPr>
          <w:p w14:paraId="3F6A8AEF"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7560CDB6" w14:textId="77777777" w:rsidR="007321E6" w:rsidRPr="00364B71" w:rsidRDefault="007321E6" w:rsidP="00E82ADE">
            <w:pPr>
              <w:rPr>
                <w:rFonts w:cs="Times New Roman"/>
                <w:sz w:val="20"/>
                <w:szCs w:val="20"/>
              </w:rPr>
            </w:pPr>
            <w:r w:rsidRPr="00364B71">
              <w:rPr>
                <w:rFonts w:cs="Times New Roman"/>
                <w:sz w:val="20"/>
                <w:szCs w:val="20"/>
              </w:rPr>
              <w:t>523</w:t>
            </w:r>
          </w:p>
        </w:tc>
        <w:tc>
          <w:tcPr>
            <w:tcW w:w="1490" w:type="dxa"/>
          </w:tcPr>
          <w:p w14:paraId="1DC0BCA0" w14:textId="77777777" w:rsidR="007321E6" w:rsidRPr="00364B71" w:rsidRDefault="007321E6" w:rsidP="00E82ADE">
            <w:pPr>
              <w:rPr>
                <w:rFonts w:cs="Times New Roman"/>
                <w:sz w:val="20"/>
                <w:szCs w:val="20"/>
              </w:rPr>
            </w:pPr>
            <w:r w:rsidRPr="00364B71">
              <w:rPr>
                <w:rFonts w:cs="Times New Roman"/>
                <w:sz w:val="20"/>
                <w:szCs w:val="20"/>
              </w:rPr>
              <w:t>2.55</w:t>
            </w:r>
          </w:p>
        </w:tc>
        <w:tc>
          <w:tcPr>
            <w:tcW w:w="1282" w:type="dxa"/>
          </w:tcPr>
          <w:p w14:paraId="06110332" w14:textId="193525C7" w:rsidR="007321E6" w:rsidRPr="00364B71" w:rsidRDefault="007321E6" w:rsidP="00E82ADE">
            <w:pPr>
              <w:rPr>
                <w:rFonts w:cs="Times New Roman"/>
                <w:sz w:val="20"/>
                <w:szCs w:val="20"/>
              </w:rPr>
            </w:pPr>
            <w:r w:rsidRPr="00364B71">
              <w:rPr>
                <w:rFonts w:cs="Times New Roman"/>
                <w:sz w:val="20"/>
                <w:szCs w:val="20"/>
              </w:rPr>
              <w:fldChar w:fldCharType="begin" w:fldLock="1"/>
            </w:r>
            <w:r w:rsidR="00A85C8F">
              <w:rPr>
                <w:rFonts w:cs="Times New Roman"/>
                <w:sz w:val="20"/>
                <w:szCs w:val="20"/>
              </w:rPr>
              <w:instrText>ADDIN CSL_CITATION {"citationItems":[{"id":"ITEM-1","itemData":{"DOI":"10.1002/anie.201803244","ISSN":"15213773","PMID":"29888555","abstract":"The first examples of core–shell porous molecular crystals are described. The physical properties of the core–shell crystals, such as surface hydrophobicity, CO2 /CH4 selectivity, are controlled by the chemical composition of the shell. This shows that porous core–shell molecular crystals can exhibit synergistic properties that out-perform materials built from the individual, constituent molecules.","author":[{"dropping-particle":"","family":"Jiang","given":"Shan","non-dropping-particle":"","parse-names":false,"suffix":""},{"dropping-particle":"","family":"Du","given":"Yi","non-dropping-particle":"","parse-names":false,"suffix":""},{"dropping-particle":"","family":"Marcello","given":"Marco","non-dropping-particle":"","parse-names":false,"suffix":""},{"dropping-particle":"","family":"Corcoran","given":"Edward W.","non-dropping-particle":"","parse-names":false,"suffix":""},{"dropping-particle":"","family":"Calabro","given":"David C.","non-dropping-particle":"","parse-names":false,"suffix":""},{"dropping-particle":"","family":"Chong","given":"Samantha Y.","non-dropping-particle":"","parse-names":false,"suffix":""},{"dropping-particle":"","family":"Chen","given":"Linjiang","non-dropping-particle":"","parse-names":false,"suffix":""},{"dropping-particle":"","family":"Clowes","given":"Rob","non-dropping-particle":"","parse-names":false,"suffix":""},{"dropping-particle":"","family":"Hasell","given":"Tom","non-dropping-particle":"","parse-names":false,"suffix":""},{"dropping-particle":"","family":"Cooper","given":"Andrew I.","non-dropping-particle":"","parse-names":false,"suffix":""}],"container-title":"Angewandte Chemie - International Edition","id":"ITEM-1","issue":"35","issued":{"date-parts":[["2018"]]},"page":"11228-11232","title":"Core–Shell Crystals of Porous Organic Cages","type":"article-journal","volume":"57"},"uris":["http://www.mendeley.com/documents/?uuid=c8947da4-94d4-4259-917d-eeb1ad81f6a6","http://www.mendeley.com/documents/?uuid=dbef344a-521e-3e15-a8b3-978deb1c0a8d"]}],"mendeley":{"formattedCitation":"&lt;sup&gt;21&lt;/sup&gt;","plainTextFormattedCitation":"21","previouslyFormattedCitation":"&lt;sup&gt;21&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21</w:t>
            </w:r>
            <w:r w:rsidRPr="00364B71">
              <w:rPr>
                <w:rFonts w:cs="Times New Roman"/>
                <w:sz w:val="20"/>
                <w:szCs w:val="20"/>
              </w:rPr>
              <w:fldChar w:fldCharType="end"/>
            </w:r>
          </w:p>
        </w:tc>
      </w:tr>
      <w:tr w:rsidR="007321E6" w:rsidRPr="007321E6" w14:paraId="24EA8380" w14:textId="77777777" w:rsidTr="007321E6">
        <w:tc>
          <w:tcPr>
            <w:tcW w:w="750" w:type="dxa"/>
          </w:tcPr>
          <w:p w14:paraId="008A2ACC" w14:textId="77777777" w:rsidR="007321E6" w:rsidRPr="00364B71" w:rsidRDefault="007321E6" w:rsidP="00E82ADE">
            <w:pPr>
              <w:rPr>
                <w:rFonts w:cs="Times New Roman"/>
                <w:sz w:val="20"/>
                <w:szCs w:val="20"/>
              </w:rPr>
            </w:pPr>
            <w:r w:rsidRPr="00364B71">
              <w:rPr>
                <w:rFonts w:cs="Times New Roman"/>
                <w:sz w:val="20"/>
                <w:szCs w:val="20"/>
              </w:rPr>
              <w:t>21</w:t>
            </w:r>
          </w:p>
        </w:tc>
        <w:tc>
          <w:tcPr>
            <w:tcW w:w="1939" w:type="dxa"/>
          </w:tcPr>
          <w:p w14:paraId="4F988590" w14:textId="77777777" w:rsidR="007321E6" w:rsidRPr="00364B71" w:rsidRDefault="007321E6" w:rsidP="00E82ADE">
            <w:pPr>
              <w:rPr>
                <w:rFonts w:cs="Times New Roman"/>
                <w:sz w:val="20"/>
                <w:szCs w:val="20"/>
              </w:rPr>
            </w:pPr>
            <w:r w:rsidRPr="00364B71">
              <w:rPr>
                <w:rFonts w:cs="Times New Roman"/>
                <w:sz w:val="20"/>
                <w:szCs w:val="20"/>
              </w:rPr>
              <w:t>cage 1</w:t>
            </w:r>
          </w:p>
        </w:tc>
        <w:tc>
          <w:tcPr>
            <w:tcW w:w="1275" w:type="dxa"/>
          </w:tcPr>
          <w:p w14:paraId="2948BAA9" w14:textId="1A38BB1B" w:rsidR="007321E6" w:rsidRPr="00364B71" w:rsidRDefault="00E043ED" w:rsidP="00E82ADE">
            <w:pPr>
              <w:rPr>
                <w:rFonts w:cs="Times New Roman"/>
                <w:sz w:val="20"/>
                <w:szCs w:val="20"/>
              </w:rPr>
            </w:pPr>
            <w:r>
              <w:rPr>
                <w:rFonts w:cs="Times New Roman"/>
                <w:sz w:val="20"/>
                <w:szCs w:val="20"/>
              </w:rPr>
              <w:t>ether</w:t>
            </w:r>
          </w:p>
        </w:tc>
        <w:tc>
          <w:tcPr>
            <w:tcW w:w="1560" w:type="dxa"/>
          </w:tcPr>
          <w:p w14:paraId="662DA010" w14:textId="77777777" w:rsidR="007321E6" w:rsidRPr="00364B71" w:rsidRDefault="007321E6" w:rsidP="00E82ADE">
            <w:pPr>
              <w:rPr>
                <w:rFonts w:cs="Times New Roman"/>
                <w:sz w:val="20"/>
                <w:szCs w:val="20"/>
              </w:rPr>
            </w:pPr>
            <w:r w:rsidRPr="00364B71">
              <w:rPr>
                <w:rFonts w:cs="Times New Roman"/>
                <w:sz w:val="20"/>
                <w:szCs w:val="20"/>
              </w:rPr>
              <w:t>432</w:t>
            </w:r>
          </w:p>
        </w:tc>
        <w:tc>
          <w:tcPr>
            <w:tcW w:w="1490" w:type="dxa"/>
          </w:tcPr>
          <w:p w14:paraId="7F626844" w14:textId="77777777" w:rsidR="007321E6" w:rsidRPr="00364B71" w:rsidRDefault="007321E6" w:rsidP="00E82ADE">
            <w:pPr>
              <w:rPr>
                <w:rFonts w:cs="Times New Roman"/>
                <w:sz w:val="20"/>
                <w:szCs w:val="20"/>
              </w:rPr>
            </w:pPr>
            <w:r w:rsidRPr="00364B71">
              <w:rPr>
                <w:rFonts w:cs="Times New Roman"/>
                <w:sz w:val="20"/>
                <w:szCs w:val="20"/>
              </w:rPr>
              <w:t>2.8</w:t>
            </w:r>
          </w:p>
        </w:tc>
        <w:tc>
          <w:tcPr>
            <w:tcW w:w="1282" w:type="dxa"/>
          </w:tcPr>
          <w:p w14:paraId="7D46EC77" w14:textId="501336E5"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{"citationItems":[{"id":"ITEM-1","itemData":{"DOI":"10.1002/anie.201502912","ISSN":"15213773","PMID":"26089125","abstract":"A quadrangular prismatic tricyclooxacalixarene cage 1 based on tetraphenylethylene (TPE) was efficiently synthesized by a one-pot S&lt;inf&gt;N&lt;/inf&gt;Ar condensation reaction. As a result of the porous internal structure in the solid state, cage 1 exhibited a good CO&lt;inf&gt;2&lt;/inf&gt; uptake capacity of 12.5 wt% and a high selectivity for CO&lt;inf&gt;2&lt;/inf&gt; over N&lt;inf&gt;2&lt;/inf&gt; adsorption of 80 (273 K, 1 bar) with a BET surface area of 432 m&lt;sup&gt;2&lt;/sup&gt;g&lt;sup&gt;-1&lt;/sup&gt;. Formation of cage 1 led to the fluorescence of TPE being switched on in solution. The system was employed as a single-molecule platform to study the mechanism of aggregation-induced emission (AIE) by examining the restriction of intramolecular rotation (RIR). Emissive porous cage: A tricyclooxacalixarene cage molecule based on triphenylethylene (TPE) was prepared. The porous internal structure of the system gave rise to a good CO&lt;inf&gt;2&lt;/inf&gt; uptake capacity and it showed a high selectivity for CO&lt;inf&gt;2&lt;/inf&gt; adsorption over N&lt;inf&gt;2&lt;/inf&gt;. The cage molecule exhibited TPE fluorescence in solution and was used as a single-molecule platform to investigate the mechanism of aggregation-induced emission in TPE. Atom colors: C=gray; N=blue; O=red.","author":[{"dropping-particle":"","family":"Zhang","given":"Chun","non-dropping-particle":"","parse-names":false,"suffix":""},{"dropping-particle":"","family":"Wang","given":"Zhen","non-dropping-particle":"","parse-names":false,"suffix":""},{"dropping-particle":"","family":"Tan","given":"Liangxiao","non-dropping-particle":"","parse-names":false,"suffix":""},{"dropping-particle":"","family":"Zhai","given":"Tian Long","non-dropping-particle":"","parse-names":false,"suffix":""},{"dropping-particle":"","family":"Wang","given":"Sheng","non-dropping-particle":"","parse-names":false,"suffix":""},{"dropping-particle":"","family":"Tan","given":"Bien","non-dropping-particle":"","parse-names":false,"suffix":""},{"dropping-particle":"","family":"Zheng","given":"Yan Song","non-dropping-particle":"","parse-names":false,"suffix":""},{"dropping-particle":"","family":"Yang","given":"Xiang Liang","non-dropping-particle":"","parse-names":false,"suffix":""},{"dropping-particle":"","family":"Xu","given":"Hui Bi","non-dropping-particle":"","parse-names":false,"suffix":""}],"container-title":"Angewandte Chemie - International Edition","edition":"2015/06/20","id":"ITEM-1","issue":"32","issued":{"date-parts":[["2015"]]},"note":"Zhang, Chun\rWang, Zhen\rTan, Liangxiao\rZhai, Tian-Long\rWang, Sheng\rTan, Bien\rZheng, Yan-Song\rYang, Xiang-Liang\rXu, Hui-Bi\reng\rResearch Support, Non-U.S. Gov't\rGermany\rAngew Chem Int Ed Engl. 2015 Aug 3;54(32):9244-8. doi: 10.1002/anie.201502912. Epub 2015 Jun 18.","page":"9244-9248","title":"A Porous Tricyclooxacalixarene Cage Based on Tetraphenylethylene","type":"article-journal","volume":"54"},"uris":["http://www.mendeley.com/documents/?uuid=caa0a4bd-5ad2-39c5-a726-f3c40cadb33d"]}],"mendeley":{"formattedCitation":"&lt;sup&gt;25&lt;/sup&gt;","plainTextFormattedCitation":"25","previouslyFormattedCitation":"&lt;sup&gt;25&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25</w:t>
            </w:r>
            <w:r w:rsidRPr="00364B71">
              <w:rPr>
                <w:rFonts w:cs="Times New Roman"/>
                <w:sz w:val="20"/>
                <w:szCs w:val="20"/>
              </w:rPr>
              <w:fldChar w:fldCharType="end"/>
            </w:r>
          </w:p>
        </w:tc>
      </w:tr>
      <w:tr w:rsidR="007321E6" w:rsidRPr="007321E6" w14:paraId="10CD4CC1" w14:textId="77777777" w:rsidTr="007321E6">
        <w:tc>
          <w:tcPr>
            <w:tcW w:w="750" w:type="dxa"/>
          </w:tcPr>
          <w:p w14:paraId="53C37920" w14:textId="77777777" w:rsidR="007321E6" w:rsidRPr="00364B71" w:rsidRDefault="007321E6" w:rsidP="00E82ADE">
            <w:pPr>
              <w:rPr>
                <w:rFonts w:cs="Times New Roman"/>
                <w:sz w:val="20"/>
                <w:szCs w:val="20"/>
              </w:rPr>
            </w:pPr>
            <w:r w:rsidRPr="00364B71">
              <w:rPr>
                <w:rFonts w:cs="Times New Roman"/>
                <w:sz w:val="20"/>
                <w:szCs w:val="20"/>
              </w:rPr>
              <w:t>22</w:t>
            </w:r>
          </w:p>
        </w:tc>
        <w:tc>
          <w:tcPr>
            <w:tcW w:w="1939" w:type="dxa"/>
          </w:tcPr>
          <w:p w14:paraId="0D0AA03D" w14:textId="77777777" w:rsidR="007321E6" w:rsidRPr="00364B71" w:rsidRDefault="007321E6" w:rsidP="00E82ADE">
            <w:pPr>
              <w:rPr>
                <w:rFonts w:cs="Times New Roman"/>
                <w:sz w:val="20"/>
                <w:szCs w:val="20"/>
              </w:rPr>
            </w:pPr>
            <w:r w:rsidRPr="00364B71">
              <w:rPr>
                <w:rFonts w:cs="Times New Roman"/>
                <w:sz w:val="20"/>
                <w:szCs w:val="20"/>
              </w:rPr>
              <w:t>CC2</w:t>
            </w:r>
          </w:p>
        </w:tc>
        <w:tc>
          <w:tcPr>
            <w:tcW w:w="1275" w:type="dxa"/>
          </w:tcPr>
          <w:p w14:paraId="6BB1EEF1"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242888E4" w14:textId="77777777" w:rsidR="007321E6" w:rsidRPr="00364B71" w:rsidRDefault="007321E6" w:rsidP="00E82ADE">
            <w:pPr>
              <w:rPr>
                <w:rFonts w:cs="Times New Roman"/>
                <w:sz w:val="20"/>
                <w:szCs w:val="20"/>
              </w:rPr>
            </w:pPr>
            <w:r w:rsidRPr="00364B71">
              <w:rPr>
                <w:rFonts w:cs="Times New Roman"/>
                <w:sz w:val="20"/>
                <w:szCs w:val="20"/>
              </w:rPr>
              <w:t>533</w:t>
            </w:r>
          </w:p>
        </w:tc>
        <w:tc>
          <w:tcPr>
            <w:tcW w:w="1490" w:type="dxa"/>
          </w:tcPr>
          <w:p w14:paraId="421857B0" w14:textId="77777777" w:rsidR="007321E6" w:rsidRPr="00364B71" w:rsidRDefault="007321E6" w:rsidP="00E82ADE">
            <w:pPr>
              <w:rPr>
                <w:rFonts w:cs="Times New Roman"/>
                <w:sz w:val="20"/>
                <w:szCs w:val="20"/>
              </w:rPr>
            </w:pPr>
            <w:r w:rsidRPr="00364B71">
              <w:rPr>
                <w:rFonts w:cs="Times New Roman"/>
                <w:sz w:val="20"/>
                <w:szCs w:val="20"/>
              </w:rPr>
              <w:t>3</w:t>
            </w:r>
          </w:p>
        </w:tc>
        <w:tc>
          <w:tcPr>
            <w:tcW w:w="1282" w:type="dxa"/>
          </w:tcPr>
          <w:p w14:paraId="3AE8D201" w14:textId="6DB1203B"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{"citationItems":[{"id":"ITEM-1","itemData":{"DOI":"10.1038/nmat2545","ISSN":"14764660","PMID":"19855385","abstract":"Porous materials are important in a wide range of applications including molecular separations and catalysis. We demonstrate that covalently bonded organic cages can assemble into crystalline microporous materials. The porosity is prefabricated and intrinsic to the molecular cage structure, as opposed to being formed by non-covalent self-assembly of non-porous sub-units. The three-dimensional connectivity between the cage windows is controlled by varying the chemical functionality such that either non-porous or permanently porous assemblies can be produced. Surface areas and gas uptakes for the latter exceed comparable molecular solids. One of the cages can be converted by recrystallization to produce either porous or non-porous polymorphs with apparent Brunauer-Emmett-Teller surface areas of 550 and 23 m 2 g 1, respectively. These results suggest design principles for responsive porous organic solids and for the modular construction of extended materials from prefabricated molecular pores. © 2009 Macmillan Publishers Limited. All rights reserved.","author":[{"dropping-particle":"","family":"Tozawa","given":"Tomokazu","non-dropping-particle":"","parse-names":false,"suffix":""},{"dropping-particle":"","family":"Jones","given":"James T.A.","non-dropping-particle":"","parse-names":false,"suffix":""},{"dropping-particle":"","family":"Swamy","given":"Shashikala I.","non-dropping-particle":"","parse-names":false,"suffix":""},{"dropping-particle":"","family":"Jiang","given":"Shan","non-dropping-particle":"","parse-names":false,"suffix":""},{"dropping-particle":"","family":"Adams","given":"Dave J.","non-dropping-particle":"","parse-names":false,"suffix":""},{"dropping-particle":"","family":"Shakespeare","given":"Stephen","non-dropping-particle":"","parse-names":false,"suffix":""},{"dropping-particle":"","family":"Clowes","given":"Rob","non-dropping-particle":"","parse-names":false,"suffix":""},{"dropping-particle":"","family":"Bradshaw","given":"Darren","non-dropping-particle":"","parse-names":false,"suffix":""},{"dropping-particle":"","family":"Hasell","given":"Tom","non-dropping-particle":"","parse-names":false,"suffix":""},{"dropping-particle":"","family":"Chong","given":"Samantha Y.","non-dropping-particle":"","parse-names":false,"suffix":""},{"dropping-particle":"","family":"Tang","given":"Chiu","non-dropping-particle":"","parse-names":false,"suffix":""},{"dropping-particle":"","family":"Thompson","given":"Stephen","non-dropping-particle":"","parse-names":false,"suffix":""},{"dropping-particle":"","family":"Parker","given":"Julia","non-dropping-particle":"","parse-names":false,"suffix":""},{"dropping-particle":"","family":"Trewin","given":"Abbie","non-dropping-particle":"","parse-names":false,"suffix":""},{"dropping-particle":"","family":"Bacsa","given":"John","non-dropping-particle":"","parse-names":false,"suffix":""},{"dropping-particle":"","family":"Slawin","given":"Alexandra M.Z.","non-dropping-particle":"","parse-names":false,"suffix":""},{"dropping-particle":"","family":"Steiner","given":"Alexander","non-dropping-particle":"","parse-names":false,"suffix":""},{"dropping-particle":"","family":"Cooper","given":"Andrew I.","non-dropping-particle":"","parse-names":false,"suffix":""}],"container-title":"Nature Materials","id":"ITEM-1","issue":"12","issued":{"date-parts":[["2009"]]},"note":"Tozawa, Tomokazu\rJones, James T A\rSwamy, Shashikala I\rJiang, Shan\rAdams, Dave J\rShakespeare, Stephen\rClowes, Rob\rBradshaw, Darren\rHasell, Tom\rChong, Samantha Y\rTang, Chiu\rThompson, Stephen\rParker, Julia\rTrewin, Abbie\rBacsa, John\rSlawin, Alexandra M Z\rSteiner, Alexander\rCooper, Andrew I\reng\rEngland\r2009/10/27 06:00\rNat Mater. 2009 Dec;8(12):973-8. doi: 10.1038/nmat2545. Epub 2009 Oct 25.","page":"973-978","title":"Porous organic cages","type":"article-journal","volume":"8"},"uris":["http://www.mendeley.com/documents/?uuid=c6b69964-4efb-3c0b-ae0e-5572a2e9e11f"]}],"mendeley":{"formattedCitation":"&lt;sup&gt;24&lt;/sup&gt;","plainTextFormattedCitation":"24","previouslyFormattedCitation":"&lt;sup&gt;24&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24</w:t>
            </w:r>
            <w:r w:rsidRPr="00364B71">
              <w:rPr>
                <w:rFonts w:cs="Times New Roman"/>
                <w:sz w:val="20"/>
                <w:szCs w:val="20"/>
              </w:rPr>
              <w:fldChar w:fldCharType="end"/>
            </w:r>
          </w:p>
        </w:tc>
      </w:tr>
      <w:tr w:rsidR="007321E6" w:rsidRPr="007321E6" w14:paraId="7AC24721" w14:textId="77777777" w:rsidTr="007321E6">
        <w:tc>
          <w:tcPr>
            <w:tcW w:w="750" w:type="dxa"/>
          </w:tcPr>
          <w:p w14:paraId="2F063A2B" w14:textId="77777777" w:rsidR="007321E6" w:rsidRPr="00364B71" w:rsidRDefault="007321E6" w:rsidP="00E82ADE">
            <w:pPr>
              <w:rPr>
                <w:rFonts w:cs="Times New Roman"/>
                <w:sz w:val="20"/>
                <w:szCs w:val="20"/>
              </w:rPr>
            </w:pPr>
            <w:r w:rsidRPr="00364B71">
              <w:rPr>
                <w:rFonts w:cs="Times New Roman"/>
                <w:sz w:val="20"/>
                <w:szCs w:val="20"/>
              </w:rPr>
              <w:t>23</w:t>
            </w:r>
          </w:p>
        </w:tc>
        <w:tc>
          <w:tcPr>
            <w:tcW w:w="1939" w:type="dxa"/>
          </w:tcPr>
          <w:p w14:paraId="1CF243FD" w14:textId="77777777" w:rsidR="007321E6" w:rsidRPr="00364B71" w:rsidRDefault="007321E6" w:rsidP="00E82ADE">
            <w:pPr>
              <w:rPr>
                <w:rFonts w:cs="Times New Roman"/>
                <w:sz w:val="20"/>
                <w:szCs w:val="20"/>
              </w:rPr>
            </w:pPr>
            <w:r w:rsidRPr="00364B71">
              <w:rPr>
                <w:rFonts w:cs="Times New Roman"/>
                <w:sz w:val="20"/>
                <w:szCs w:val="20"/>
              </w:rPr>
              <w:t>3-Et-H</w:t>
            </w:r>
          </w:p>
        </w:tc>
        <w:tc>
          <w:tcPr>
            <w:tcW w:w="1275" w:type="dxa"/>
          </w:tcPr>
          <w:p w14:paraId="1526F583"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12A569B3" w14:textId="77777777" w:rsidR="007321E6" w:rsidRPr="00364B71" w:rsidRDefault="007321E6" w:rsidP="00E82ADE">
            <w:pPr>
              <w:rPr>
                <w:rFonts w:cs="Times New Roman"/>
                <w:sz w:val="20"/>
                <w:szCs w:val="20"/>
              </w:rPr>
            </w:pPr>
            <w:r w:rsidRPr="00364B71">
              <w:rPr>
                <w:rFonts w:cs="Times New Roman"/>
                <w:sz w:val="20"/>
                <w:szCs w:val="20"/>
              </w:rPr>
              <w:t>443</w:t>
            </w:r>
          </w:p>
        </w:tc>
        <w:tc>
          <w:tcPr>
            <w:tcW w:w="1490" w:type="dxa"/>
          </w:tcPr>
          <w:p w14:paraId="6ED4B9F6" w14:textId="77777777" w:rsidR="007321E6" w:rsidRPr="00364B71" w:rsidRDefault="007321E6" w:rsidP="00E82ADE">
            <w:pPr>
              <w:rPr>
                <w:rFonts w:cs="Times New Roman"/>
                <w:sz w:val="20"/>
                <w:szCs w:val="20"/>
              </w:rPr>
            </w:pPr>
            <w:r w:rsidRPr="00364B71">
              <w:rPr>
                <w:rFonts w:cs="Times New Roman"/>
                <w:sz w:val="20"/>
                <w:szCs w:val="20"/>
              </w:rPr>
              <w:t>3.14</w:t>
            </w:r>
          </w:p>
        </w:tc>
        <w:tc>
          <w:tcPr>
            <w:tcW w:w="1282" w:type="dxa"/>
          </w:tcPr>
          <w:p w14:paraId="71EF0C93" w14:textId="5BDB8BBC"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{"citationItems":[{"id":"ITEM-1","itemData":{"DOI":"10.1002/chem.201705713","ISSN":"15213765","PMID":"29272048","abstract":"The synthesis of shape-persistent organic cage compounds is often based on the usage of multiple dynamic covalent bond formation (such as imines) of readily available precursors. By careful choice of the precursors geometry, the geometry and size of the resulting cage can be accurately designed and indeed a number of different geometries and sizes have been realized to date. Despite of this fact, little is known about the precursors conformational rigidity and steric preorganization of reacting functional groups on the outcome of the reaction. Herein, the influence of conformational rigidity in the precursors on the formation of a [4+4] imine cage with truncated tetrahedral geometry is discussed.","author":[{"dropping-particle":"","family":"Lauer","given":"Jochen C.","non-dropping-particle":"","parse-names":false,"suffix":""},{"dropping-particle":"","family":"Zhang","given":"Wen Shan","non-dropping-particle":"","parse-names":false,"suffix":""},{"dropping-particle":"","family":"Rominger","given":"Frank","non-dropping-particle":"","parse-names":false,"suffix":""},{"dropping-particle":"","family":"Schröder","given":"Rasmus R.","non-dropping-particle":"","parse-names":false,"suffix":""},{"dropping-particle":"","family":"Mastalerz","given":"Michael","non-dropping-particle":"","parse-names":false,"suffix":""}],"container-title":"Chemistry - A European Journal","id":"ITEM-1","issue":"8","issued":{"date-parts":[["2018"]]},"note":"Lauer, Jochen C\rZhang, Wen-Shan\rRominger, Frank\rSchroder, Rasmus R\rMastalerz, Michael\reng\rGermany\rWeinheim an der Bergstrasse, Germany\r2017/12/23 06:00\rChemistry. 2018 Feb 6;24(8):1816-1820. doi: 10.1002/chem.201705713. Epub 2018 Jan 16.","page":"1816-1820","title":"Shape-Persistent [4+4] Imine Cages with a Truncated Tetrahedral Geometry","type":"article-journal","volume":"24"},"uris":["http://www.mendeley.com/documents/?uuid=34cb39c7-c78c-31f1-9333-1c9db9d00e43"]}],"mendeley":{"formattedCitation":"&lt;sup&gt;19&lt;/sup&gt;","plainTextFormattedCitation":"19","previouslyFormattedCitation":"&lt;sup&gt;19&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19</w:t>
            </w:r>
            <w:r w:rsidRPr="00364B71">
              <w:rPr>
                <w:rFonts w:cs="Times New Roman"/>
                <w:sz w:val="20"/>
                <w:szCs w:val="20"/>
              </w:rPr>
              <w:fldChar w:fldCharType="end"/>
            </w:r>
          </w:p>
        </w:tc>
      </w:tr>
      <w:tr w:rsidR="007321E6" w:rsidRPr="007321E6" w14:paraId="4F9ECC2A" w14:textId="77777777" w:rsidTr="007321E6">
        <w:tc>
          <w:tcPr>
            <w:tcW w:w="750" w:type="dxa"/>
          </w:tcPr>
          <w:p w14:paraId="0A2FB434" w14:textId="77777777" w:rsidR="007321E6" w:rsidRPr="00364B71" w:rsidRDefault="007321E6" w:rsidP="00E82ADE">
            <w:pPr>
              <w:rPr>
                <w:rFonts w:cs="Times New Roman"/>
                <w:sz w:val="20"/>
                <w:szCs w:val="20"/>
              </w:rPr>
            </w:pPr>
            <w:r w:rsidRPr="00364B71">
              <w:rPr>
                <w:rFonts w:cs="Times New Roman"/>
                <w:sz w:val="20"/>
                <w:szCs w:val="20"/>
              </w:rPr>
              <w:t>24</w:t>
            </w:r>
          </w:p>
        </w:tc>
        <w:tc>
          <w:tcPr>
            <w:tcW w:w="1939" w:type="dxa"/>
          </w:tcPr>
          <w:p w14:paraId="6320E211" w14:textId="77777777" w:rsidR="007321E6" w:rsidRPr="00364B71" w:rsidRDefault="007321E6" w:rsidP="00E82ADE">
            <w:pPr>
              <w:rPr>
                <w:rFonts w:cs="Times New Roman"/>
                <w:sz w:val="20"/>
                <w:szCs w:val="20"/>
              </w:rPr>
            </w:pPr>
            <w:r w:rsidRPr="00364B71">
              <w:rPr>
                <w:rFonts w:cs="Times New Roman"/>
                <w:sz w:val="20"/>
                <w:szCs w:val="20"/>
              </w:rPr>
              <w:t>PB-2</w:t>
            </w:r>
          </w:p>
        </w:tc>
        <w:tc>
          <w:tcPr>
            <w:tcW w:w="1275" w:type="dxa"/>
          </w:tcPr>
          <w:p w14:paraId="7F8D8256" w14:textId="77777777" w:rsidR="007321E6" w:rsidRPr="00364B71" w:rsidRDefault="007321E6" w:rsidP="00E82ADE">
            <w:pPr>
              <w:rPr>
                <w:rFonts w:cs="Times New Roman"/>
                <w:sz w:val="20"/>
                <w:szCs w:val="20"/>
              </w:rPr>
            </w:pPr>
            <w:r w:rsidRPr="00364B71">
              <w:rPr>
                <w:rFonts w:cs="Times New Roman"/>
                <w:sz w:val="20"/>
                <w:szCs w:val="20"/>
              </w:rPr>
              <w:t>imine</w:t>
            </w:r>
          </w:p>
        </w:tc>
        <w:tc>
          <w:tcPr>
            <w:tcW w:w="1560" w:type="dxa"/>
          </w:tcPr>
          <w:p w14:paraId="72CE071D" w14:textId="25FC5E9F" w:rsidR="007321E6" w:rsidRPr="00364B71" w:rsidRDefault="007321E6" w:rsidP="00E82ADE">
            <w:pPr>
              <w:rPr>
                <w:rFonts w:cs="Times New Roman"/>
                <w:sz w:val="20"/>
                <w:szCs w:val="20"/>
              </w:rPr>
            </w:pPr>
            <w:r w:rsidRPr="00364B71">
              <w:rPr>
                <w:rFonts w:cs="Times New Roman"/>
                <w:sz w:val="20"/>
                <w:szCs w:val="20"/>
              </w:rPr>
              <w:t>935</w:t>
            </w:r>
            <w:r w:rsidRPr="00364B71">
              <w:rPr>
                <w:rFonts w:cs="Times New Roman"/>
                <w:sz w:val="20"/>
                <w:szCs w:val="20"/>
                <w:vertAlign w:val="superscript"/>
              </w:rPr>
              <w:t>b</w:t>
            </w:r>
          </w:p>
        </w:tc>
        <w:tc>
          <w:tcPr>
            <w:tcW w:w="1490" w:type="dxa"/>
          </w:tcPr>
          <w:p w14:paraId="64F3D6B3" w14:textId="77777777" w:rsidR="007321E6" w:rsidRPr="00364B71" w:rsidRDefault="007321E6" w:rsidP="00E82ADE">
            <w:pPr>
              <w:rPr>
                <w:rFonts w:cs="Times New Roman"/>
                <w:sz w:val="20"/>
                <w:szCs w:val="20"/>
              </w:rPr>
            </w:pPr>
            <w:r w:rsidRPr="00364B71">
              <w:rPr>
                <w:rFonts w:cs="Times New Roman"/>
                <w:sz w:val="20"/>
                <w:szCs w:val="20"/>
              </w:rPr>
              <w:t>3.31</w:t>
            </w:r>
          </w:p>
        </w:tc>
        <w:tc>
          <w:tcPr>
            <w:tcW w:w="1282" w:type="dxa"/>
          </w:tcPr>
          <w:p w14:paraId="798071E8" w14:textId="272BF9A8" w:rsidR="007321E6" w:rsidRPr="00364B71" w:rsidRDefault="007321E6" w:rsidP="00E82ADE">
            <w:pPr>
              <w:rPr>
                <w:rFonts w:cs="Times New Roman"/>
                <w:sz w:val="20"/>
                <w:szCs w:val="20"/>
              </w:rPr>
            </w:pPr>
            <w:r w:rsidRPr="00364B71">
              <w:rPr>
                <w:rFonts w:cs="Times New Roman"/>
                <w:sz w:val="20"/>
                <w:szCs w:val="20"/>
              </w:rPr>
              <w:fldChar w:fldCharType="begin" w:fldLock="1"/>
            </w:r>
            <w:r w:rsidR="007944FF">
              <w:rPr>
                <w:rFonts w:cs="Times New Roman"/>
                <w:sz w:val="20"/>
                <w:szCs w:val="20"/>
              </w:rPr>
              <w:instrText>ADDIN CSL_CITATION {"citationItems":[{"id":"ITEM-1","itemData":{"DOI":"10.1002/anie.201505531","ISSN":"15213773","abstract":"The porphyrin boxes (PB-1 and PB-2), which are rationally designed porous organic cages with a large cavity using well-defined and rigid 3-connected triangular and 4-connected square shaped building units are reported. PB-1 has a cavity as large as 1.95 nm in diameter and shows high chemical stability in a broad pH range (4.8 to 13) in aqueous media. The crystalline nature as well as cavity structure of the shape-persistent organic cage crystals were intact even after complete removal of guest molecules, leading to one of the highest surface areas (1370 m2g-1) among the known porous organic molecular solids. The size of the cavities and windows of the porous organic cages can be modulated using different sized building units while maintaining the topology of the cages, as illustrated with PB-2. Interestingly, PB-2 crystals showed unusual N2 sorption isotherms as well as high selectivity for CO2 over N2 and CH4 (201 and 47.9, respectively at 273 K at 1 bar).","author":[{"dropping-particle":"","family":"Hong","given":"Soonsang","non-dropping-particle":"","parse-names":false,"suffix":""},{"dropping-particle":"","family":"Rohman","given":"Md Rumum","non-dropping-particle":"","parse-names":false,"suffix":""},{"dropping-particle":"","family":"Jia","given":"Jiangtao","non-dropping-particle":"","parse-names":false,"suffix":""},{"dropping-particle":"","family":"Kim","given":"Youngkook","non-dropping-particle":"","parse-names":false,"suffix":""},{"dropping-particle":"","family":"Moon","given":"Dohyun","non-dropping-particle":"","parse-names":false,"suffix":""},{"dropping-particle":"","family":"Kim","given":"Yonghwi","non-dropping-particle":"","parse-names":false,"suffix":""},{"dropping-particle":"","family":"Ko","given":"Young Ho","non-dropping-particle":"","parse-names":false,"suffix":""},{"dropping-particle":"","family":"Lee","given":"Eunsung","non-dropping-particle":"","parse-names":false,"suffix":""},{"dropping-particle":"","family":"Kim","given":"Kimoon","non-dropping-particle":"","parse-names":false,"suffix":""}],"container-title":"Angewandte Chemie - International Edition","id":"ITEM-1","issue":"45","issued":{"date-parts":[["2015"]]},"page":"13241-13244","title":"Porphyrin Boxes: Rationally Designed Porous Organic Cages","type":"article-journal","volume":"54"},"uris":["http://www.mendeley.com/documents/?uuid=f8cbdf53-34d5-373b-b255-cf3e3fef412f"]}],"mendeley":{"formattedCitation":"&lt;sup&gt;18&lt;/sup&gt;","plainTextFormattedCitation":"18","previouslyFormattedCitation":"&lt;sup&gt;18&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18</w:t>
            </w:r>
            <w:r w:rsidRPr="00364B71">
              <w:rPr>
                <w:rFonts w:cs="Times New Roman"/>
                <w:sz w:val="20"/>
                <w:szCs w:val="20"/>
              </w:rPr>
              <w:fldChar w:fldCharType="end"/>
            </w:r>
          </w:p>
        </w:tc>
      </w:tr>
      <w:tr w:rsidR="007321E6" w:rsidRPr="007321E6" w14:paraId="2D43AB30" w14:textId="77777777" w:rsidTr="007321E6">
        <w:tc>
          <w:tcPr>
            <w:tcW w:w="750" w:type="dxa"/>
          </w:tcPr>
          <w:p w14:paraId="1A0B3CE7" w14:textId="77777777" w:rsidR="007321E6" w:rsidRPr="00364B71" w:rsidRDefault="007321E6" w:rsidP="00E82ADE">
            <w:pPr>
              <w:rPr>
                <w:rFonts w:cs="Times New Roman"/>
                <w:sz w:val="20"/>
                <w:szCs w:val="20"/>
              </w:rPr>
            </w:pPr>
            <w:r w:rsidRPr="00364B71">
              <w:rPr>
                <w:rFonts w:cs="Times New Roman"/>
                <w:sz w:val="20"/>
                <w:szCs w:val="20"/>
              </w:rPr>
              <w:t>25</w:t>
            </w:r>
          </w:p>
        </w:tc>
        <w:tc>
          <w:tcPr>
            <w:tcW w:w="1939" w:type="dxa"/>
          </w:tcPr>
          <w:p w14:paraId="3C2C34FF" w14:textId="77777777" w:rsidR="007321E6" w:rsidRPr="00630D5E" w:rsidRDefault="007321E6" w:rsidP="00E82ADE">
            <w:pPr>
              <w:rPr>
                <w:rFonts w:cs="Times New Roman"/>
                <w:b/>
                <w:bCs/>
                <w:sz w:val="20"/>
                <w:szCs w:val="20"/>
              </w:rPr>
            </w:pPr>
            <w:r w:rsidRPr="00630D5E">
              <w:rPr>
                <w:rFonts w:cs="Times New Roman"/>
                <w:b/>
                <w:bCs/>
                <w:sz w:val="20"/>
                <w:szCs w:val="20"/>
              </w:rPr>
              <w:t>[4[2+</w:t>
            </w:r>
            <w:proofErr w:type="gramStart"/>
            <w:r w:rsidRPr="00630D5E">
              <w:rPr>
                <w:rFonts w:cs="Times New Roman"/>
                <w:b/>
                <w:bCs/>
                <w:sz w:val="20"/>
                <w:szCs w:val="20"/>
              </w:rPr>
              <w:t>3]+</w:t>
            </w:r>
            <w:proofErr w:type="gramEnd"/>
            <w:r w:rsidRPr="00630D5E">
              <w:rPr>
                <w:rFonts w:cs="Times New Roman"/>
                <w:b/>
                <w:bCs/>
                <w:sz w:val="20"/>
                <w:szCs w:val="20"/>
              </w:rPr>
              <w:t>6]cage</w:t>
            </w:r>
          </w:p>
        </w:tc>
        <w:tc>
          <w:tcPr>
            <w:tcW w:w="1275" w:type="dxa"/>
          </w:tcPr>
          <w:p w14:paraId="06F9F4A1" w14:textId="7EF3CCF3" w:rsidR="007321E6" w:rsidRPr="00E043ED" w:rsidRDefault="00E043ED" w:rsidP="00E82ADE">
            <w:pPr>
              <w:rPr>
                <w:rFonts w:cs="Times New Roman"/>
                <w:b/>
                <w:bCs/>
                <w:sz w:val="20"/>
                <w:szCs w:val="20"/>
              </w:rPr>
            </w:pPr>
            <w:r w:rsidRPr="00E043ED">
              <w:rPr>
                <w:rFonts w:cs="Times New Roman"/>
                <w:b/>
                <w:bCs/>
                <w:sz w:val="20"/>
                <w:szCs w:val="20"/>
              </w:rPr>
              <w:t xml:space="preserve">ether </w:t>
            </w:r>
          </w:p>
        </w:tc>
        <w:tc>
          <w:tcPr>
            <w:tcW w:w="1560" w:type="dxa"/>
          </w:tcPr>
          <w:p w14:paraId="3E2A7DBC" w14:textId="77777777" w:rsidR="007321E6" w:rsidRPr="00E043ED" w:rsidRDefault="007321E6" w:rsidP="00E82ADE">
            <w:pPr>
              <w:rPr>
                <w:rFonts w:cs="Times New Roman"/>
                <w:b/>
                <w:bCs/>
                <w:sz w:val="20"/>
                <w:szCs w:val="20"/>
              </w:rPr>
            </w:pPr>
            <w:r w:rsidRPr="00E043ED">
              <w:rPr>
                <w:rFonts w:cs="Times New Roman"/>
                <w:b/>
                <w:bCs/>
                <w:sz w:val="20"/>
                <w:szCs w:val="20"/>
              </w:rPr>
              <w:t>763</w:t>
            </w:r>
          </w:p>
        </w:tc>
        <w:tc>
          <w:tcPr>
            <w:tcW w:w="1490" w:type="dxa"/>
          </w:tcPr>
          <w:p w14:paraId="7F266671" w14:textId="77777777" w:rsidR="007321E6" w:rsidRPr="00E043ED" w:rsidRDefault="007321E6" w:rsidP="00E82ADE">
            <w:pPr>
              <w:rPr>
                <w:rFonts w:cs="Times New Roman"/>
                <w:b/>
                <w:bCs/>
                <w:sz w:val="20"/>
                <w:szCs w:val="20"/>
              </w:rPr>
            </w:pPr>
            <w:r w:rsidRPr="00E043ED">
              <w:rPr>
                <w:rFonts w:cs="Times New Roman"/>
                <w:b/>
                <w:bCs/>
                <w:sz w:val="20"/>
                <w:szCs w:val="20"/>
              </w:rPr>
              <w:t>3.47</w:t>
            </w:r>
          </w:p>
        </w:tc>
        <w:tc>
          <w:tcPr>
            <w:tcW w:w="1282" w:type="dxa"/>
          </w:tcPr>
          <w:p w14:paraId="7F34F263" w14:textId="77777777" w:rsidR="007321E6" w:rsidRPr="00E043ED" w:rsidRDefault="007321E6" w:rsidP="00E82ADE">
            <w:pPr>
              <w:rPr>
                <w:rFonts w:cs="Times New Roman"/>
                <w:b/>
                <w:bCs/>
                <w:sz w:val="20"/>
                <w:szCs w:val="20"/>
              </w:rPr>
            </w:pPr>
            <w:r w:rsidRPr="00E043ED">
              <w:rPr>
                <w:rFonts w:cs="Times New Roman"/>
                <w:b/>
                <w:bCs/>
                <w:sz w:val="20"/>
                <w:szCs w:val="20"/>
              </w:rPr>
              <w:t>This work</w:t>
            </w:r>
          </w:p>
        </w:tc>
      </w:tr>
      <w:tr w:rsidR="007321E6" w:rsidRPr="007321E6" w14:paraId="568823D2" w14:textId="77777777" w:rsidTr="007321E6">
        <w:tc>
          <w:tcPr>
            <w:tcW w:w="750" w:type="dxa"/>
          </w:tcPr>
          <w:p w14:paraId="180B2795" w14:textId="77777777" w:rsidR="007321E6" w:rsidRPr="00364B71" w:rsidRDefault="007321E6" w:rsidP="00E82ADE">
            <w:pPr>
              <w:rPr>
                <w:rFonts w:cs="Times New Roman"/>
                <w:sz w:val="20"/>
                <w:szCs w:val="20"/>
              </w:rPr>
            </w:pPr>
            <w:r w:rsidRPr="00364B71">
              <w:rPr>
                <w:rFonts w:cs="Times New Roman"/>
                <w:sz w:val="20"/>
                <w:szCs w:val="20"/>
              </w:rPr>
              <w:t>26</w:t>
            </w:r>
          </w:p>
        </w:tc>
        <w:tc>
          <w:tcPr>
            <w:tcW w:w="1939" w:type="dxa"/>
          </w:tcPr>
          <w:p w14:paraId="7EFA3C1E" w14:textId="77777777" w:rsidR="007321E6" w:rsidRPr="00364B71" w:rsidRDefault="007321E6" w:rsidP="00E82ADE">
            <w:pPr>
              <w:rPr>
                <w:rFonts w:cs="Times New Roman"/>
                <w:sz w:val="20"/>
                <w:szCs w:val="20"/>
              </w:rPr>
            </w:pPr>
            <w:r w:rsidRPr="00364B71">
              <w:rPr>
                <w:rFonts w:cs="Times New Roman"/>
                <w:sz w:val="20"/>
                <w:szCs w:val="20"/>
              </w:rPr>
              <w:t>FC1</w:t>
            </w:r>
          </w:p>
        </w:tc>
        <w:tc>
          <w:tcPr>
            <w:tcW w:w="1275" w:type="dxa"/>
          </w:tcPr>
          <w:p w14:paraId="60E1458E" w14:textId="1D32C7E0" w:rsidR="007321E6" w:rsidRPr="00364B71" w:rsidRDefault="007321E6" w:rsidP="00E82ADE">
            <w:pPr>
              <w:rPr>
                <w:rFonts w:cs="Times New Roman"/>
                <w:sz w:val="20"/>
                <w:szCs w:val="20"/>
              </w:rPr>
            </w:pPr>
            <w:r>
              <w:rPr>
                <w:rFonts w:cs="Times New Roman"/>
                <w:sz w:val="20"/>
                <w:szCs w:val="20"/>
              </w:rPr>
              <w:t>imine</w:t>
            </w:r>
          </w:p>
        </w:tc>
        <w:tc>
          <w:tcPr>
            <w:tcW w:w="1560" w:type="dxa"/>
          </w:tcPr>
          <w:p w14:paraId="3D363FC3" w14:textId="77777777" w:rsidR="007321E6" w:rsidRPr="00364B71" w:rsidRDefault="007321E6" w:rsidP="00E82ADE">
            <w:pPr>
              <w:rPr>
                <w:rFonts w:cs="Times New Roman"/>
                <w:sz w:val="20"/>
                <w:szCs w:val="20"/>
              </w:rPr>
            </w:pPr>
            <w:r w:rsidRPr="00364B71">
              <w:rPr>
                <w:rFonts w:cs="Times New Roman"/>
                <w:sz w:val="20"/>
                <w:szCs w:val="20"/>
              </w:rPr>
              <w:t>536</w:t>
            </w:r>
          </w:p>
        </w:tc>
        <w:tc>
          <w:tcPr>
            <w:tcW w:w="1490" w:type="dxa"/>
          </w:tcPr>
          <w:p w14:paraId="6538FA3F" w14:textId="77777777" w:rsidR="007321E6" w:rsidRPr="00364B71" w:rsidRDefault="007321E6" w:rsidP="00E82ADE">
            <w:pPr>
              <w:rPr>
                <w:rFonts w:cs="Times New Roman"/>
                <w:sz w:val="20"/>
                <w:szCs w:val="20"/>
              </w:rPr>
            </w:pPr>
            <w:r w:rsidRPr="00364B71">
              <w:rPr>
                <w:rFonts w:cs="Times New Roman"/>
                <w:sz w:val="20"/>
                <w:szCs w:val="20"/>
              </w:rPr>
              <w:t>4.2</w:t>
            </w:r>
          </w:p>
        </w:tc>
        <w:tc>
          <w:tcPr>
            <w:tcW w:w="1282" w:type="dxa"/>
          </w:tcPr>
          <w:p w14:paraId="55E53DFE" w14:textId="776A80E7" w:rsidR="007321E6" w:rsidRPr="00364B71" w:rsidRDefault="007321E6" w:rsidP="00E82ADE">
            <w:pPr>
              <w:rPr>
                <w:rFonts w:cs="Times New Roman"/>
                <w:sz w:val="20"/>
                <w:szCs w:val="20"/>
              </w:rPr>
            </w:pPr>
            <w:r w:rsidRPr="00364B71">
              <w:rPr>
                <w:rFonts w:cs="Times New Roman"/>
                <w:sz w:val="20"/>
                <w:szCs w:val="20"/>
              </w:rPr>
              <w:fldChar w:fldCharType="begin" w:fldLock="1"/>
            </w:r>
            <w:r w:rsidR="002740AC">
              <w:rPr>
                <w:rFonts w:cs="Times New Roman"/>
                <w:sz w:val="20"/>
                <w:szCs w:val="20"/>
              </w:rPr>
              <w:instrText>ADDIN CSL_CITATION {"citationItems":[{"id":"ITEM-1","itemData":{"DOI":"10.1039/d0cc01872d","ISSN":"1364548X","PMID":"32270822","abstract":"We present the synthesis of a porous, organic [4+4] imine cage containing perfluorinated aromatic panels. Gas adsorption experiments show an uptake of 19.0 wt% CO2(4.2 mmol g-1, 273 K and at 1 bar) and 1.5 wt% H2(7.5 mmol g-1, 77 K and at 1 bar) for the specific surface area of 536 m2g-1of the crystalline material obtained directly from the reaction mixture, combined with an outstanding thermal stability, making it a very interesting porous material suitable for gas adsorption.","author":[{"dropping-particle":"","family":"Kunde","given":"Tom","non-dropping-particle":"","parse-names":false,"suffix":""},{"dropping-particle":"","family":"Nieland","given":"Esther","non-dropping-particle":"","parse-names":false,"suffix":""},{"dropping-particle":"V.","family":"Schröder","given":"Hendrik","non-dropping-particle":"","parse-names":false,"suffix":""},{"dropping-particle":"","family":"Schalley","given":"Christoph A.","non-dropping-particle":"","parse-names":false,"suffix":""},{"dropping-particle":"","family":"Schmidt","given":"Bernd M.","non-dropping-particle":"","parse-names":false,"suffix":""}],"container-title":"Chemical Communications","id":"ITEM-1","issue":"35","issued":{"date-parts":[["2020"]]},"page":"4761-4764","title":"A porous fluorinated organic [4+4] imine cage showing CO2 and H2 adsorption","type":"article-journal","volume":"56"},"uris":["http://www.mendeley.com/documents/?uuid=b69ba6d2-481a-3116-b82c-8ff0c39c03ff","http://www.mendeley.com/documents/?uuid=ad2ec45d-2562-43d0-96e8-76f6564b2f99"]}],"mendeley":{"formattedCitation":"&lt;sup&gt;26&lt;/sup&gt;","plainTextFormattedCitation":"26","previouslyFormattedCitation":"&lt;sup&gt;26&lt;/sup&gt;"},"properties":{"noteIndex":0},"schema":"https://github.com/citation-style-language/schema/raw/master/csl-citation.json"}</w:instrText>
            </w:r>
            <w:r w:rsidRPr="00364B71">
              <w:rPr>
                <w:rFonts w:cs="Times New Roman"/>
                <w:sz w:val="20"/>
                <w:szCs w:val="20"/>
              </w:rPr>
              <w:fldChar w:fldCharType="separate"/>
            </w:r>
            <w:r w:rsidR="007944FF" w:rsidRPr="007944FF">
              <w:rPr>
                <w:rFonts w:cs="Times New Roman"/>
                <w:noProof/>
                <w:sz w:val="20"/>
                <w:szCs w:val="20"/>
                <w:vertAlign w:val="superscript"/>
              </w:rPr>
              <w:t>26</w:t>
            </w:r>
            <w:r w:rsidRPr="00364B71">
              <w:rPr>
                <w:rFonts w:cs="Times New Roman"/>
                <w:sz w:val="20"/>
                <w:szCs w:val="20"/>
              </w:rPr>
              <w:fldChar w:fldCharType="end"/>
            </w:r>
          </w:p>
        </w:tc>
      </w:tr>
    </w:tbl>
    <w:p w14:paraId="2BEB6B59" w14:textId="77777777" w:rsidR="00E043ED" w:rsidRDefault="00E043ED" w:rsidP="007321E6">
      <w:pPr>
        <w:rPr>
          <w:rFonts w:eastAsiaTheme="minorEastAsia"/>
          <w:vertAlign w:val="superscript"/>
        </w:rPr>
      </w:pPr>
    </w:p>
    <w:p w14:paraId="22F4674A" w14:textId="6A03B95F" w:rsidR="007321E6" w:rsidRDefault="007321E6" w:rsidP="007321E6">
      <w:pPr>
        <w:rPr>
          <w:rFonts w:eastAsiaTheme="minorEastAsia"/>
        </w:rPr>
      </w:pPr>
      <w:proofErr w:type="spellStart"/>
      <w:r w:rsidRPr="00364B71">
        <w:rPr>
          <w:rFonts w:eastAsiaTheme="minorEastAsia"/>
          <w:vertAlign w:val="superscript"/>
        </w:rPr>
        <w:t>a</w:t>
      </w:r>
      <w:proofErr w:type="spellEnd"/>
      <w:r>
        <w:rPr>
          <w:rFonts w:eastAsiaTheme="minorEastAsia"/>
        </w:rPr>
        <w:t xml:space="preserve"> </w:t>
      </w:r>
      <w:r w:rsidR="00364B71">
        <w:rPr>
          <w:rFonts w:eastAsiaTheme="minorEastAsia"/>
        </w:rPr>
        <w:t>A</w:t>
      </w:r>
      <w:r>
        <w:rPr>
          <w:rFonts w:eastAsiaTheme="minorEastAsia"/>
        </w:rPr>
        <w:t>ll CO</w:t>
      </w:r>
      <w:r w:rsidRPr="00364B71">
        <w:rPr>
          <w:rFonts w:eastAsiaTheme="minorEastAsia"/>
          <w:vertAlign w:val="subscript"/>
        </w:rPr>
        <w:t>2</w:t>
      </w:r>
      <w:r>
        <w:rPr>
          <w:rFonts w:eastAsiaTheme="minorEastAsia"/>
        </w:rPr>
        <w:t xml:space="preserve"> uptake data </w:t>
      </w:r>
      <w:r w:rsidR="00364B71">
        <w:rPr>
          <w:rFonts w:eastAsiaTheme="minorEastAsia"/>
        </w:rPr>
        <w:t xml:space="preserve">here </w:t>
      </w:r>
      <w:r>
        <w:rPr>
          <w:rFonts w:eastAsiaTheme="minorEastAsia"/>
        </w:rPr>
        <w:t>were collected at 273 K, 1 bar.</w:t>
      </w:r>
    </w:p>
    <w:p w14:paraId="4B9EBD8F" w14:textId="308BA8BC" w:rsidR="007321E6" w:rsidRPr="007321E6" w:rsidRDefault="007321E6" w:rsidP="00364B71">
      <w:pPr>
        <w:rPr>
          <w:rFonts w:eastAsiaTheme="minorEastAsia"/>
        </w:rPr>
      </w:pPr>
      <w:r w:rsidRPr="00364B71">
        <w:rPr>
          <w:rFonts w:eastAsiaTheme="minorEastAsia"/>
          <w:vertAlign w:val="superscript"/>
        </w:rPr>
        <w:t>b</w:t>
      </w:r>
      <w:r>
        <w:rPr>
          <w:rFonts w:eastAsiaTheme="minorEastAsia"/>
          <w:vertAlign w:val="superscript"/>
        </w:rPr>
        <w:t xml:space="preserve"> </w:t>
      </w:r>
      <w:r w:rsidR="00364B71">
        <w:rPr>
          <w:rFonts w:eastAsiaTheme="minorEastAsia"/>
        </w:rPr>
        <w:t>Apparent B</w:t>
      </w:r>
      <w:r w:rsidRPr="00364B71">
        <w:rPr>
          <w:rFonts w:eastAsiaTheme="minorEastAsia"/>
        </w:rPr>
        <w:t>ET</w:t>
      </w:r>
      <w:r>
        <w:rPr>
          <w:rFonts w:eastAsiaTheme="minorEastAsia"/>
        </w:rPr>
        <w:t xml:space="preserve"> surface area was calculated based on the CO</w:t>
      </w:r>
      <w:r w:rsidRPr="00364B71">
        <w:rPr>
          <w:rFonts w:eastAsiaTheme="minorEastAsia"/>
          <w:vertAlign w:val="subscript"/>
        </w:rPr>
        <w:t>2</w:t>
      </w:r>
      <w:r>
        <w:rPr>
          <w:rFonts w:eastAsiaTheme="minorEastAsia"/>
        </w:rPr>
        <w:t xml:space="preserve"> sorption isotherm at 195</w:t>
      </w:r>
      <w:r w:rsidR="00364B71">
        <w:rPr>
          <w:rFonts w:eastAsiaTheme="minorEastAsia"/>
        </w:rPr>
        <w:t> </w:t>
      </w:r>
      <w:r>
        <w:rPr>
          <w:rFonts w:eastAsiaTheme="minorEastAsia"/>
        </w:rPr>
        <w:t>K</w:t>
      </w:r>
      <w:r w:rsidR="00364B71">
        <w:rPr>
          <w:rFonts w:eastAsiaTheme="minorEastAsia"/>
        </w:rPr>
        <w:t>, rather than a nitrogen isotherm at 77 K</w:t>
      </w:r>
      <w:r>
        <w:rPr>
          <w:rFonts w:eastAsiaTheme="minorEastAsia"/>
        </w:rPr>
        <w:t>.</w:t>
      </w:r>
      <w:r>
        <w:rPr>
          <w:rFonts w:eastAsiaTheme="minorEastAsia"/>
          <w:vertAlign w:val="superscript"/>
        </w:rPr>
        <w:t xml:space="preserve"> </w:t>
      </w:r>
    </w:p>
    <w:p w14:paraId="1F0D1722" w14:textId="4FF02934" w:rsidR="00BE4DE0" w:rsidRDefault="00BE4DE0">
      <w:pPr>
        <w:spacing w:after="160" w:line="259" w:lineRule="auto"/>
        <w:jc w:val="left"/>
      </w:pPr>
      <w:r>
        <w:rPr>
          <w:rFonts w:eastAsiaTheme="minorEastAsia"/>
        </w:rPr>
        <w:br w:type="page"/>
      </w:r>
      <w:r w:rsidR="00AB6258">
        <w:rPr>
          <w:noProof/>
        </w:rPr>
        <w:object w:dxaOrig="6495" w:dyaOrig="4566" w14:anchorId="5A151DCF">
          <v:shape id="_x0000_i1029" type="#_x0000_t75" alt="" style="width:414.75pt;height:291.75pt;mso-width-percent:0;mso-height-percent:0;mso-width-percent:0;mso-height-percent:0" o:ole="">
            <v:imagedata r:id="rId26" o:title=""/>
          </v:shape>
          <o:OLEObject Type="Embed" ProgID="Origin95.Graph" ShapeID="_x0000_i1029" DrawAspect="Content" ObjectID="_1759763703" r:id="rId27"/>
        </w:object>
      </w:r>
    </w:p>
    <w:p w14:paraId="35ADD44A" w14:textId="77777777" w:rsidR="00630D5E" w:rsidRDefault="00630D5E">
      <w:pPr>
        <w:spacing w:after="160" w:line="259" w:lineRule="auto"/>
        <w:jc w:val="left"/>
        <w:rPr>
          <w:rFonts w:eastAsiaTheme="minorEastAsia"/>
        </w:rPr>
      </w:pPr>
    </w:p>
    <w:p w14:paraId="3788E46D" w14:textId="0B51F76B" w:rsidR="00BE4DE0" w:rsidRDefault="00BE4DE0" w:rsidP="00BE4DE0">
      <w:pPr>
        <w:pStyle w:val="Title"/>
        <w:rPr>
          <w:rFonts w:eastAsiaTheme="minorEastAsia"/>
        </w:rPr>
      </w:pPr>
      <w:r>
        <w:rPr>
          <w:rFonts w:eastAsiaTheme="minorEastAsia"/>
        </w:rPr>
        <w:t>Figure S</w:t>
      </w:r>
      <w:r w:rsidR="00313011">
        <w:rPr>
          <w:rFonts w:eastAsiaTheme="minorEastAsia"/>
        </w:rPr>
        <w:t>1</w:t>
      </w:r>
      <w:r w:rsidR="00AB7071">
        <w:rPr>
          <w:rFonts w:eastAsiaTheme="minorEastAsia"/>
        </w:rPr>
        <w:t>1</w:t>
      </w:r>
      <w:r>
        <w:rPr>
          <w:rFonts w:eastAsiaTheme="minorEastAsia"/>
        </w:rPr>
        <w:t>. PXRD profile</w:t>
      </w:r>
      <w:r w:rsidR="00630D5E">
        <w:rPr>
          <w:rFonts w:eastAsiaTheme="minorEastAsia"/>
        </w:rPr>
        <w:t xml:space="preserve"> for </w:t>
      </w:r>
      <w:r w:rsidR="00630D5E" w:rsidRPr="00630D5E">
        <w:rPr>
          <w:rFonts w:cs="Times New Roman"/>
          <w:b/>
          <w:bCs w:val="0"/>
          <w:sz w:val="20"/>
          <w:szCs w:val="20"/>
        </w:rPr>
        <w:t>[4[2+</w:t>
      </w:r>
      <w:proofErr w:type="gramStart"/>
      <w:r w:rsidR="00630D5E" w:rsidRPr="00630D5E">
        <w:rPr>
          <w:rFonts w:cs="Times New Roman"/>
          <w:b/>
          <w:bCs w:val="0"/>
          <w:sz w:val="20"/>
          <w:szCs w:val="20"/>
        </w:rPr>
        <w:t>3]+</w:t>
      </w:r>
      <w:proofErr w:type="gramEnd"/>
      <w:r w:rsidR="00630D5E" w:rsidRPr="00630D5E">
        <w:rPr>
          <w:rFonts w:cs="Times New Roman"/>
          <w:b/>
          <w:bCs w:val="0"/>
          <w:sz w:val="20"/>
          <w:szCs w:val="20"/>
        </w:rPr>
        <w:t>6]cage</w:t>
      </w:r>
      <w:r>
        <w:rPr>
          <w:rFonts w:eastAsiaTheme="minorEastAsia"/>
        </w:rPr>
        <w:t xml:space="preserve"> recorde</w:t>
      </w:r>
      <w:r w:rsidR="00630D5E">
        <w:rPr>
          <w:rFonts w:eastAsiaTheme="minorEastAsia"/>
        </w:rPr>
        <w:t>d</w:t>
      </w:r>
      <w:r>
        <w:rPr>
          <w:rFonts w:eastAsiaTheme="minorEastAsia"/>
        </w:rPr>
        <w:t xml:space="preserve"> after the CO</w:t>
      </w:r>
      <w:r w:rsidRPr="00BE4DE0">
        <w:rPr>
          <w:rFonts w:eastAsiaTheme="minorEastAsia"/>
          <w:vertAlign w:val="subscript"/>
        </w:rPr>
        <w:t>2</w:t>
      </w:r>
      <w:r>
        <w:rPr>
          <w:rFonts w:eastAsiaTheme="minorEastAsia"/>
        </w:rPr>
        <w:t xml:space="preserve"> sorption</w:t>
      </w:r>
      <w:r w:rsidR="00630D5E">
        <w:rPr>
          <w:rFonts w:eastAsiaTheme="minorEastAsia"/>
        </w:rPr>
        <w:t xml:space="preserve"> / desorption</w:t>
      </w:r>
      <w:r>
        <w:rPr>
          <w:rFonts w:eastAsiaTheme="minorEastAsia"/>
        </w:rPr>
        <w:t xml:space="preserve">.  </w:t>
      </w:r>
    </w:p>
    <w:p w14:paraId="7A644A38" w14:textId="53C228F8" w:rsidR="00BE4DE0" w:rsidRDefault="00BE4DE0">
      <w:pPr>
        <w:spacing w:after="160" w:line="259" w:lineRule="auto"/>
        <w:jc w:val="left"/>
        <w:rPr>
          <w:rFonts w:eastAsiaTheme="minorEastAsia"/>
        </w:rPr>
      </w:pPr>
      <w:r>
        <w:rPr>
          <w:rFonts w:eastAsiaTheme="minorEastAsia"/>
        </w:rPr>
        <w:br w:type="page"/>
      </w:r>
    </w:p>
    <w:p w14:paraId="6F45F118" w14:textId="3270F751" w:rsidR="00BE4DE0" w:rsidRDefault="00BE4DE0" w:rsidP="00BE4DE0">
      <w:pPr>
        <w:pStyle w:val="Heading2"/>
      </w:pPr>
      <w:bookmarkStart w:id="11" w:name="_Toc147263834"/>
      <w:r w:rsidRPr="00EA1221">
        <w:lastRenderedPageBreak/>
        <w:t xml:space="preserve">Section </w:t>
      </w:r>
      <w:r w:rsidR="00BA69EC">
        <w:t>5</w:t>
      </w:r>
      <w:r w:rsidRPr="00EA1221">
        <w:t xml:space="preserve"> </w:t>
      </w:r>
      <w:r>
        <w:t>Crystal structure information</w:t>
      </w:r>
      <w:bookmarkEnd w:id="11"/>
    </w:p>
    <w:p w14:paraId="59588869" w14:textId="3D736CF3" w:rsidR="00313011" w:rsidRDefault="00313011" w:rsidP="00313011">
      <w:pPr>
        <w:spacing w:after="160" w:line="259" w:lineRule="auto"/>
        <w:jc w:val="center"/>
      </w:pPr>
      <w:r>
        <w:rPr>
          <w:noProof/>
        </w:rPr>
        <w:drawing>
          <wp:inline distT="0" distB="0" distL="0" distR="0" wp14:anchorId="0C0A04BC" wp14:editId="71FC59D8">
            <wp:extent cx="3600000" cy="32414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600000" cy="3241412"/>
                    </a:xfrm>
                    <a:prstGeom prst="rect">
                      <a:avLst/>
                    </a:prstGeom>
                    <a:noFill/>
                  </pic:spPr>
                </pic:pic>
              </a:graphicData>
            </a:graphic>
          </wp:inline>
        </w:drawing>
      </w:r>
    </w:p>
    <w:p w14:paraId="10278152" w14:textId="042393BB" w:rsidR="00313011" w:rsidRDefault="00313011" w:rsidP="00313011">
      <w:pPr>
        <w:spacing w:after="160" w:line="259" w:lineRule="auto"/>
        <w:jc w:val="center"/>
      </w:pPr>
      <w:r>
        <w:rPr>
          <w:noProof/>
        </w:rPr>
        <w:drawing>
          <wp:inline distT="0" distB="0" distL="0" distR="0" wp14:anchorId="0CCBC749" wp14:editId="6B8C65A0">
            <wp:extent cx="3600000" cy="343763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00000" cy="3437638"/>
                    </a:xfrm>
                    <a:prstGeom prst="rect">
                      <a:avLst/>
                    </a:prstGeom>
                    <a:noFill/>
                  </pic:spPr>
                </pic:pic>
              </a:graphicData>
            </a:graphic>
          </wp:inline>
        </w:drawing>
      </w:r>
    </w:p>
    <w:p w14:paraId="62EDA1EF" w14:textId="68DA9AFC" w:rsidR="00313011" w:rsidRDefault="00313011" w:rsidP="00313011">
      <w:pPr>
        <w:pStyle w:val="Title"/>
        <w:rPr>
          <w:rFonts w:eastAsiaTheme="minorEastAsia"/>
        </w:rPr>
      </w:pPr>
      <w:r>
        <w:rPr>
          <w:rFonts w:eastAsiaTheme="minorEastAsia"/>
        </w:rPr>
        <w:t>Figure S1</w:t>
      </w:r>
      <w:r w:rsidR="00AB7071">
        <w:rPr>
          <w:rFonts w:eastAsiaTheme="minorEastAsia"/>
        </w:rPr>
        <w:t>2</w:t>
      </w:r>
      <w:r>
        <w:rPr>
          <w:rFonts w:eastAsiaTheme="minorEastAsia"/>
        </w:rPr>
        <w:t xml:space="preserve">. Crystal packing of </w:t>
      </w:r>
      <w:r w:rsidRPr="00630D5E">
        <w:rPr>
          <w:rFonts w:eastAsiaTheme="minorEastAsia"/>
          <w:b/>
          <w:bCs w:val="0"/>
        </w:rPr>
        <w:t>[4[2+</w:t>
      </w:r>
      <w:proofErr w:type="gramStart"/>
      <w:r w:rsidRPr="00630D5E">
        <w:rPr>
          <w:rFonts w:eastAsiaTheme="minorEastAsia"/>
          <w:b/>
          <w:bCs w:val="0"/>
        </w:rPr>
        <w:t>3]+</w:t>
      </w:r>
      <w:proofErr w:type="gramEnd"/>
      <w:r w:rsidRPr="00630D5E">
        <w:rPr>
          <w:rFonts w:eastAsiaTheme="minorEastAsia"/>
          <w:b/>
          <w:bCs w:val="0"/>
        </w:rPr>
        <w:t>6]cage</w:t>
      </w:r>
      <w:r>
        <w:rPr>
          <w:rFonts w:eastAsiaTheme="minorEastAsia"/>
        </w:rPr>
        <w:t xml:space="preserve"> </w:t>
      </w:r>
      <w:r w:rsidR="00630D5E">
        <w:rPr>
          <w:rFonts w:eastAsiaTheme="minorEastAsia"/>
        </w:rPr>
        <w:t xml:space="preserve">viewed </w:t>
      </w:r>
      <w:r>
        <w:rPr>
          <w:rFonts w:eastAsiaTheme="minorEastAsia"/>
        </w:rPr>
        <w:t xml:space="preserve">along the a-axis (A) and </w:t>
      </w:r>
      <w:r w:rsidR="00630D5E">
        <w:rPr>
          <w:rFonts w:eastAsiaTheme="minorEastAsia"/>
        </w:rPr>
        <w:t xml:space="preserve">the </w:t>
      </w:r>
      <w:r>
        <w:rPr>
          <w:rFonts w:eastAsiaTheme="minorEastAsia"/>
        </w:rPr>
        <w:t xml:space="preserve">b-axis (B).   </w:t>
      </w:r>
    </w:p>
    <w:p w14:paraId="516A42F0" w14:textId="77777777" w:rsidR="00313011" w:rsidRDefault="00313011" w:rsidP="00313011">
      <w:pPr>
        <w:spacing w:after="160" w:line="259" w:lineRule="auto"/>
        <w:jc w:val="left"/>
        <w:rPr>
          <w:rFonts w:eastAsiaTheme="minorEastAsia"/>
        </w:rPr>
      </w:pPr>
      <w:r>
        <w:rPr>
          <w:rFonts w:eastAsiaTheme="minorEastAsia"/>
        </w:rPr>
        <w:br w:type="page"/>
      </w:r>
    </w:p>
    <w:p w14:paraId="63E70FEC" w14:textId="2CBC2D5F" w:rsidR="00313011" w:rsidRDefault="00313011" w:rsidP="00313011">
      <w:pPr>
        <w:spacing w:after="160" w:line="259" w:lineRule="auto"/>
        <w:jc w:val="center"/>
      </w:pPr>
      <w:r>
        <w:rPr>
          <w:noProof/>
        </w:rPr>
        <w:lastRenderedPageBreak/>
        <w:drawing>
          <wp:inline distT="0" distB="0" distL="0" distR="0" wp14:anchorId="6D32EA6E" wp14:editId="15A495B8">
            <wp:extent cx="5399021" cy="297476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30">
                      <a:extLst>
                        <a:ext uri="{28A0092B-C50C-407E-A947-70E740481C1C}">
                          <a14:useLocalDpi xmlns:a14="http://schemas.microsoft.com/office/drawing/2010/main" val="0"/>
                        </a:ext>
                      </a:extLst>
                    </a:blip>
                    <a:srcRect b="6958"/>
                    <a:stretch/>
                  </pic:blipFill>
                  <pic:spPr bwMode="auto">
                    <a:xfrm>
                      <a:off x="0" y="0"/>
                      <a:ext cx="5400000" cy="2975309"/>
                    </a:xfrm>
                    <a:prstGeom prst="rect">
                      <a:avLst/>
                    </a:prstGeom>
                    <a:noFill/>
                    <a:ln>
                      <a:noFill/>
                    </a:ln>
                    <a:extLst>
                      <a:ext uri="{53640926-AAD7-44D8-BBD7-CCE9431645EC}">
                        <a14:shadowObscured xmlns:a14="http://schemas.microsoft.com/office/drawing/2010/main"/>
                      </a:ext>
                    </a:extLst>
                  </pic:spPr>
                </pic:pic>
              </a:graphicData>
            </a:graphic>
          </wp:inline>
        </w:drawing>
      </w:r>
    </w:p>
    <w:p w14:paraId="3AAE8D17" w14:textId="77777777" w:rsidR="00630D5E" w:rsidRDefault="00630D5E" w:rsidP="00313011">
      <w:pPr>
        <w:pStyle w:val="Title"/>
        <w:rPr>
          <w:rFonts w:eastAsiaTheme="minorEastAsia"/>
        </w:rPr>
      </w:pPr>
    </w:p>
    <w:p w14:paraId="6610825E" w14:textId="1F0484EA" w:rsidR="00313011" w:rsidRDefault="00313011" w:rsidP="00313011">
      <w:pPr>
        <w:pStyle w:val="Title"/>
        <w:rPr>
          <w:rFonts w:eastAsiaTheme="minorEastAsia"/>
        </w:rPr>
      </w:pPr>
      <w:r>
        <w:rPr>
          <w:rFonts w:eastAsiaTheme="minorEastAsia"/>
        </w:rPr>
        <w:t>Figure S1</w:t>
      </w:r>
      <w:r w:rsidR="00AB7071">
        <w:rPr>
          <w:rFonts w:eastAsiaTheme="minorEastAsia"/>
        </w:rPr>
        <w:t>3</w:t>
      </w:r>
      <w:r>
        <w:rPr>
          <w:rFonts w:eastAsiaTheme="minorEastAsia"/>
        </w:rPr>
        <w:t xml:space="preserve">. Illustration </w:t>
      </w:r>
      <w:r w:rsidR="00630D5E">
        <w:rPr>
          <w:rFonts w:eastAsiaTheme="minorEastAsia"/>
        </w:rPr>
        <w:t>of</w:t>
      </w:r>
      <w:r>
        <w:rPr>
          <w:rFonts w:eastAsiaTheme="minorEastAsia"/>
        </w:rPr>
        <w:t xml:space="preserve"> the cage window splitting by neighbouring </w:t>
      </w:r>
      <w:r w:rsidRPr="00630D5E">
        <w:rPr>
          <w:rFonts w:eastAsiaTheme="minorEastAsia"/>
          <w:b/>
          <w:bCs w:val="0"/>
        </w:rPr>
        <w:t>[4[2+</w:t>
      </w:r>
      <w:proofErr w:type="gramStart"/>
      <w:r w:rsidRPr="00630D5E">
        <w:rPr>
          <w:rFonts w:eastAsiaTheme="minorEastAsia"/>
          <w:b/>
          <w:bCs w:val="0"/>
        </w:rPr>
        <w:t>3]+</w:t>
      </w:r>
      <w:proofErr w:type="gramEnd"/>
      <w:r w:rsidRPr="00630D5E">
        <w:rPr>
          <w:rFonts w:eastAsiaTheme="minorEastAsia"/>
          <w:b/>
          <w:bCs w:val="0"/>
        </w:rPr>
        <w:t>6]cage</w:t>
      </w:r>
      <w:r w:rsidR="00630D5E">
        <w:rPr>
          <w:rFonts w:eastAsiaTheme="minorEastAsia"/>
        </w:rPr>
        <w:t xml:space="preserve"> molecules, as viewed</w:t>
      </w:r>
      <w:r>
        <w:rPr>
          <w:rFonts w:eastAsiaTheme="minorEastAsia"/>
        </w:rPr>
        <w:t xml:space="preserve"> along the a-axis </w:t>
      </w:r>
      <w:r w:rsidR="00630D5E">
        <w:rPr>
          <w:rFonts w:eastAsiaTheme="minorEastAsia"/>
        </w:rPr>
        <w:t xml:space="preserve">(A) and the b-axis (B). </w:t>
      </w:r>
    </w:p>
    <w:p w14:paraId="16F21177" w14:textId="226637C7" w:rsidR="00313011" w:rsidRDefault="00313011">
      <w:pPr>
        <w:spacing w:after="160" w:line="259" w:lineRule="auto"/>
        <w:jc w:val="left"/>
      </w:pPr>
      <w:r>
        <w:br w:type="page"/>
      </w:r>
    </w:p>
    <w:p w14:paraId="55AA421F" w14:textId="6B31988C" w:rsidR="005A1902" w:rsidRDefault="005A1902" w:rsidP="005A1902">
      <w:pPr>
        <w:pStyle w:val="Title"/>
      </w:pPr>
      <w:r w:rsidRPr="00EA1221">
        <w:rPr>
          <w:b/>
          <w:bCs w:val="0"/>
        </w:rPr>
        <w:lastRenderedPageBreak/>
        <w:t xml:space="preserve">Table </w:t>
      </w:r>
      <w:r w:rsidR="005C388E" w:rsidRPr="00EA1221">
        <w:rPr>
          <w:b/>
          <w:bCs w:val="0"/>
        </w:rPr>
        <w:t>S</w:t>
      </w:r>
      <w:r w:rsidR="007944FF">
        <w:rPr>
          <w:b/>
          <w:bCs w:val="0"/>
        </w:rPr>
        <w:t>2</w:t>
      </w:r>
      <w:r w:rsidRPr="00EA1221">
        <w:rPr>
          <w:b/>
          <w:bCs w:val="0"/>
        </w:rPr>
        <w:t>.</w:t>
      </w:r>
      <w:r w:rsidRPr="00EA1221">
        <w:rPr>
          <w:bCs w:val="0"/>
        </w:rPr>
        <w:t xml:space="preserve"> </w:t>
      </w:r>
      <w:r w:rsidRPr="00EA1221">
        <w:t xml:space="preserve">Single crystal refinement details for </w:t>
      </w:r>
      <w:r w:rsidR="00BF2743" w:rsidRPr="001619AA">
        <w:rPr>
          <w:rFonts w:eastAsiaTheme="minorEastAsia"/>
          <w:b/>
        </w:rPr>
        <w:t>[4[2+</w:t>
      </w:r>
      <w:proofErr w:type="gramStart"/>
      <w:r w:rsidR="00BF2743" w:rsidRPr="001619AA">
        <w:rPr>
          <w:rFonts w:eastAsiaTheme="minorEastAsia"/>
          <w:b/>
        </w:rPr>
        <w:t>3]+</w:t>
      </w:r>
      <w:proofErr w:type="gramEnd"/>
      <w:r w:rsidR="00BF2743" w:rsidRPr="001619AA">
        <w:rPr>
          <w:rFonts w:eastAsiaTheme="minorEastAsia"/>
          <w:b/>
        </w:rPr>
        <w:t>6]cage</w:t>
      </w:r>
      <w:r w:rsidRPr="00EA1221">
        <w:t>.</w:t>
      </w:r>
    </w:p>
    <w:p w14:paraId="11CDC513" w14:textId="77777777" w:rsidR="00130857" w:rsidRPr="00130857" w:rsidRDefault="00130857" w:rsidP="00130857"/>
    <w:tbl>
      <w:tblPr>
        <w:tblW w:w="0" w:type="auto"/>
        <w:jc w:val="center"/>
        <w:tblBorders>
          <w:top w:val="single" w:sz="8" w:space="0" w:color="000000"/>
          <w:bottom w:val="single" w:sz="8" w:space="0" w:color="000000"/>
          <w:insideH w:val="single" w:sz="8" w:space="0" w:color="auto"/>
          <w:insideV w:val="single" w:sz="8" w:space="0" w:color="auto"/>
        </w:tblBorders>
        <w:shd w:val="clear" w:color="auto" w:fill="FFFFFF"/>
        <w:tblLayout w:type="fixed"/>
        <w:tblLook w:val="04A0" w:firstRow="1" w:lastRow="0" w:firstColumn="1" w:lastColumn="0" w:noHBand="0" w:noVBand="1"/>
      </w:tblPr>
      <w:tblGrid>
        <w:gridCol w:w="3402"/>
        <w:gridCol w:w="3402"/>
      </w:tblGrid>
      <w:tr w:rsidR="005A1902" w:rsidRPr="00EA1221" w14:paraId="7F4B4D70" w14:textId="77777777" w:rsidTr="00911D80">
        <w:trPr>
          <w:trHeight w:val="397"/>
          <w:jc w:val="center"/>
        </w:trPr>
        <w:tc>
          <w:tcPr>
            <w:tcW w:w="3402" w:type="dxa"/>
            <w:shd w:val="clear" w:color="auto" w:fill="FFFFFF"/>
            <w:vAlign w:val="center"/>
            <w:hideMark/>
          </w:tcPr>
          <w:p w14:paraId="7FB77DE5" w14:textId="77777777" w:rsidR="005A1902" w:rsidRPr="00EA1221" w:rsidRDefault="005A1902" w:rsidP="00911D80">
            <w:pPr>
              <w:spacing w:line="240" w:lineRule="auto"/>
              <w:ind w:firstLine="227"/>
              <w:jc w:val="left"/>
              <w:rPr>
                <w:b/>
                <w:bCs/>
                <w:color w:val="000000"/>
                <w:sz w:val="20"/>
                <w:szCs w:val="20"/>
              </w:rPr>
            </w:pPr>
            <w:r w:rsidRPr="00EA1221">
              <w:rPr>
                <w:b/>
                <w:bCs/>
                <w:color w:val="000000"/>
                <w:sz w:val="20"/>
                <w:szCs w:val="20"/>
              </w:rPr>
              <w:t>Name</w:t>
            </w:r>
          </w:p>
        </w:tc>
        <w:tc>
          <w:tcPr>
            <w:tcW w:w="3402" w:type="dxa"/>
            <w:shd w:val="clear" w:color="auto" w:fill="FFFFFF"/>
            <w:vAlign w:val="center"/>
            <w:hideMark/>
          </w:tcPr>
          <w:p w14:paraId="3D65A3D7" w14:textId="67F657EE" w:rsidR="005A1902" w:rsidRPr="00EA1221" w:rsidRDefault="00BF2743" w:rsidP="00911D80">
            <w:pPr>
              <w:spacing w:line="240" w:lineRule="auto"/>
              <w:ind w:firstLine="227"/>
              <w:jc w:val="left"/>
              <w:rPr>
                <w:b/>
                <w:bCs/>
                <w:color w:val="000000" w:themeColor="text1"/>
                <w:sz w:val="20"/>
                <w:szCs w:val="20"/>
              </w:rPr>
            </w:pPr>
            <w:r>
              <w:rPr>
                <w:rFonts w:eastAsiaTheme="minorEastAsia"/>
              </w:rPr>
              <w:t>[4[2+</w:t>
            </w:r>
            <w:proofErr w:type="gramStart"/>
            <w:r>
              <w:rPr>
                <w:rFonts w:eastAsiaTheme="minorEastAsia"/>
              </w:rPr>
              <w:t>3]+</w:t>
            </w:r>
            <w:proofErr w:type="gramEnd"/>
            <w:r>
              <w:rPr>
                <w:rFonts w:eastAsiaTheme="minorEastAsia"/>
              </w:rPr>
              <w:t>6]cage</w:t>
            </w:r>
          </w:p>
        </w:tc>
      </w:tr>
      <w:tr w:rsidR="005A1902" w:rsidRPr="00EA1221" w14:paraId="6101443B" w14:textId="77777777" w:rsidTr="00911D80">
        <w:trPr>
          <w:trHeight w:val="397"/>
          <w:jc w:val="center"/>
        </w:trPr>
        <w:tc>
          <w:tcPr>
            <w:tcW w:w="3402" w:type="dxa"/>
            <w:shd w:val="clear" w:color="auto" w:fill="FFFFFF"/>
            <w:vAlign w:val="center"/>
            <w:hideMark/>
          </w:tcPr>
          <w:p w14:paraId="06E6B5D5" w14:textId="77777777" w:rsidR="005A1902" w:rsidRPr="00EA1221" w:rsidRDefault="005A1902" w:rsidP="00911D80">
            <w:pPr>
              <w:spacing w:line="240" w:lineRule="auto"/>
              <w:ind w:firstLine="227"/>
              <w:jc w:val="left"/>
              <w:rPr>
                <w:b/>
                <w:bCs/>
                <w:color w:val="000000"/>
                <w:sz w:val="20"/>
                <w:szCs w:val="20"/>
              </w:rPr>
            </w:pPr>
            <w:r w:rsidRPr="00EA1221">
              <w:rPr>
                <w:b/>
                <w:bCs/>
                <w:color w:val="000000"/>
                <w:sz w:val="20"/>
                <w:szCs w:val="20"/>
              </w:rPr>
              <w:t>Crystallization solvent</w:t>
            </w:r>
          </w:p>
        </w:tc>
        <w:tc>
          <w:tcPr>
            <w:tcW w:w="3402" w:type="dxa"/>
            <w:shd w:val="clear" w:color="auto" w:fill="FFFFFF"/>
            <w:vAlign w:val="center"/>
          </w:tcPr>
          <w:p w14:paraId="5BDA4E78" w14:textId="6A3C7421" w:rsidR="005A1902" w:rsidRPr="00EA1221" w:rsidRDefault="006228B4" w:rsidP="00911D80">
            <w:pPr>
              <w:spacing w:line="240" w:lineRule="auto"/>
              <w:ind w:firstLine="227"/>
              <w:jc w:val="left"/>
              <w:rPr>
                <w:color w:val="000000" w:themeColor="text1"/>
                <w:sz w:val="20"/>
                <w:szCs w:val="20"/>
              </w:rPr>
            </w:pPr>
            <w:r>
              <w:rPr>
                <w:color w:val="000000" w:themeColor="text1"/>
                <w:sz w:val="20"/>
                <w:szCs w:val="20"/>
              </w:rPr>
              <w:t>Acetone-</w:t>
            </w:r>
            <w:r w:rsidR="0081155C">
              <w:rPr>
                <w:color w:val="000000" w:themeColor="text1"/>
                <w:sz w:val="20"/>
                <w:szCs w:val="20"/>
              </w:rPr>
              <w:t>Ethanol</w:t>
            </w:r>
          </w:p>
        </w:tc>
      </w:tr>
      <w:tr w:rsidR="005A1902" w:rsidRPr="00EA1221" w14:paraId="694A7FE2" w14:textId="77777777" w:rsidTr="00911D80">
        <w:trPr>
          <w:trHeight w:val="397"/>
          <w:jc w:val="center"/>
        </w:trPr>
        <w:tc>
          <w:tcPr>
            <w:tcW w:w="3402" w:type="dxa"/>
            <w:shd w:val="clear" w:color="auto" w:fill="FFFFFF"/>
            <w:vAlign w:val="center"/>
            <w:hideMark/>
          </w:tcPr>
          <w:p w14:paraId="08A38831" w14:textId="77777777" w:rsidR="005A1902" w:rsidRPr="00EA1221" w:rsidRDefault="005A1902" w:rsidP="00911D80">
            <w:pPr>
              <w:spacing w:line="240" w:lineRule="auto"/>
              <w:ind w:firstLine="227"/>
              <w:jc w:val="left"/>
              <w:rPr>
                <w:b/>
                <w:bCs/>
                <w:color w:val="000000"/>
                <w:sz w:val="20"/>
                <w:szCs w:val="20"/>
              </w:rPr>
            </w:pPr>
            <w:r w:rsidRPr="00EA1221">
              <w:rPr>
                <w:b/>
                <w:bCs/>
                <w:color w:val="000000"/>
                <w:sz w:val="20"/>
                <w:szCs w:val="20"/>
              </w:rPr>
              <w:t>Wavelength/ Å</w:t>
            </w:r>
          </w:p>
        </w:tc>
        <w:tc>
          <w:tcPr>
            <w:tcW w:w="3402" w:type="dxa"/>
            <w:shd w:val="clear" w:color="auto" w:fill="FFFFFF"/>
            <w:vAlign w:val="center"/>
          </w:tcPr>
          <w:p w14:paraId="04AC83D7" w14:textId="1482BBD3" w:rsidR="005A1902" w:rsidRPr="00EA1221" w:rsidRDefault="0081155C" w:rsidP="00911D80">
            <w:pPr>
              <w:spacing w:line="240" w:lineRule="auto"/>
              <w:ind w:firstLine="227"/>
              <w:jc w:val="left"/>
              <w:rPr>
                <w:color w:val="000000" w:themeColor="text1"/>
                <w:sz w:val="20"/>
                <w:szCs w:val="20"/>
              </w:rPr>
            </w:pPr>
            <w:r w:rsidRPr="0081155C">
              <w:rPr>
                <w:color w:val="000000" w:themeColor="text1"/>
                <w:sz w:val="20"/>
                <w:szCs w:val="20"/>
              </w:rPr>
              <w:t>Synchrotron</w:t>
            </w:r>
            <w:r>
              <w:rPr>
                <w:color w:val="000000" w:themeColor="text1"/>
                <w:sz w:val="20"/>
                <w:szCs w:val="20"/>
              </w:rPr>
              <w:t xml:space="preserve">, </w:t>
            </w:r>
            <w:r w:rsidRPr="0081155C">
              <w:rPr>
                <w:color w:val="000000" w:themeColor="text1"/>
                <w:sz w:val="20"/>
                <w:szCs w:val="20"/>
              </w:rPr>
              <w:t>0.6889</w:t>
            </w:r>
          </w:p>
        </w:tc>
      </w:tr>
      <w:tr w:rsidR="005A1902" w:rsidRPr="00EA1221" w14:paraId="40B9E936" w14:textId="77777777" w:rsidTr="00911D80">
        <w:trPr>
          <w:trHeight w:val="397"/>
          <w:jc w:val="center"/>
        </w:trPr>
        <w:tc>
          <w:tcPr>
            <w:tcW w:w="3402" w:type="dxa"/>
            <w:shd w:val="clear" w:color="auto" w:fill="FFFFFF"/>
            <w:vAlign w:val="center"/>
            <w:hideMark/>
          </w:tcPr>
          <w:p w14:paraId="6A18E474" w14:textId="77777777" w:rsidR="005A1902" w:rsidRPr="002C506D" w:rsidRDefault="005A1902" w:rsidP="00911D80">
            <w:pPr>
              <w:spacing w:line="240" w:lineRule="auto"/>
              <w:ind w:firstLine="227"/>
              <w:jc w:val="left"/>
              <w:rPr>
                <w:b/>
                <w:bCs/>
                <w:color w:val="000000" w:themeColor="text1"/>
                <w:sz w:val="20"/>
                <w:szCs w:val="20"/>
              </w:rPr>
            </w:pPr>
            <w:r w:rsidRPr="002C506D">
              <w:rPr>
                <w:b/>
                <w:bCs/>
                <w:color w:val="000000" w:themeColor="text1"/>
                <w:sz w:val="20"/>
                <w:szCs w:val="20"/>
              </w:rPr>
              <w:t>Formula</w:t>
            </w:r>
          </w:p>
        </w:tc>
        <w:tc>
          <w:tcPr>
            <w:tcW w:w="3402" w:type="dxa"/>
            <w:shd w:val="clear" w:color="auto" w:fill="FFFFFF"/>
            <w:vAlign w:val="center"/>
          </w:tcPr>
          <w:p w14:paraId="580130CC" w14:textId="407564EE" w:rsidR="005A1902" w:rsidRPr="002C506D" w:rsidRDefault="00A07EF7" w:rsidP="00911D80">
            <w:pPr>
              <w:spacing w:line="240" w:lineRule="auto"/>
              <w:ind w:firstLine="227"/>
              <w:jc w:val="left"/>
              <w:rPr>
                <w:color w:val="000000" w:themeColor="text1"/>
                <w:sz w:val="20"/>
                <w:szCs w:val="20"/>
              </w:rPr>
            </w:pPr>
            <w:r w:rsidRPr="002C506D">
              <w:rPr>
                <w:color w:val="000000" w:themeColor="text1"/>
                <w:sz w:val="20"/>
                <w:szCs w:val="20"/>
              </w:rPr>
              <w:t>C</w:t>
            </w:r>
            <w:r w:rsidR="001619AA">
              <w:rPr>
                <w:color w:val="000000" w:themeColor="text1"/>
                <w:sz w:val="20"/>
                <w:szCs w:val="20"/>
                <w:vertAlign w:val="subscript"/>
              </w:rPr>
              <w:t>120</w:t>
            </w:r>
            <w:r w:rsidR="009052C7" w:rsidRPr="002C506D">
              <w:rPr>
                <w:color w:val="000000" w:themeColor="text1"/>
                <w:sz w:val="20"/>
                <w:szCs w:val="20"/>
                <w:vertAlign w:val="subscript"/>
              </w:rPr>
              <w:t xml:space="preserve"> </w:t>
            </w:r>
            <w:r w:rsidRPr="002C506D">
              <w:rPr>
                <w:color w:val="000000" w:themeColor="text1"/>
                <w:sz w:val="20"/>
                <w:szCs w:val="20"/>
              </w:rPr>
              <w:t>H</w:t>
            </w:r>
            <w:r w:rsidR="001619AA">
              <w:rPr>
                <w:color w:val="000000" w:themeColor="text1"/>
                <w:sz w:val="20"/>
                <w:szCs w:val="20"/>
                <w:vertAlign w:val="subscript"/>
              </w:rPr>
              <w:t>24</w:t>
            </w:r>
            <w:r w:rsidR="009052C7" w:rsidRPr="002C506D">
              <w:rPr>
                <w:color w:val="000000" w:themeColor="text1"/>
                <w:sz w:val="20"/>
                <w:szCs w:val="20"/>
                <w:vertAlign w:val="subscript"/>
              </w:rPr>
              <w:t xml:space="preserve"> </w:t>
            </w:r>
            <w:r w:rsidR="001619AA">
              <w:rPr>
                <w:color w:val="000000" w:themeColor="text1"/>
                <w:sz w:val="20"/>
                <w:szCs w:val="20"/>
              </w:rPr>
              <w:t>F</w:t>
            </w:r>
            <w:r w:rsidR="001619AA">
              <w:rPr>
                <w:color w:val="000000" w:themeColor="text1"/>
                <w:sz w:val="20"/>
                <w:szCs w:val="20"/>
                <w:vertAlign w:val="subscript"/>
              </w:rPr>
              <w:t xml:space="preserve">24 </w:t>
            </w:r>
            <w:r w:rsidRPr="001619AA">
              <w:rPr>
                <w:color w:val="000000" w:themeColor="text1"/>
                <w:sz w:val="20"/>
                <w:szCs w:val="20"/>
              </w:rPr>
              <w:t>N</w:t>
            </w:r>
            <w:r w:rsidR="001619AA">
              <w:rPr>
                <w:color w:val="000000" w:themeColor="text1"/>
                <w:sz w:val="20"/>
                <w:szCs w:val="20"/>
                <w:vertAlign w:val="subscript"/>
              </w:rPr>
              <w:t>36</w:t>
            </w:r>
            <w:r w:rsidR="009052C7" w:rsidRPr="002C506D">
              <w:rPr>
                <w:color w:val="000000" w:themeColor="text1"/>
                <w:sz w:val="20"/>
                <w:szCs w:val="20"/>
                <w:vertAlign w:val="subscript"/>
              </w:rPr>
              <w:t xml:space="preserve"> </w:t>
            </w:r>
            <w:r w:rsidRPr="002C506D">
              <w:rPr>
                <w:color w:val="000000" w:themeColor="text1"/>
                <w:sz w:val="20"/>
                <w:szCs w:val="20"/>
              </w:rPr>
              <w:t>O</w:t>
            </w:r>
            <w:r w:rsidR="001619AA">
              <w:rPr>
                <w:color w:val="000000" w:themeColor="text1"/>
                <w:sz w:val="20"/>
                <w:szCs w:val="20"/>
                <w:vertAlign w:val="subscript"/>
              </w:rPr>
              <w:t>36</w:t>
            </w:r>
          </w:p>
        </w:tc>
      </w:tr>
      <w:tr w:rsidR="005A1902" w:rsidRPr="00EA1221" w14:paraId="42B0D33C" w14:textId="77777777" w:rsidTr="00911D80">
        <w:trPr>
          <w:trHeight w:val="397"/>
          <w:jc w:val="center"/>
        </w:trPr>
        <w:tc>
          <w:tcPr>
            <w:tcW w:w="3402" w:type="dxa"/>
            <w:shd w:val="clear" w:color="auto" w:fill="FFFFFF"/>
            <w:vAlign w:val="center"/>
            <w:hideMark/>
          </w:tcPr>
          <w:p w14:paraId="3734940F" w14:textId="77777777" w:rsidR="005A1902" w:rsidRPr="002C506D" w:rsidRDefault="005A1902" w:rsidP="00911D80">
            <w:pPr>
              <w:spacing w:line="240" w:lineRule="auto"/>
              <w:ind w:firstLine="227"/>
              <w:jc w:val="left"/>
              <w:rPr>
                <w:b/>
                <w:bCs/>
                <w:color w:val="000000" w:themeColor="text1"/>
                <w:sz w:val="20"/>
                <w:szCs w:val="20"/>
              </w:rPr>
            </w:pPr>
            <w:r w:rsidRPr="002C506D">
              <w:rPr>
                <w:b/>
                <w:bCs/>
                <w:color w:val="000000" w:themeColor="text1"/>
                <w:sz w:val="20"/>
                <w:szCs w:val="20"/>
              </w:rPr>
              <w:t>Weight</w:t>
            </w:r>
          </w:p>
        </w:tc>
        <w:tc>
          <w:tcPr>
            <w:tcW w:w="3402" w:type="dxa"/>
            <w:shd w:val="clear" w:color="auto" w:fill="FFFFFF"/>
            <w:vAlign w:val="center"/>
          </w:tcPr>
          <w:p w14:paraId="7720DC50" w14:textId="63E27030"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3001.75</w:t>
            </w:r>
          </w:p>
        </w:tc>
      </w:tr>
      <w:tr w:rsidR="005A1902" w:rsidRPr="00EA1221" w14:paraId="718D3834" w14:textId="77777777" w:rsidTr="00911D80">
        <w:trPr>
          <w:trHeight w:val="397"/>
          <w:jc w:val="center"/>
        </w:trPr>
        <w:tc>
          <w:tcPr>
            <w:tcW w:w="3402" w:type="dxa"/>
            <w:shd w:val="clear" w:color="auto" w:fill="FFFFFF"/>
            <w:vAlign w:val="center"/>
            <w:hideMark/>
          </w:tcPr>
          <w:p w14:paraId="14A48D7A" w14:textId="77777777" w:rsidR="005A1902" w:rsidRPr="002C506D" w:rsidRDefault="005A1902" w:rsidP="00911D80">
            <w:pPr>
              <w:spacing w:line="240" w:lineRule="auto"/>
              <w:ind w:firstLine="227"/>
              <w:jc w:val="left"/>
              <w:rPr>
                <w:b/>
                <w:bCs/>
                <w:color w:val="000000" w:themeColor="text1"/>
                <w:sz w:val="20"/>
                <w:szCs w:val="20"/>
              </w:rPr>
            </w:pPr>
            <w:r w:rsidRPr="002C506D">
              <w:rPr>
                <w:b/>
                <w:bCs/>
                <w:color w:val="000000" w:themeColor="text1"/>
                <w:sz w:val="20"/>
                <w:szCs w:val="20"/>
              </w:rPr>
              <w:t>Crystal system</w:t>
            </w:r>
          </w:p>
        </w:tc>
        <w:tc>
          <w:tcPr>
            <w:tcW w:w="3402" w:type="dxa"/>
            <w:shd w:val="clear" w:color="auto" w:fill="FFFFFF"/>
            <w:vAlign w:val="center"/>
          </w:tcPr>
          <w:p w14:paraId="07D42B49" w14:textId="27D01781"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monoclinic</w:t>
            </w:r>
          </w:p>
        </w:tc>
      </w:tr>
      <w:tr w:rsidR="005A1902" w:rsidRPr="00EA1221" w14:paraId="3B8C6520" w14:textId="77777777" w:rsidTr="00911D80">
        <w:trPr>
          <w:trHeight w:val="397"/>
          <w:jc w:val="center"/>
        </w:trPr>
        <w:tc>
          <w:tcPr>
            <w:tcW w:w="3402" w:type="dxa"/>
            <w:shd w:val="clear" w:color="auto" w:fill="FFFFFF"/>
            <w:vAlign w:val="center"/>
            <w:hideMark/>
          </w:tcPr>
          <w:p w14:paraId="51B214EE" w14:textId="77777777" w:rsidR="005A1902" w:rsidRPr="002C506D" w:rsidRDefault="005A1902" w:rsidP="00911D80">
            <w:pPr>
              <w:spacing w:line="240" w:lineRule="auto"/>
              <w:ind w:firstLine="227"/>
              <w:jc w:val="left"/>
              <w:rPr>
                <w:b/>
                <w:bCs/>
                <w:color w:val="000000" w:themeColor="text1"/>
                <w:sz w:val="20"/>
                <w:szCs w:val="20"/>
              </w:rPr>
            </w:pPr>
            <w:r w:rsidRPr="002C506D">
              <w:rPr>
                <w:b/>
                <w:bCs/>
                <w:color w:val="000000" w:themeColor="text1"/>
                <w:sz w:val="20"/>
                <w:szCs w:val="20"/>
              </w:rPr>
              <w:t>Space group</w:t>
            </w:r>
          </w:p>
        </w:tc>
        <w:tc>
          <w:tcPr>
            <w:tcW w:w="3402" w:type="dxa"/>
            <w:shd w:val="clear" w:color="auto" w:fill="FFFFFF"/>
            <w:vAlign w:val="center"/>
          </w:tcPr>
          <w:p w14:paraId="37D9D9FC" w14:textId="1785E50F" w:rsidR="005A1902" w:rsidRPr="002C506D" w:rsidRDefault="005A1902" w:rsidP="00911D80">
            <w:pPr>
              <w:spacing w:line="240" w:lineRule="auto"/>
              <w:ind w:firstLine="227"/>
              <w:jc w:val="left"/>
              <w:rPr>
                <w:color w:val="000000" w:themeColor="text1"/>
                <w:sz w:val="20"/>
                <w:szCs w:val="20"/>
              </w:rPr>
            </w:pPr>
            <w:r w:rsidRPr="002C506D">
              <w:rPr>
                <w:i/>
                <w:color w:val="000000" w:themeColor="text1"/>
                <w:sz w:val="20"/>
                <w:szCs w:val="20"/>
              </w:rPr>
              <w:t>P</w:t>
            </w:r>
            <w:r w:rsidR="001619AA">
              <w:rPr>
                <w:color w:val="000000" w:themeColor="text1"/>
                <w:sz w:val="20"/>
                <w:szCs w:val="20"/>
              </w:rPr>
              <w:t>2</w:t>
            </w:r>
            <w:r w:rsidR="001619AA" w:rsidRPr="001619AA">
              <w:rPr>
                <w:color w:val="000000" w:themeColor="text1"/>
                <w:sz w:val="20"/>
                <w:szCs w:val="20"/>
                <w:vertAlign w:val="subscript"/>
              </w:rPr>
              <w:t>1</w:t>
            </w:r>
          </w:p>
        </w:tc>
      </w:tr>
      <w:tr w:rsidR="005A1902" w:rsidRPr="00EA1221" w14:paraId="5D1E5BA5" w14:textId="77777777" w:rsidTr="00911D80">
        <w:trPr>
          <w:trHeight w:val="397"/>
          <w:jc w:val="center"/>
        </w:trPr>
        <w:tc>
          <w:tcPr>
            <w:tcW w:w="3402" w:type="dxa"/>
            <w:shd w:val="clear" w:color="auto" w:fill="FFFFFF"/>
            <w:vAlign w:val="center"/>
            <w:hideMark/>
          </w:tcPr>
          <w:p w14:paraId="14104888" w14:textId="51D4EAF3" w:rsidR="005A1902" w:rsidRPr="002C506D" w:rsidRDefault="00A12786" w:rsidP="00911D80">
            <w:pPr>
              <w:spacing w:line="240" w:lineRule="auto"/>
              <w:ind w:firstLine="227"/>
              <w:jc w:val="left"/>
              <w:rPr>
                <w:b/>
                <w:bCs/>
                <w:color w:val="000000" w:themeColor="text1"/>
                <w:sz w:val="20"/>
                <w:szCs w:val="20"/>
              </w:rPr>
            </w:pPr>
            <w:r w:rsidRPr="002C506D">
              <w:rPr>
                <w:b/>
                <w:bCs/>
                <w:i/>
                <w:color w:val="000000" w:themeColor="text1"/>
                <w:sz w:val="20"/>
                <w:szCs w:val="20"/>
              </w:rPr>
              <w:t xml:space="preserve">a </w:t>
            </w:r>
            <w:r w:rsidR="005A1902" w:rsidRPr="002C506D">
              <w:rPr>
                <w:b/>
                <w:bCs/>
                <w:color w:val="000000" w:themeColor="text1"/>
                <w:sz w:val="20"/>
                <w:szCs w:val="20"/>
              </w:rPr>
              <w:t>(Å)</w:t>
            </w:r>
          </w:p>
        </w:tc>
        <w:tc>
          <w:tcPr>
            <w:tcW w:w="3402" w:type="dxa"/>
            <w:shd w:val="clear" w:color="auto" w:fill="FFFFFF"/>
            <w:vAlign w:val="center"/>
          </w:tcPr>
          <w:p w14:paraId="4FBB3CF5" w14:textId="2C30B981"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16.2851(7)</w:t>
            </w:r>
          </w:p>
        </w:tc>
      </w:tr>
      <w:tr w:rsidR="001619AA" w:rsidRPr="00EA1221" w14:paraId="1402874C" w14:textId="77777777" w:rsidTr="00911D80">
        <w:trPr>
          <w:trHeight w:val="397"/>
          <w:jc w:val="center"/>
        </w:trPr>
        <w:tc>
          <w:tcPr>
            <w:tcW w:w="3402" w:type="dxa"/>
            <w:shd w:val="clear" w:color="auto" w:fill="FFFFFF"/>
            <w:vAlign w:val="center"/>
          </w:tcPr>
          <w:p w14:paraId="78751D5B" w14:textId="1FEE35CF" w:rsidR="001619AA" w:rsidRPr="002C506D" w:rsidRDefault="001619AA" w:rsidP="00911D80">
            <w:pPr>
              <w:spacing w:line="240" w:lineRule="auto"/>
              <w:ind w:firstLine="227"/>
              <w:jc w:val="left"/>
              <w:rPr>
                <w:b/>
                <w:bCs/>
                <w:i/>
                <w:color w:val="000000" w:themeColor="text1"/>
                <w:sz w:val="20"/>
                <w:szCs w:val="20"/>
              </w:rPr>
            </w:pPr>
            <w:r>
              <w:rPr>
                <w:b/>
                <w:bCs/>
                <w:i/>
                <w:color w:val="000000" w:themeColor="text1"/>
                <w:sz w:val="20"/>
                <w:szCs w:val="20"/>
              </w:rPr>
              <w:t>b</w:t>
            </w:r>
            <w:r w:rsidRPr="002C506D">
              <w:rPr>
                <w:b/>
                <w:bCs/>
                <w:color w:val="000000" w:themeColor="text1"/>
                <w:sz w:val="20"/>
                <w:szCs w:val="20"/>
              </w:rPr>
              <w:t xml:space="preserve"> (Å)</w:t>
            </w:r>
          </w:p>
        </w:tc>
        <w:tc>
          <w:tcPr>
            <w:tcW w:w="3402" w:type="dxa"/>
            <w:shd w:val="clear" w:color="auto" w:fill="FFFFFF"/>
            <w:vAlign w:val="center"/>
          </w:tcPr>
          <w:p w14:paraId="3FF4237F" w14:textId="1B43BA3A" w:rsidR="001619AA" w:rsidRPr="001619AA" w:rsidRDefault="001619AA" w:rsidP="00911D80">
            <w:pPr>
              <w:spacing w:line="240" w:lineRule="auto"/>
              <w:ind w:firstLine="227"/>
              <w:jc w:val="left"/>
              <w:rPr>
                <w:color w:val="000000" w:themeColor="text1"/>
                <w:sz w:val="20"/>
                <w:szCs w:val="20"/>
              </w:rPr>
            </w:pPr>
            <w:r w:rsidRPr="001619AA">
              <w:rPr>
                <w:color w:val="000000" w:themeColor="text1"/>
                <w:sz w:val="20"/>
                <w:szCs w:val="20"/>
              </w:rPr>
              <w:t>37.1746(17)</w:t>
            </w:r>
          </w:p>
        </w:tc>
      </w:tr>
      <w:tr w:rsidR="005A1902" w:rsidRPr="00EA1221" w14:paraId="0BB850F7" w14:textId="77777777" w:rsidTr="00911D80">
        <w:trPr>
          <w:trHeight w:val="397"/>
          <w:jc w:val="center"/>
        </w:trPr>
        <w:tc>
          <w:tcPr>
            <w:tcW w:w="3402" w:type="dxa"/>
            <w:shd w:val="clear" w:color="auto" w:fill="FFFFFF"/>
            <w:vAlign w:val="center"/>
            <w:hideMark/>
          </w:tcPr>
          <w:p w14:paraId="3A6E6D15" w14:textId="77777777" w:rsidR="005A1902" w:rsidRPr="002C506D" w:rsidRDefault="005A1902" w:rsidP="00911D80">
            <w:pPr>
              <w:spacing w:line="240" w:lineRule="auto"/>
              <w:ind w:firstLine="227"/>
              <w:jc w:val="left"/>
              <w:rPr>
                <w:b/>
                <w:bCs/>
                <w:color w:val="000000" w:themeColor="text1"/>
                <w:sz w:val="20"/>
                <w:szCs w:val="20"/>
              </w:rPr>
            </w:pPr>
            <w:r w:rsidRPr="002C506D">
              <w:rPr>
                <w:b/>
                <w:bCs/>
                <w:i/>
                <w:color w:val="000000" w:themeColor="text1"/>
                <w:sz w:val="20"/>
                <w:szCs w:val="20"/>
              </w:rPr>
              <w:t>c</w:t>
            </w:r>
            <w:r w:rsidRPr="002C506D">
              <w:rPr>
                <w:b/>
                <w:bCs/>
                <w:color w:val="000000" w:themeColor="text1"/>
                <w:sz w:val="20"/>
                <w:szCs w:val="20"/>
              </w:rPr>
              <w:t xml:space="preserve"> (Å)</w:t>
            </w:r>
          </w:p>
        </w:tc>
        <w:tc>
          <w:tcPr>
            <w:tcW w:w="3402" w:type="dxa"/>
            <w:shd w:val="clear" w:color="auto" w:fill="FFFFFF"/>
            <w:vAlign w:val="center"/>
          </w:tcPr>
          <w:p w14:paraId="395BA43B" w14:textId="578AC438"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16.5847(10)</w:t>
            </w:r>
          </w:p>
        </w:tc>
      </w:tr>
      <w:tr w:rsidR="005A1902" w:rsidRPr="00EA1221" w14:paraId="6A182599" w14:textId="77777777" w:rsidTr="00911D80">
        <w:trPr>
          <w:trHeight w:val="397"/>
          <w:jc w:val="center"/>
        </w:trPr>
        <w:tc>
          <w:tcPr>
            <w:tcW w:w="3402" w:type="dxa"/>
            <w:shd w:val="clear" w:color="auto" w:fill="FFFFFF"/>
            <w:vAlign w:val="center"/>
            <w:hideMark/>
          </w:tcPr>
          <w:p w14:paraId="3906CBED" w14:textId="0CCE3B25" w:rsidR="005A1902" w:rsidRPr="002C506D" w:rsidRDefault="005A1902" w:rsidP="00911D80">
            <w:pPr>
              <w:spacing w:line="240" w:lineRule="auto"/>
              <w:ind w:firstLine="227"/>
              <w:jc w:val="left"/>
              <w:rPr>
                <w:b/>
                <w:bCs/>
                <w:color w:val="000000" w:themeColor="text1"/>
                <w:sz w:val="20"/>
                <w:szCs w:val="20"/>
              </w:rPr>
            </w:pPr>
            <w:r w:rsidRPr="002C506D">
              <w:rPr>
                <w:b/>
                <w:bCs/>
                <w:i/>
                <w:color w:val="000000" w:themeColor="text1"/>
                <w:sz w:val="20"/>
                <w:szCs w:val="20"/>
              </w:rPr>
              <w:t>α</w:t>
            </w:r>
            <w:r w:rsidR="00A12786" w:rsidRPr="002C506D">
              <w:rPr>
                <w:b/>
                <w:bCs/>
                <w:color w:val="000000" w:themeColor="text1"/>
                <w:sz w:val="20"/>
                <w:szCs w:val="20"/>
              </w:rPr>
              <w:t xml:space="preserve"> </w:t>
            </w:r>
            <w:r w:rsidRPr="002C506D">
              <w:rPr>
                <w:b/>
                <w:bCs/>
                <w:color w:val="000000" w:themeColor="text1"/>
                <w:sz w:val="20"/>
                <w:szCs w:val="20"/>
              </w:rPr>
              <w:t>(°)</w:t>
            </w:r>
          </w:p>
        </w:tc>
        <w:tc>
          <w:tcPr>
            <w:tcW w:w="3402" w:type="dxa"/>
            <w:shd w:val="clear" w:color="auto" w:fill="FFFFFF"/>
            <w:vAlign w:val="center"/>
          </w:tcPr>
          <w:p w14:paraId="54CA25C7" w14:textId="77777777" w:rsidR="005A1902" w:rsidRPr="002C506D" w:rsidRDefault="005A1902" w:rsidP="00911D80">
            <w:pPr>
              <w:spacing w:line="240" w:lineRule="auto"/>
              <w:ind w:firstLine="227"/>
              <w:jc w:val="left"/>
              <w:rPr>
                <w:color w:val="000000" w:themeColor="text1"/>
                <w:sz w:val="20"/>
                <w:szCs w:val="20"/>
              </w:rPr>
            </w:pPr>
            <w:r w:rsidRPr="002C506D">
              <w:rPr>
                <w:color w:val="000000" w:themeColor="text1"/>
                <w:sz w:val="20"/>
                <w:szCs w:val="20"/>
              </w:rPr>
              <w:t>90</w:t>
            </w:r>
          </w:p>
        </w:tc>
      </w:tr>
      <w:tr w:rsidR="001619AA" w:rsidRPr="00EA1221" w14:paraId="4EC72DF0" w14:textId="77777777" w:rsidTr="00911D80">
        <w:trPr>
          <w:trHeight w:val="397"/>
          <w:jc w:val="center"/>
        </w:trPr>
        <w:tc>
          <w:tcPr>
            <w:tcW w:w="3402" w:type="dxa"/>
            <w:shd w:val="clear" w:color="auto" w:fill="FFFFFF"/>
            <w:vAlign w:val="center"/>
          </w:tcPr>
          <w:p w14:paraId="2D2EF702" w14:textId="64A7A1C3" w:rsidR="001619AA" w:rsidRPr="002C506D" w:rsidRDefault="001619AA" w:rsidP="00911D80">
            <w:pPr>
              <w:spacing w:line="240" w:lineRule="auto"/>
              <w:ind w:firstLine="227"/>
              <w:jc w:val="left"/>
              <w:rPr>
                <w:b/>
                <w:bCs/>
                <w:i/>
                <w:color w:val="000000" w:themeColor="text1"/>
                <w:sz w:val="20"/>
                <w:szCs w:val="20"/>
              </w:rPr>
            </w:pPr>
            <w:r w:rsidRPr="002C506D">
              <w:rPr>
                <w:b/>
                <w:bCs/>
                <w:i/>
                <w:color w:val="000000" w:themeColor="text1"/>
                <w:sz w:val="20"/>
                <w:szCs w:val="20"/>
              </w:rPr>
              <w:t>β</w:t>
            </w:r>
            <w:r w:rsidRPr="002C506D">
              <w:rPr>
                <w:b/>
                <w:bCs/>
                <w:color w:val="000000" w:themeColor="text1"/>
                <w:sz w:val="20"/>
                <w:szCs w:val="20"/>
              </w:rPr>
              <w:t xml:space="preserve"> (°)</w:t>
            </w:r>
          </w:p>
        </w:tc>
        <w:tc>
          <w:tcPr>
            <w:tcW w:w="3402" w:type="dxa"/>
            <w:shd w:val="clear" w:color="auto" w:fill="FFFFFF"/>
            <w:vAlign w:val="center"/>
          </w:tcPr>
          <w:p w14:paraId="7DC6CD84" w14:textId="7ED1A7FF" w:rsidR="001619AA"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93.767(5)</w:t>
            </w:r>
          </w:p>
        </w:tc>
      </w:tr>
      <w:tr w:rsidR="005A1902" w:rsidRPr="00EA1221" w14:paraId="2EAC5205" w14:textId="77777777" w:rsidTr="00911D80">
        <w:trPr>
          <w:trHeight w:val="397"/>
          <w:jc w:val="center"/>
        </w:trPr>
        <w:tc>
          <w:tcPr>
            <w:tcW w:w="3402" w:type="dxa"/>
            <w:shd w:val="clear" w:color="auto" w:fill="FFFFFF"/>
            <w:vAlign w:val="center"/>
            <w:hideMark/>
          </w:tcPr>
          <w:p w14:paraId="43FBD627" w14:textId="77777777" w:rsidR="005A1902" w:rsidRPr="002C506D" w:rsidRDefault="005A1902" w:rsidP="00911D80">
            <w:pPr>
              <w:spacing w:line="240" w:lineRule="auto"/>
              <w:ind w:firstLine="227"/>
              <w:jc w:val="left"/>
              <w:rPr>
                <w:b/>
                <w:bCs/>
                <w:color w:val="000000" w:themeColor="text1"/>
                <w:sz w:val="20"/>
                <w:szCs w:val="20"/>
              </w:rPr>
            </w:pPr>
            <w:r w:rsidRPr="002C506D">
              <w:rPr>
                <w:b/>
                <w:bCs/>
                <w:i/>
                <w:color w:val="000000" w:themeColor="text1"/>
                <w:sz w:val="20"/>
                <w:szCs w:val="20"/>
              </w:rPr>
              <w:t xml:space="preserve">γ </w:t>
            </w:r>
            <w:r w:rsidRPr="002C506D">
              <w:rPr>
                <w:b/>
                <w:bCs/>
                <w:color w:val="000000" w:themeColor="text1"/>
                <w:sz w:val="20"/>
                <w:szCs w:val="20"/>
              </w:rPr>
              <w:t>(°)</w:t>
            </w:r>
          </w:p>
        </w:tc>
        <w:tc>
          <w:tcPr>
            <w:tcW w:w="3402" w:type="dxa"/>
            <w:shd w:val="clear" w:color="auto" w:fill="FFFFFF"/>
            <w:vAlign w:val="center"/>
          </w:tcPr>
          <w:p w14:paraId="2F536DE9" w14:textId="683E4CA7" w:rsidR="005A1902" w:rsidRPr="002C506D" w:rsidRDefault="001619AA" w:rsidP="00911D80">
            <w:pPr>
              <w:spacing w:line="240" w:lineRule="auto"/>
              <w:ind w:firstLine="227"/>
              <w:jc w:val="left"/>
              <w:rPr>
                <w:color w:val="000000" w:themeColor="text1"/>
                <w:sz w:val="20"/>
                <w:szCs w:val="20"/>
              </w:rPr>
            </w:pPr>
            <w:r>
              <w:rPr>
                <w:color w:val="000000" w:themeColor="text1"/>
                <w:sz w:val="20"/>
                <w:szCs w:val="20"/>
              </w:rPr>
              <w:t>90</w:t>
            </w:r>
          </w:p>
        </w:tc>
      </w:tr>
      <w:tr w:rsidR="005A1902" w:rsidRPr="00EA1221" w14:paraId="4D2C0000" w14:textId="77777777" w:rsidTr="00911D80">
        <w:trPr>
          <w:trHeight w:val="397"/>
          <w:jc w:val="center"/>
        </w:trPr>
        <w:tc>
          <w:tcPr>
            <w:tcW w:w="3402" w:type="dxa"/>
            <w:shd w:val="clear" w:color="auto" w:fill="FFFFFF"/>
            <w:vAlign w:val="center"/>
            <w:hideMark/>
          </w:tcPr>
          <w:p w14:paraId="23D36382" w14:textId="77777777" w:rsidR="005A1902" w:rsidRPr="002C506D" w:rsidRDefault="005A1902" w:rsidP="00911D80">
            <w:pPr>
              <w:spacing w:line="240" w:lineRule="auto"/>
              <w:ind w:firstLine="227"/>
              <w:jc w:val="left"/>
              <w:rPr>
                <w:b/>
                <w:bCs/>
                <w:color w:val="000000" w:themeColor="text1"/>
                <w:sz w:val="20"/>
                <w:szCs w:val="20"/>
              </w:rPr>
            </w:pPr>
            <w:r w:rsidRPr="002C506D">
              <w:rPr>
                <w:b/>
                <w:bCs/>
                <w:i/>
                <w:color w:val="000000" w:themeColor="text1"/>
                <w:sz w:val="20"/>
                <w:szCs w:val="20"/>
              </w:rPr>
              <w:t>V</w:t>
            </w:r>
            <w:r w:rsidRPr="002C506D">
              <w:rPr>
                <w:b/>
                <w:bCs/>
                <w:color w:val="000000" w:themeColor="text1"/>
                <w:sz w:val="20"/>
                <w:szCs w:val="20"/>
              </w:rPr>
              <w:t xml:space="preserve"> (Å</w:t>
            </w:r>
            <w:r w:rsidRPr="002C506D">
              <w:rPr>
                <w:b/>
                <w:bCs/>
                <w:color w:val="000000" w:themeColor="text1"/>
                <w:sz w:val="20"/>
                <w:szCs w:val="20"/>
                <w:vertAlign w:val="superscript"/>
              </w:rPr>
              <w:t>3</w:t>
            </w:r>
            <w:r w:rsidRPr="002C506D">
              <w:rPr>
                <w:b/>
                <w:bCs/>
                <w:color w:val="000000" w:themeColor="text1"/>
                <w:sz w:val="20"/>
                <w:szCs w:val="20"/>
              </w:rPr>
              <w:t>)</w:t>
            </w:r>
          </w:p>
        </w:tc>
        <w:tc>
          <w:tcPr>
            <w:tcW w:w="3402" w:type="dxa"/>
            <w:shd w:val="clear" w:color="auto" w:fill="FFFFFF"/>
            <w:vAlign w:val="center"/>
          </w:tcPr>
          <w:p w14:paraId="7F9D35F5" w14:textId="10E9FF0D"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10018.6(9)</w:t>
            </w:r>
          </w:p>
        </w:tc>
      </w:tr>
      <w:tr w:rsidR="005A1902" w:rsidRPr="00EA1221" w14:paraId="06E87B9E" w14:textId="77777777" w:rsidTr="00911D80">
        <w:trPr>
          <w:trHeight w:val="397"/>
          <w:jc w:val="center"/>
        </w:trPr>
        <w:tc>
          <w:tcPr>
            <w:tcW w:w="3402" w:type="dxa"/>
            <w:shd w:val="clear" w:color="auto" w:fill="FFFFFF"/>
            <w:vAlign w:val="center"/>
            <w:hideMark/>
          </w:tcPr>
          <w:p w14:paraId="2C08CD8D" w14:textId="77777777" w:rsidR="005A1902" w:rsidRPr="002C506D" w:rsidRDefault="005A1902" w:rsidP="00911D80">
            <w:pPr>
              <w:spacing w:line="240" w:lineRule="auto"/>
              <w:ind w:firstLine="227"/>
              <w:jc w:val="left"/>
              <w:rPr>
                <w:b/>
                <w:bCs/>
                <w:color w:val="000000" w:themeColor="text1"/>
                <w:sz w:val="20"/>
                <w:szCs w:val="20"/>
              </w:rPr>
            </w:pPr>
            <w:r w:rsidRPr="002C506D">
              <w:rPr>
                <w:b/>
                <w:bCs/>
                <w:i/>
                <w:color w:val="000000" w:themeColor="text1"/>
                <w:sz w:val="20"/>
                <w:szCs w:val="20"/>
              </w:rPr>
              <w:t>ρ</w:t>
            </w:r>
            <w:r w:rsidRPr="002C506D">
              <w:rPr>
                <w:b/>
                <w:bCs/>
                <w:color w:val="000000" w:themeColor="text1"/>
                <w:sz w:val="20"/>
                <w:szCs w:val="20"/>
              </w:rPr>
              <w:t xml:space="preserve"> </w:t>
            </w:r>
            <w:proofErr w:type="spellStart"/>
            <w:r w:rsidRPr="002C506D">
              <w:rPr>
                <w:b/>
                <w:bCs/>
                <w:color w:val="000000" w:themeColor="text1"/>
                <w:sz w:val="20"/>
                <w:szCs w:val="20"/>
                <w:vertAlign w:val="subscript"/>
              </w:rPr>
              <w:t>calcd</w:t>
            </w:r>
            <w:proofErr w:type="spellEnd"/>
            <w:r w:rsidRPr="002C506D">
              <w:rPr>
                <w:b/>
                <w:bCs/>
                <w:color w:val="000000" w:themeColor="text1"/>
                <w:sz w:val="20"/>
                <w:szCs w:val="20"/>
                <w:vertAlign w:val="subscript"/>
              </w:rPr>
              <w:t xml:space="preserve"> </w:t>
            </w:r>
            <w:r w:rsidRPr="002C506D">
              <w:rPr>
                <w:b/>
                <w:bCs/>
                <w:color w:val="000000" w:themeColor="text1"/>
                <w:sz w:val="20"/>
                <w:szCs w:val="20"/>
              </w:rPr>
              <w:t>(g cm</w:t>
            </w:r>
            <w:r w:rsidRPr="002C506D">
              <w:rPr>
                <w:b/>
                <w:bCs/>
                <w:color w:val="000000" w:themeColor="text1"/>
                <w:sz w:val="20"/>
                <w:szCs w:val="20"/>
                <w:vertAlign w:val="superscript"/>
              </w:rPr>
              <w:t>-1</w:t>
            </w:r>
            <w:r w:rsidRPr="002C506D">
              <w:rPr>
                <w:b/>
                <w:bCs/>
                <w:color w:val="000000" w:themeColor="text1"/>
                <w:sz w:val="20"/>
                <w:szCs w:val="20"/>
              </w:rPr>
              <w:t>)</w:t>
            </w:r>
          </w:p>
        </w:tc>
        <w:tc>
          <w:tcPr>
            <w:tcW w:w="3402" w:type="dxa"/>
            <w:shd w:val="clear" w:color="auto" w:fill="FFFFFF"/>
            <w:vAlign w:val="center"/>
          </w:tcPr>
          <w:p w14:paraId="68C273FC" w14:textId="07CFBDD3"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0.995</w:t>
            </w:r>
          </w:p>
        </w:tc>
      </w:tr>
      <w:tr w:rsidR="005A1902" w:rsidRPr="00EA1221" w14:paraId="6726A864" w14:textId="77777777" w:rsidTr="00911D80">
        <w:trPr>
          <w:trHeight w:val="397"/>
          <w:jc w:val="center"/>
        </w:trPr>
        <w:tc>
          <w:tcPr>
            <w:tcW w:w="3402" w:type="dxa"/>
            <w:shd w:val="clear" w:color="auto" w:fill="FFFFFF"/>
            <w:vAlign w:val="center"/>
            <w:hideMark/>
          </w:tcPr>
          <w:p w14:paraId="1FDB138C" w14:textId="77777777" w:rsidR="005A1902" w:rsidRPr="002C506D" w:rsidRDefault="005A1902" w:rsidP="00911D80">
            <w:pPr>
              <w:spacing w:line="240" w:lineRule="auto"/>
              <w:ind w:firstLine="227"/>
              <w:jc w:val="left"/>
              <w:rPr>
                <w:b/>
                <w:bCs/>
                <w:color w:val="000000" w:themeColor="text1"/>
                <w:sz w:val="20"/>
                <w:szCs w:val="20"/>
              </w:rPr>
            </w:pPr>
            <w:r w:rsidRPr="002C506D">
              <w:rPr>
                <w:b/>
                <w:bCs/>
                <w:i/>
                <w:color w:val="000000" w:themeColor="text1"/>
                <w:sz w:val="20"/>
                <w:szCs w:val="20"/>
              </w:rPr>
              <w:t>Z</w:t>
            </w:r>
          </w:p>
        </w:tc>
        <w:tc>
          <w:tcPr>
            <w:tcW w:w="3402" w:type="dxa"/>
            <w:shd w:val="clear" w:color="auto" w:fill="FFFFFF"/>
            <w:vAlign w:val="center"/>
          </w:tcPr>
          <w:p w14:paraId="3289AFB6" w14:textId="77777777" w:rsidR="005A1902" w:rsidRPr="002C506D" w:rsidRDefault="005A1902" w:rsidP="00911D80">
            <w:pPr>
              <w:spacing w:line="240" w:lineRule="auto"/>
              <w:ind w:firstLine="227"/>
              <w:jc w:val="left"/>
              <w:rPr>
                <w:color w:val="000000" w:themeColor="text1"/>
                <w:sz w:val="20"/>
                <w:szCs w:val="20"/>
              </w:rPr>
            </w:pPr>
            <w:r w:rsidRPr="002C506D">
              <w:rPr>
                <w:color w:val="000000" w:themeColor="text1"/>
                <w:sz w:val="20"/>
                <w:szCs w:val="20"/>
              </w:rPr>
              <w:t>2</w:t>
            </w:r>
          </w:p>
        </w:tc>
      </w:tr>
      <w:tr w:rsidR="005A1902" w:rsidRPr="00EA1221" w14:paraId="40A4F5CC" w14:textId="77777777" w:rsidTr="00911D80">
        <w:trPr>
          <w:trHeight w:val="397"/>
          <w:jc w:val="center"/>
        </w:trPr>
        <w:tc>
          <w:tcPr>
            <w:tcW w:w="3402" w:type="dxa"/>
            <w:shd w:val="clear" w:color="auto" w:fill="FFFFFF"/>
            <w:vAlign w:val="center"/>
            <w:hideMark/>
          </w:tcPr>
          <w:p w14:paraId="5116E4E9" w14:textId="77777777" w:rsidR="005A1902" w:rsidRPr="002C506D" w:rsidRDefault="005A1902" w:rsidP="00911D80">
            <w:pPr>
              <w:spacing w:line="240" w:lineRule="auto"/>
              <w:ind w:firstLine="227"/>
              <w:jc w:val="left"/>
              <w:rPr>
                <w:b/>
                <w:bCs/>
                <w:color w:val="000000" w:themeColor="text1"/>
                <w:sz w:val="20"/>
                <w:szCs w:val="20"/>
              </w:rPr>
            </w:pPr>
            <w:r w:rsidRPr="002C506D">
              <w:rPr>
                <w:b/>
                <w:bCs/>
                <w:i/>
                <w:color w:val="000000" w:themeColor="text1"/>
                <w:sz w:val="20"/>
                <w:szCs w:val="20"/>
              </w:rPr>
              <w:t>T</w:t>
            </w:r>
            <w:r w:rsidRPr="002C506D">
              <w:rPr>
                <w:b/>
                <w:bCs/>
                <w:color w:val="000000" w:themeColor="text1"/>
                <w:sz w:val="20"/>
                <w:szCs w:val="20"/>
              </w:rPr>
              <w:t xml:space="preserve"> (K)</w:t>
            </w:r>
          </w:p>
        </w:tc>
        <w:tc>
          <w:tcPr>
            <w:tcW w:w="3402" w:type="dxa"/>
            <w:shd w:val="clear" w:color="auto" w:fill="FFFFFF"/>
            <w:vAlign w:val="center"/>
          </w:tcPr>
          <w:p w14:paraId="76589DA7" w14:textId="101EC822" w:rsidR="005A1902" w:rsidRPr="002C506D" w:rsidRDefault="00D71072" w:rsidP="00911D80">
            <w:pPr>
              <w:spacing w:line="240" w:lineRule="auto"/>
              <w:ind w:firstLine="227"/>
              <w:jc w:val="left"/>
              <w:rPr>
                <w:color w:val="000000" w:themeColor="text1"/>
                <w:sz w:val="20"/>
                <w:szCs w:val="20"/>
              </w:rPr>
            </w:pPr>
            <w:r w:rsidRPr="002C506D">
              <w:rPr>
                <w:color w:val="000000" w:themeColor="text1"/>
                <w:sz w:val="20"/>
                <w:szCs w:val="20"/>
              </w:rPr>
              <w:t>1</w:t>
            </w:r>
            <w:r w:rsidR="001619AA">
              <w:rPr>
                <w:color w:val="000000" w:themeColor="text1"/>
                <w:sz w:val="20"/>
                <w:szCs w:val="20"/>
              </w:rPr>
              <w:t>0</w:t>
            </w:r>
            <w:r w:rsidRPr="002C506D">
              <w:rPr>
                <w:color w:val="000000" w:themeColor="text1"/>
                <w:sz w:val="20"/>
                <w:szCs w:val="20"/>
              </w:rPr>
              <w:t>0</w:t>
            </w:r>
          </w:p>
        </w:tc>
      </w:tr>
      <w:tr w:rsidR="005A1902" w:rsidRPr="00EA1221" w14:paraId="0923264A" w14:textId="77777777" w:rsidTr="00911D80">
        <w:trPr>
          <w:trHeight w:val="397"/>
          <w:jc w:val="center"/>
        </w:trPr>
        <w:tc>
          <w:tcPr>
            <w:tcW w:w="3402" w:type="dxa"/>
            <w:shd w:val="clear" w:color="auto" w:fill="FFFFFF"/>
            <w:vAlign w:val="center"/>
            <w:hideMark/>
          </w:tcPr>
          <w:p w14:paraId="13765CC4" w14:textId="77777777" w:rsidR="005A1902" w:rsidRPr="002C506D" w:rsidRDefault="005A1902" w:rsidP="00911D80">
            <w:pPr>
              <w:spacing w:line="240" w:lineRule="auto"/>
              <w:ind w:firstLine="227"/>
              <w:jc w:val="left"/>
              <w:rPr>
                <w:b/>
                <w:bCs/>
                <w:color w:val="000000" w:themeColor="text1"/>
                <w:sz w:val="20"/>
                <w:szCs w:val="20"/>
              </w:rPr>
            </w:pPr>
            <w:r w:rsidRPr="002C506D">
              <w:rPr>
                <w:rFonts w:ascii="Symbol" w:eastAsia="Symbol" w:hAnsi="Symbol" w:cs="Symbol"/>
                <w:b/>
                <w:bCs/>
                <w:i/>
                <w:iCs/>
                <w:color w:val="000000" w:themeColor="text1"/>
                <w:sz w:val="20"/>
                <w:szCs w:val="20"/>
              </w:rPr>
              <w:t></w:t>
            </w:r>
            <w:r w:rsidRPr="002C506D">
              <w:rPr>
                <w:b/>
                <w:bCs/>
                <w:color w:val="000000" w:themeColor="text1"/>
                <w:sz w:val="20"/>
                <w:szCs w:val="20"/>
              </w:rPr>
              <w:t xml:space="preserve"> (mm</w:t>
            </w:r>
            <w:r w:rsidRPr="002C506D">
              <w:rPr>
                <w:b/>
                <w:bCs/>
                <w:color w:val="000000" w:themeColor="text1"/>
                <w:sz w:val="20"/>
                <w:szCs w:val="20"/>
                <w:vertAlign w:val="superscript"/>
              </w:rPr>
              <w:t>-1</w:t>
            </w:r>
            <w:r w:rsidRPr="002C506D">
              <w:rPr>
                <w:b/>
                <w:bCs/>
                <w:color w:val="000000" w:themeColor="text1"/>
                <w:sz w:val="20"/>
                <w:szCs w:val="20"/>
              </w:rPr>
              <w:t>)</w:t>
            </w:r>
          </w:p>
        </w:tc>
        <w:tc>
          <w:tcPr>
            <w:tcW w:w="3402" w:type="dxa"/>
            <w:shd w:val="clear" w:color="auto" w:fill="FFFFFF"/>
            <w:vAlign w:val="center"/>
          </w:tcPr>
          <w:p w14:paraId="3ED193E2" w14:textId="7D4FE759"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0.084</w:t>
            </w:r>
          </w:p>
        </w:tc>
      </w:tr>
      <w:tr w:rsidR="005A1902" w:rsidRPr="00EA1221" w14:paraId="03E2D22F" w14:textId="77777777" w:rsidTr="00911D80">
        <w:trPr>
          <w:trHeight w:val="397"/>
          <w:jc w:val="center"/>
        </w:trPr>
        <w:tc>
          <w:tcPr>
            <w:tcW w:w="3402" w:type="dxa"/>
            <w:shd w:val="clear" w:color="auto" w:fill="FFFFFF"/>
            <w:vAlign w:val="center"/>
            <w:hideMark/>
          </w:tcPr>
          <w:p w14:paraId="2480888D" w14:textId="77777777" w:rsidR="005A1902" w:rsidRPr="002C506D" w:rsidRDefault="005A1902" w:rsidP="00911D80">
            <w:pPr>
              <w:spacing w:line="240" w:lineRule="auto"/>
              <w:ind w:firstLine="227"/>
              <w:jc w:val="left"/>
              <w:rPr>
                <w:b/>
                <w:bCs/>
                <w:color w:val="000000" w:themeColor="text1"/>
                <w:sz w:val="20"/>
                <w:szCs w:val="20"/>
              </w:rPr>
            </w:pPr>
            <w:proofErr w:type="gramStart"/>
            <w:r w:rsidRPr="002C506D">
              <w:rPr>
                <w:b/>
                <w:bCs/>
                <w:i/>
                <w:color w:val="000000" w:themeColor="text1"/>
                <w:sz w:val="20"/>
                <w:szCs w:val="20"/>
              </w:rPr>
              <w:t>F</w:t>
            </w:r>
            <w:r w:rsidRPr="002C506D">
              <w:rPr>
                <w:b/>
                <w:bCs/>
                <w:color w:val="000000" w:themeColor="text1"/>
                <w:sz w:val="20"/>
                <w:szCs w:val="20"/>
              </w:rPr>
              <w:t>(</w:t>
            </w:r>
            <w:proofErr w:type="gramEnd"/>
            <w:r w:rsidRPr="002C506D">
              <w:rPr>
                <w:b/>
                <w:bCs/>
                <w:color w:val="000000" w:themeColor="text1"/>
                <w:sz w:val="20"/>
                <w:szCs w:val="20"/>
              </w:rPr>
              <w:t>000)</w:t>
            </w:r>
          </w:p>
        </w:tc>
        <w:tc>
          <w:tcPr>
            <w:tcW w:w="3402" w:type="dxa"/>
            <w:shd w:val="clear" w:color="auto" w:fill="FFFFFF"/>
            <w:vAlign w:val="center"/>
          </w:tcPr>
          <w:p w14:paraId="72034E61" w14:textId="7A646EFD" w:rsidR="005A1902" w:rsidRPr="002C506D" w:rsidRDefault="001619AA" w:rsidP="00911D80">
            <w:pPr>
              <w:spacing w:line="240" w:lineRule="auto"/>
              <w:ind w:firstLine="227"/>
              <w:jc w:val="left"/>
              <w:rPr>
                <w:color w:val="000000" w:themeColor="text1"/>
                <w:sz w:val="20"/>
                <w:szCs w:val="20"/>
              </w:rPr>
            </w:pPr>
            <w:r>
              <w:rPr>
                <w:color w:val="000000" w:themeColor="text1"/>
                <w:sz w:val="20"/>
                <w:szCs w:val="20"/>
              </w:rPr>
              <w:t>3000</w:t>
            </w:r>
          </w:p>
        </w:tc>
      </w:tr>
      <w:tr w:rsidR="005A1902" w:rsidRPr="00EA1221" w14:paraId="331840B3" w14:textId="77777777" w:rsidTr="00911D80">
        <w:trPr>
          <w:trHeight w:val="397"/>
          <w:jc w:val="center"/>
        </w:trPr>
        <w:tc>
          <w:tcPr>
            <w:tcW w:w="3402" w:type="dxa"/>
            <w:shd w:val="clear" w:color="auto" w:fill="FFFFFF"/>
            <w:vAlign w:val="center"/>
            <w:hideMark/>
          </w:tcPr>
          <w:p w14:paraId="2FA5FAC4" w14:textId="7A02E162" w:rsidR="005A1902" w:rsidRPr="002C506D" w:rsidRDefault="001619AA" w:rsidP="00911D80">
            <w:pPr>
              <w:spacing w:line="240" w:lineRule="auto"/>
              <w:ind w:firstLine="227"/>
              <w:jc w:val="left"/>
              <w:rPr>
                <w:b/>
                <w:bCs/>
                <w:color w:val="000000" w:themeColor="text1"/>
                <w:sz w:val="20"/>
                <w:szCs w:val="20"/>
              </w:rPr>
            </w:pPr>
            <w:r>
              <w:rPr>
                <w:b/>
                <w:bCs/>
                <w:color w:val="000000" w:themeColor="text1"/>
                <w:sz w:val="20"/>
                <w:szCs w:val="20"/>
              </w:rPr>
              <w:t>2</w:t>
            </w:r>
            <w:r w:rsidR="005A1902" w:rsidRPr="002C506D">
              <w:rPr>
                <w:b/>
                <w:bCs/>
                <w:i/>
                <w:color w:val="000000" w:themeColor="text1"/>
                <w:sz w:val="20"/>
                <w:szCs w:val="20"/>
              </w:rPr>
              <w:t>θ</w:t>
            </w:r>
            <w:r w:rsidR="005A1902" w:rsidRPr="002C506D">
              <w:rPr>
                <w:b/>
                <w:bCs/>
                <w:color w:val="000000" w:themeColor="text1"/>
                <w:sz w:val="20"/>
                <w:szCs w:val="20"/>
              </w:rPr>
              <w:t xml:space="preserve"> range (°)</w:t>
            </w:r>
          </w:p>
        </w:tc>
        <w:tc>
          <w:tcPr>
            <w:tcW w:w="3402" w:type="dxa"/>
            <w:shd w:val="clear" w:color="auto" w:fill="FFFFFF"/>
            <w:vAlign w:val="center"/>
          </w:tcPr>
          <w:p w14:paraId="0D91F2B2" w14:textId="77D8286A" w:rsidR="005A1902" w:rsidRPr="002C506D" w:rsidRDefault="00D71072" w:rsidP="00911D80">
            <w:pPr>
              <w:spacing w:line="240" w:lineRule="auto"/>
              <w:ind w:firstLine="227"/>
              <w:jc w:val="left"/>
              <w:rPr>
                <w:color w:val="000000" w:themeColor="text1"/>
                <w:sz w:val="20"/>
                <w:szCs w:val="20"/>
              </w:rPr>
            </w:pPr>
            <w:r w:rsidRPr="002C506D">
              <w:rPr>
                <w:color w:val="000000" w:themeColor="text1"/>
                <w:sz w:val="20"/>
                <w:szCs w:val="20"/>
              </w:rPr>
              <w:t>2.</w:t>
            </w:r>
            <w:r w:rsidR="001619AA">
              <w:rPr>
                <w:color w:val="000000" w:themeColor="text1"/>
                <w:sz w:val="20"/>
                <w:szCs w:val="20"/>
              </w:rPr>
              <w:t xml:space="preserve">124 </w:t>
            </w:r>
            <w:r w:rsidR="005A1902" w:rsidRPr="002C506D">
              <w:rPr>
                <w:color w:val="000000" w:themeColor="text1"/>
                <w:sz w:val="20"/>
                <w:szCs w:val="20"/>
              </w:rPr>
              <w:t>–</w:t>
            </w:r>
            <w:r w:rsidR="001619AA">
              <w:rPr>
                <w:color w:val="000000" w:themeColor="text1"/>
                <w:sz w:val="20"/>
                <w:szCs w:val="20"/>
              </w:rPr>
              <w:t xml:space="preserve"> 45.002</w:t>
            </w:r>
          </w:p>
        </w:tc>
      </w:tr>
      <w:tr w:rsidR="005A1902" w:rsidRPr="00EA1221" w14:paraId="7BAF54C0" w14:textId="77777777" w:rsidTr="00911D80">
        <w:trPr>
          <w:trHeight w:val="397"/>
          <w:jc w:val="center"/>
        </w:trPr>
        <w:tc>
          <w:tcPr>
            <w:tcW w:w="3402" w:type="dxa"/>
            <w:shd w:val="clear" w:color="auto" w:fill="FFFFFF"/>
            <w:vAlign w:val="center"/>
            <w:hideMark/>
          </w:tcPr>
          <w:p w14:paraId="4476E90C" w14:textId="77777777" w:rsidR="005A1902" w:rsidRPr="002C506D" w:rsidRDefault="005A1902" w:rsidP="00911D80">
            <w:pPr>
              <w:spacing w:line="240" w:lineRule="auto"/>
              <w:ind w:firstLine="227"/>
              <w:jc w:val="left"/>
              <w:rPr>
                <w:b/>
                <w:bCs/>
                <w:color w:val="000000" w:themeColor="text1"/>
                <w:sz w:val="20"/>
                <w:szCs w:val="20"/>
              </w:rPr>
            </w:pPr>
            <w:r w:rsidRPr="002C506D">
              <w:rPr>
                <w:b/>
                <w:bCs/>
                <w:color w:val="000000" w:themeColor="text1"/>
                <w:sz w:val="20"/>
                <w:szCs w:val="20"/>
              </w:rPr>
              <w:t>Reflections collected</w:t>
            </w:r>
          </w:p>
        </w:tc>
        <w:tc>
          <w:tcPr>
            <w:tcW w:w="3402" w:type="dxa"/>
            <w:shd w:val="clear" w:color="auto" w:fill="FFFFFF"/>
            <w:vAlign w:val="center"/>
          </w:tcPr>
          <w:p w14:paraId="20D738EB" w14:textId="65FB194F"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38701</w:t>
            </w:r>
          </w:p>
        </w:tc>
      </w:tr>
      <w:tr w:rsidR="005A1902" w:rsidRPr="00EA1221" w14:paraId="05EFD22D" w14:textId="77777777" w:rsidTr="00911D80">
        <w:trPr>
          <w:trHeight w:val="397"/>
          <w:jc w:val="center"/>
        </w:trPr>
        <w:tc>
          <w:tcPr>
            <w:tcW w:w="3402" w:type="dxa"/>
            <w:shd w:val="clear" w:color="auto" w:fill="FFFFFF"/>
            <w:vAlign w:val="center"/>
            <w:hideMark/>
          </w:tcPr>
          <w:p w14:paraId="10535199" w14:textId="77777777" w:rsidR="005A1902" w:rsidRPr="002C506D" w:rsidRDefault="005A1902" w:rsidP="00911D80">
            <w:pPr>
              <w:spacing w:line="240" w:lineRule="auto"/>
              <w:ind w:firstLine="227"/>
              <w:jc w:val="left"/>
              <w:rPr>
                <w:b/>
                <w:bCs/>
                <w:color w:val="000000" w:themeColor="text1"/>
                <w:sz w:val="20"/>
                <w:szCs w:val="20"/>
              </w:rPr>
            </w:pPr>
            <w:r w:rsidRPr="002C506D">
              <w:rPr>
                <w:b/>
                <w:bCs/>
                <w:color w:val="000000" w:themeColor="text1"/>
                <w:sz w:val="20"/>
                <w:szCs w:val="20"/>
              </w:rPr>
              <w:t>Independent reflections</w:t>
            </w:r>
          </w:p>
        </w:tc>
        <w:tc>
          <w:tcPr>
            <w:tcW w:w="3402" w:type="dxa"/>
            <w:shd w:val="clear" w:color="auto" w:fill="FFFFFF"/>
            <w:vAlign w:val="center"/>
          </w:tcPr>
          <w:p w14:paraId="676E1A32" w14:textId="667BB7C4"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24380</w:t>
            </w:r>
          </w:p>
        </w:tc>
      </w:tr>
      <w:tr w:rsidR="005A1902" w:rsidRPr="00EA1221" w14:paraId="3AB9632E" w14:textId="77777777" w:rsidTr="00911D80">
        <w:trPr>
          <w:trHeight w:val="397"/>
          <w:jc w:val="center"/>
        </w:trPr>
        <w:tc>
          <w:tcPr>
            <w:tcW w:w="3402" w:type="dxa"/>
            <w:shd w:val="clear" w:color="auto" w:fill="FFFFFF"/>
            <w:vAlign w:val="center"/>
            <w:hideMark/>
          </w:tcPr>
          <w:p w14:paraId="1E7A53BD" w14:textId="77777777" w:rsidR="005A1902" w:rsidRPr="002C506D" w:rsidRDefault="005A1902" w:rsidP="00911D80">
            <w:pPr>
              <w:spacing w:line="240" w:lineRule="auto"/>
              <w:ind w:firstLine="227"/>
              <w:jc w:val="left"/>
              <w:rPr>
                <w:b/>
                <w:bCs/>
                <w:i/>
                <w:color w:val="000000" w:themeColor="text1"/>
                <w:sz w:val="20"/>
                <w:szCs w:val="20"/>
              </w:rPr>
            </w:pPr>
            <w:r w:rsidRPr="002C506D">
              <w:rPr>
                <w:b/>
                <w:bCs/>
                <w:color w:val="000000" w:themeColor="text1"/>
                <w:sz w:val="20"/>
                <w:szCs w:val="20"/>
              </w:rPr>
              <w:t>Data / restraints / parameters</w:t>
            </w:r>
          </w:p>
        </w:tc>
        <w:tc>
          <w:tcPr>
            <w:tcW w:w="3402" w:type="dxa"/>
            <w:shd w:val="clear" w:color="auto" w:fill="FFFFFF"/>
            <w:vAlign w:val="center"/>
          </w:tcPr>
          <w:p w14:paraId="55EB30BB" w14:textId="34D4F2A2"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24380</w:t>
            </w:r>
            <w:r w:rsidR="005A1902" w:rsidRPr="002C506D">
              <w:rPr>
                <w:color w:val="000000" w:themeColor="text1"/>
                <w:sz w:val="20"/>
                <w:szCs w:val="20"/>
              </w:rPr>
              <w:t xml:space="preserve"> / </w:t>
            </w:r>
            <w:r>
              <w:rPr>
                <w:color w:val="000000" w:themeColor="text1"/>
                <w:sz w:val="20"/>
                <w:szCs w:val="20"/>
              </w:rPr>
              <w:t>2127</w:t>
            </w:r>
            <w:r w:rsidR="005A1902" w:rsidRPr="002C506D">
              <w:rPr>
                <w:color w:val="000000" w:themeColor="text1"/>
                <w:sz w:val="20"/>
                <w:szCs w:val="20"/>
              </w:rPr>
              <w:t xml:space="preserve"> /</w:t>
            </w:r>
            <w:r w:rsidR="00A12786" w:rsidRPr="002C506D">
              <w:rPr>
                <w:color w:val="000000" w:themeColor="text1"/>
                <w:sz w:val="20"/>
                <w:szCs w:val="20"/>
              </w:rPr>
              <w:t xml:space="preserve"> </w:t>
            </w:r>
            <w:r w:rsidR="00D71072" w:rsidRPr="002C506D">
              <w:rPr>
                <w:color w:val="000000" w:themeColor="text1"/>
                <w:sz w:val="20"/>
                <w:szCs w:val="20"/>
              </w:rPr>
              <w:t>1</w:t>
            </w:r>
            <w:r>
              <w:rPr>
                <w:color w:val="000000" w:themeColor="text1"/>
                <w:sz w:val="20"/>
                <w:szCs w:val="20"/>
              </w:rPr>
              <w:t>633</w:t>
            </w:r>
          </w:p>
        </w:tc>
      </w:tr>
      <w:tr w:rsidR="005A1902" w:rsidRPr="00EA1221" w14:paraId="20859EFC" w14:textId="77777777" w:rsidTr="00911D80">
        <w:trPr>
          <w:trHeight w:val="397"/>
          <w:jc w:val="center"/>
        </w:trPr>
        <w:tc>
          <w:tcPr>
            <w:tcW w:w="3402" w:type="dxa"/>
            <w:shd w:val="clear" w:color="auto" w:fill="FFFFFF"/>
            <w:vAlign w:val="center"/>
            <w:hideMark/>
          </w:tcPr>
          <w:p w14:paraId="751EAF1A" w14:textId="77777777" w:rsidR="005A1902" w:rsidRPr="002C506D" w:rsidRDefault="005A1902" w:rsidP="00911D80">
            <w:pPr>
              <w:spacing w:line="240" w:lineRule="auto"/>
              <w:ind w:firstLine="227"/>
              <w:jc w:val="left"/>
              <w:rPr>
                <w:rFonts w:ascii="DengXian" w:hAnsi="DengXian" w:cs="DengXian"/>
                <w:b/>
                <w:bCs/>
                <w:i/>
                <w:color w:val="000000" w:themeColor="text1"/>
                <w:sz w:val="20"/>
                <w:szCs w:val="20"/>
              </w:rPr>
            </w:pPr>
            <w:r w:rsidRPr="002C506D">
              <w:rPr>
                <w:rFonts w:cs="DengXian"/>
                <w:b/>
                <w:bCs/>
                <w:color w:val="000000" w:themeColor="text1"/>
                <w:sz w:val="20"/>
                <w:szCs w:val="20"/>
                <w:lang w:val="pt-PT"/>
              </w:rPr>
              <w:t xml:space="preserve">Final </w:t>
            </w:r>
            <w:r w:rsidRPr="002C506D">
              <w:rPr>
                <w:rFonts w:cs="DengXian"/>
                <w:b/>
                <w:bCs/>
                <w:i/>
                <w:color w:val="000000" w:themeColor="text1"/>
                <w:sz w:val="20"/>
                <w:szCs w:val="20"/>
                <w:lang w:val="pt-PT"/>
              </w:rPr>
              <w:t>R</w:t>
            </w:r>
            <w:r w:rsidRPr="002C506D">
              <w:rPr>
                <w:rFonts w:cs="DengXian"/>
                <w:b/>
                <w:bCs/>
                <w:color w:val="000000" w:themeColor="text1"/>
                <w:sz w:val="20"/>
                <w:szCs w:val="20"/>
                <w:vertAlign w:val="subscript"/>
                <w:lang w:val="pt-PT"/>
              </w:rPr>
              <w:t xml:space="preserve">1 </w:t>
            </w:r>
            <w:r w:rsidRPr="002C506D">
              <w:rPr>
                <w:rFonts w:cs="DengXian"/>
                <w:b/>
                <w:bCs/>
                <w:color w:val="000000" w:themeColor="text1"/>
                <w:sz w:val="20"/>
                <w:szCs w:val="20"/>
                <w:lang w:val="pt-PT"/>
              </w:rPr>
              <w:t>values (</w:t>
            </w:r>
            <w:r w:rsidRPr="002C506D">
              <w:rPr>
                <w:rFonts w:cs="DengXian"/>
                <w:b/>
                <w:bCs/>
                <w:i/>
                <w:color w:val="000000" w:themeColor="text1"/>
                <w:sz w:val="20"/>
                <w:szCs w:val="20"/>
                <w:lang w:val="pt-PT"/>
              </w:rPr>
              <w:t>I</w:t>
            </w:r>
            <w:r w:rsidRPr="002C506D">
              <w:rPr>
                <w:rFonts w:cs="DengXian"/>
                <w:b/>
                <w:bCs/>
                <w:color w:val="000000" w:themeColor="text1"/>
                <w:sz w:val="20"/>
                <w:szCs w:val="20"/>
                <w:lang w:val="pt-PT"/>
              </w:rPr>
              <w:t xml:space="preserve"> &gt; 2</w:t>
            </w:r>
            <w:r w:rsidRPr="002C506D">
              <w:rPr>
                <w:rFonts w:cs="DengXian"/>
                <w:b/>
                <w:bCs/>
                <w:i/>
                <w:color w:val="000000" w:themeColor="text1"/>
                <w:sz w:val="20"/>
                <w:szCs w:val="20"/>
              </w:rPr>
              <w:t>σ</w:t>
            </w:r>
            <w:r w:rsidRPr="002C506D">
              <w:rPr>
                <w:rFonts w:cs="DengXian"/>
                <w:b/>
                <w:bCs/>
                <w:color w:val="000000" w:themeColor="text1"/>
                <w:sz w:val="20"/>
                <w:szCs w:val="20"/>
                <w:lang w:val="pt-PT"/>
              </w:rPr>
              <w:t>(</w:t>
            </w:r>
            <w:r w:rsidRPr="002C506D">
              <w:rPr>
                <w:rFonts w:cs="DengXian"/>
                <w:b/>
                <w:bCs/>
                <w:i/>
                <w:color w:val="000000" w:themeColor="text1"/>
                <w:sz w:val="20"/>
                <w:szCs w:val="20"/>
                <w:lang w:val="pt-PT"/>
              </w:rPr>
              <w:t>I</w:t>
            </w:r>
            <w:r w:rsidRPr="002C506D">
              <w:rPr>
                <w:rFonts w:cs="DengXian"/>
                <w:b/>
                <w:bCs/>
                <w:color w:val="000000" w:themeColor="text1"/>
                <w:sz w:val="20"/>
                <w:szCs w:val="20"/>
                <w:lang w:val="pt-PT"/>
              </w:rPr>
              <w:t>))</w:t>
            </w:r>
          </w:p>
        </w:tc>
        <w:tc>
          <w:tcPr>
            <w:tcW w:w="3402" w:type="dxa"/>
            <w:shd w:val="clear" w:color="auto" w:fill="FFFFFF"/>
            <w:vAlign w:val="center"/>
          </w:tcPr>
          <w:p w14:paraId="35307F04" w14:textId="32E78A5B" w:rsidR="005A1902" w:rsidRPr="002C506D" w:rsidRDefault="001619AA" w:rsidP="00911D80">
            <w:pPr>
              <w:spacing w:line="240" w:lineRule="auto"/>
              <w:ind w:firstLine="227"/>
              <w:jc w:val="left"/>
              <w:rPr>
                <w:color w:val="000000" w:themeColor="text1"/>
                <w:sz w:val="20"/>
                <w:szCs w:val="20"/>
              </w:rPr>
            </w:pPr>
            <w:r>
              <w:rPr>
                <w:color w:val="000000" w:themeColor="text1"/>
                <w:sz w:val="20"/>
                <w:szCs w:val="20"/>
              </w:rPr>
              <w:t>0.1041</w:t>
            </w:r>
          </w:p>
        </w:tc>
      </w:tr>
      <w:tr w:rsidR="005A1902" w:rsidRPr="00EA1221" w14:paraId="38991A96" w14:textId="77777777" w:rsidTr="00911D80">
        <w:trPr>
          <w:trHeight w:val="397"/>
          <w:jc w:val="center"/>
        </w:trPr>
        <w:tc>
          <w:tcPr>
            <w:tcW w:w="3402" w:type="dxa"/>
            <w:shd w:val="clear" w:color="auto" w:fill="FFFFFF"/>
            <w:vAlign w:val="center"/>
            <w:hideMark/>
          </w:tcPr>
          <w:p w14:paraId="4130FDEB" w14:textId="77777777" w:rsidR="005A1902" w:rsidRPr="002C506D" w:rsidRDefault="005A1902" w:rsidP="00911D80">
            <w:pPr>
              <w:spacing w:line="240" w:lineRule="auto"/>
              <w:ind w:firstLine="227"/>
              <w:jc w:val="left"/>
              <w:rPr>
                <w:rFonts w:ascii="DengXian" w:hAnsi="DengXian" w:cs="DengXian"/>
                <w:b/>
                <w:bCs/>
                <w:i/>
                <w:color w:val="000000" w:themeColor="text1"/>
                <w:sz w:val="20"/>
                <w:szCs w:val="20"/>
              </w:rPr>
            </w:pPr>
            <w:r w:rsidRPr="002C506D">
              <w:rPr>
                <w:rFonts w:cs="DengXian"/>
                <w:b/>
                <w:bCs/>
                <w:color w:val="000000" w:themeColor="text1"/>
                <w:sz w:val="20"/>
                <w:szCs w:val="20"/>
                <w:lang w:eastAsia="en-US"/>
              </w:rPr>
              <w:t xml:space="preserve">Final </w:t>
            </w:r>
            <w:r w:rsidRPr="002C506D">
              <w:rPr>
                <w:rFonts w:cs="DengXian"/>
                <w:b/>
                <w:bCs/>
                <w:i/>
                <w:color w:val="000000" w:themeColor="text1"/>
                <w:sz w:val="20"/>
                <w:szCs w:val="20"/>
                <w:lang w:eastAsia="en-US"/>
              </w:rPr>
              <w:t>R</w:t>
            </w:r>
            <w:r w:rsidRPr="002C506D">
              <w:rPr>
                <w:rFonts w:cs="DengXian"/>
                <w:b/>
                <w:bCs/>
                <w:color w:val="000000" w:themeColor="text1"/>
                <w:sz w:val="20"/>
                <w:szCs w:val="20"/>
                <w:vertAlign w:val="subscript"/>
                <w:lang w:eastAsia="en-US"/>
              </w:rPr>
              <w:t>1</w:t>
            </w:r>
            <w:r w:rsidRPr="002C506D">
              <w:rPr>
                <w:rFonts w:cs="DengXian"/>
                <w:b/>
                <w:bCs/>
                <w:color w:val="000000" w:themeColor="text1"/>
                <w:sz w:val="20"/>
                <w:szCs w:val="20"/>
                <w:lang w:eastAsia="en-US"/>
              </w:rPr>
              <w:t xml:space="preserve"> values (all data)</w:t>
            </w:r>
          </w:p>
        </w:tc>
        <w:tc>
          <w:tcPr>
            <w:tcW w:w="3402" w:type="dxa"/>
            <w:shd w:val="clear" w:color="auto" w:fill="FFFFFF"/>
            <w:vAlign w:val="center"/>
          </w:tcPr>
          <w:p w14:paraId="0F89E815" w14:textId="325BEB5E" w:rsidR="005A1902" w:rsidRPr="002C506D" w:rsidRDefault="00D71072" w:rsidP="00911D80">
            <w:pPr>
              <w:spacing w:line="240" w:lineRule="auto"/>
              <w:ind w:firstLine="227"/>
              <w:jc w:val="left"/>
              <w:rPr>
                <w:color w:val="000000" w:themeColor="text1"/>
                <w:sz w:val="20"/>
                <w:szCs w:val="20"/>
              </w:rPr>
            </w:pPr>
            <w:r w:rsidRPr="002C506D">
              <w:rPr>
                <w:color w:val="000000" w:themeColor="text1"/>
                <w:sz w:val="20"/>
                <w:szCs w:val="20"/>
              </w:rPr>
              <w:t>0.</w:t>
            </w:r>
            <w:r w:rsidR="001619AA">
              <w:rPr>
                <w:color w:val="000000" w:themeColor="text1"/>
                <w:sz w:val="20"/>
                <w:szCs w:val="20"/>
              </w:rPr>
              <w:t>1491</w:t>
            </w:r>
          </w:p>
        </w:tc>
      </w:tr>
      <w:tr w:rsidR="005A1902" w:rsidRPr="00EA1221" w14:paraId="0159B77E" w14:textId="77777777" w:rsidTr="00911D80">
        <w:trPr>
          <w:trHeight w:val="397"/>
          <w:jc w:val="center"/>
        </w:trPr>
        <w:tc>
          <w:tcPr>
            <w:tcW w:w="3402" w:type="dxa"/>
            <w:shd w:val="clear" w:color="auto" w:fill="FFFFFF"/>
            <w:vAlign w:val="center"/>
            <w:hideMark/>
          </w:tcPr>
          <w:p w14:paraId="649DC5BB" w14:textId="77777777" w:rsidR="005A1902" w:rsidRPr="002C506D" w:rsidRDefault="005A1902" w:rsidP="00911D80">
            <w:pPr>
              <w:spacing w:line="240" w:lineRule="auto"/>
              <w:ind w:firstLine="227"/>
              <w:jc w:val="left"/>
              <w:rPr>
                <w:rFonts w:ascii="DengXian" w:hAnsi="DengXian" w:cs="DengXian"/>
                <w:b/>
                <w:bCs/>
                <w:color w:val="000000" w:themeColor="text1"/>
                <w:sz w:val="20"/>
                <w:szCs w:val="20"/>
              </w:rPr>
            </w:pPr>
            <w:r w:rsidRPr="002C506D">
              <w:rPr>
                <w:rFonts w:cs="DengXian"/>
                <w:b/>
                <w:bCs/>
                <w:i/>
                <w:color w:val="000000" w:themeColor="text1"/>
                <w:sz w:val="20"/>
                <w:szCs w:val="20"/>
              </w:rPr>
              <w:t>wR</w:t>
            </w:r>
            <w:r w:rsidRPr="002C506D">
              <w:rPr>
                <w:rFonts w:cs="DengXian"/>
                <w:b/>
                <w:bCs/>
                <w:iCs/>
                <w:color w:val="000000" w:themeColor="text1"/>
                <w:sz w:val="20"/>
                <w:szCs w:val="20"/>
                <w:vertAlign w:val="subscript"/>
              </w:rPr>
              <w:t>2</w:t>
            </w:r>
            <w:r w:rsidRPr="002C506D">
              <w:rPr>
                <w:rFonts w:cs="DengXian"/>
                <w:b/>
                <w:bCs/>
                <w:i/>
                <w:color w:val="000000" w:themeColor="text1"/>
                <w:sz w:val="20"/>
                <w:szCs w:val="20"/>
                <w:vertAlign w:val="subscript"/>
              </w:rPr>
              <w:t xml:space="preserve"> </w:t>
            </w:r>
            <w:r w:rsidRPr="002C506D">
              <w:rPr>
                <w:rFonts w:cs="DengXian"/>
                <w:b/>
                <w:bCs/>
                <w:color w:val="000000" w:themeColor="text1"/>
                <w:sz w:val="20"/>
                <w:szCs w:val="20"/>
              </w:rPr>
              <w:t>(all data)</w:t>
            </w:r>
          </w:p>
        </w:tc>
        <w:tc>
          <w:tcPr>
            <w:tcW w:w="3402" w:type="dxa"/>
            <w:shd w:val="clear" w:color="auto" w:fill="FFFFFF"/>
            <w:vAlign w:val="center"/>
          </w:tcPr>
          <w:p w14:paraId="13B77D97" w14:textId="65AC9BC5" w:rsidR="005A1902" w:rsidRPr="002C506D" w:rsidRDefault="001619AA" w:rsidP="00911D80">
            <w:pPr>
              <w:spacing w:line="240" w:lineRule="auto"/>
              <w:ind w:firstLine="227"/>
              <w:jc w:val="left"/>
              <w:rPr>
                <w:color w:val="000000" w:themeColor="text1"/>
                <w:sz w:val="20"/>
                <w:szCs w:val="20"/>
              </w:rPr>
            </w:pPr>
            <w:r>
              <w:rPr>
                <w:color w:val="000000" w:themeColor="text1"/>
                <w:sz w:val="20"/>
                <w:szCs w:val="20"/>
              </w:rPr>
              <w:t>0.2895</w:t>
            </w:r>
          </w:p>
        </w:tc>
      </w:tr>
      <w:tr w:rsidR="005A1902" w:rsidRPr="00EA1221" w14:paraId="00A6F1EA" w14:textId="77777777" w:rsidTr="00911D80">
        <w:trPr>
          <w:trHeight w:val="397"/>
          <w:jc w:val="center"/>
        </w:trPr>
        <w:tc>
          <w:tcPr>
            <w:tcW w:w="3402" w:type="dxa"/>
            <w:shd w:val="clear" w:color="auto" w:fill="FFFFFF"/>
            <w:vAlign w:val="center"/>
            <w:hideMark/>
          </w:tcPr>
          <w:p w14:paraId="69E101A3" w14:textId="77777777" w:rsidR="005A1902" w:rsidRPr="002C506D" w:rsidRDefault="005A1902" w:rsidP="00911D80">
            <w:pPr>
              <w:spacing w:line="240" w:lineRule="auto"/>
              <w:ind w:firstLine="227"/>
              <w:jc w:val="left"/>
              <w:rPr>
                <w:b/>
                <w:bCs/>
                <w:color w:val="000000" w:themeColor="text1"/>
                <w:sz w:val="20"/>
                <w:szCs w:val="20"/>
              </w:rPr>
            </w:pPr>
            <w:r w:rsidRPr="002C506D">
              <w:rPr>
                <w:b/>
                <w:bCs/>
                <w:color w:val="000000" w:themeColor="text1"/>
                <w:sz w:val="20"/>
                <w:szCs w:val="20"/>
              </w:rPr>
              <w:t xml:space="preserve">Goodness-of-fit on </w:t>
            </w:r>
            <w:r w:rsidRPr="002C506D">
              <w:rPr>
                <w:rStyle w:val="fontstyle21"/>
                <w:b/>
                <w:color w:val="000000" w:themeColor="text1"/>
                <w:sz w:val="20"/>
                <w:szCs w:val="20"/>
              </w:rPr>
              <w:t>|</w:t>
            </w:r>
            <w:r w:rsidRPr="002C506D">
              <w:rPr>
                <w:rStyle w:val="fontstyle31"/>
                <w:rFonts w:eastAsiaTheme="majorEastAsia"/>
                <w:b/>
                <w:bCs/>
                <w:color w:val="000000" w:themeColor="text1"/>
                <w:sz w:val="20"/>
                <w:szCs w:val="20"/>
              </w:rPr>
              <w:t>F</w:t>
            </w:r>
            <w:r w:rsidRPr="002C506D">
              <w:rPr>
                <w:rStyle w:val="fontstyle21"/>
                <w:b/>
                <w:color w:val="000000" w:themeColor="text1"/>
                <w:sz w:val="20"/>
                <w:szCs w:val="20"/>
              </w:rPr>
              <w:t>|</w:t>
            </w:r>
            <w:r w:rsidRPr="002C506D">
              <w:rPr>
                <w:rStyle w:val="fontstyle21"/>
                <w:b/>
                <w:color w:val="000000" w:themeColor="text1"/>
                <w:sz w:val="20"/>
                <w:szCs w:val="20"/>
                <w:vertAlign w:val="superscript"/>
              </w:rPr>
              <w:t>2</w:t>
            </w:r>
          </w:p>
        </w:tc>
        <w:tc>
          <w:tcPr>
            <w:tcW w:w="3402" w:type="dxa"/>
            <w:shd w:val="clear" w:color="auto" w:fill="FFFFFF"/>
            <w:vAlign w:val="center"/>
          </w:tcPr>
          <w:p w14:paraId="7808B223" w14:textId="5C64B31D" w:rsidR="005A1902" w:rsidRPr="002C506D" w:rsidRDefault="00D71072" w:rsidP="00911D80">
            <w:pPr>
              <w:spacing w:line="240" w:lineRule="auto"/>
              <w:ind w:firstLine="227"/>
              <w:jc w:val="left"/>
              <w:rPr>
                <w:color w:val="000000" w:themeColor="text1"/>
                <w:sz w:val="20"/>
                <w:szCs w:val="20"/>
              </w:rPr>
            </w:pPr>
            <w:r w:rsidRPr="002C506D">
              <w:rPr>
                <w:color w:val="000000" w:themeColor="text1"/>
                <w:sz w:val="20"/>
                <w:szCs w:val="20"/>
              </w:rPr>
              <w:t>1.0</w:t>
            </w:r>
            <w:r w:rsidR="001619AA">
              <w:rPr>
                <w:color w:val="000000" w:themeColor="text1"/>
                <w:sz w:val="20"/>
                <w:szCs w:val="20"/>
              </w:rPr>
              <w:t>88</w:t>
            </w:r>
          </w:p>
        </w:tc>
      </w:tr>
      <w:tr w:rsidR="005A1902" w:rsidRPr="00EA1221" w14:paraId="37246DEA" w14:textId="77777777" w:rsidTr="00911D80">
        <w:trPr>
          <w:trHeight w:val="397"/>
          <w:jc w:val="center"/>
        </w:trPr>
        <w:tc>
          <w:tcPr>
            <w:tcW w:w="3402" w:type="dxa"/>
            <w:shd w:val="clear" w:color="auto" w:fill="FFFFFF"/>
            <w:vAlign w:val="center"/>
          </w:tcPr>
          <w:p w14:paraId="1F9B419A" w14:textId="77777777" w:rsidR="005A1902" w:rsidRPr="002C506D" w:rsidRDefault="005A1902" w:rsidP="00911D80">
            <w:pPr>
              <w:spacing w:line="240" w:lineRule="auto"/>
              <w:ind w:firstLine="227"/>
              <w:jc w:val="left"/>
              <w:rPr>
                <w:b/>
                <w:bCs/>
                <w:color w:val="000000" w:themeColor="text1"/>
                <w:sz w:val="20"/>
                <w:szCs w:val="20"/>
              </w:rPr>
            </w:pPr>
            <w:r w:rsidRPr="002C506D">
              <w:rPr>
                <w:b/>
                <w:bCs/>
                <w:color w:val="000000" w:themeColor="text1"/>
                <w:sz w:val="20"/>
                <w:szCs w:val="20"/>
              </w:rPr>
              <w:t>CCDC</w:t>
            </w:r>
          </w:p>
        </w:tc>
        <w:tc>
          <w:tcPr>
            <w:tcW w:w="3402" w:type="dxa"/>
            <w:shd w:val="clear" w:color="auto" w:fill="FFFFFF"/>
            <w:vAlign w:val="center"/>
          </w:tcPr>
          <w:p w14:paraId="22306F24" w14:textId="4C94A2E6" w:rsidR="005A1902" w:rsidRPr="002C506D" w:rsidRDefault="001619AA" w:rsidP="00911D80">
            <w:pPr>
              <w:spacing w:line="240" w:lineRule="auto"/>
              <w:ind w:firstLine="227"/>
              <w:jc w:val="left"/>
              <w:rPr>
                <w:color w:val="000000" w:themeColor="text1"/>
                <w:sz w:val="20"/>
                <w:szCs w:val="20"/>
              </w:rPr>
            </w:pPr>
            <w:r w:rsidRPr="001619AA">
              <w:rPr>
                <w:color w:val="000000" w:themeColor="text1"/>
                <w:sz w:val="20"/>
                <w:szCs w:val="20"/>
              </w:rPr>
              <w:t>2303319</w:t>
            </w:r>
          </w:p>
        </w:tc>
      </w:tr>
    </w:tbl>
    <w:p w14:paraId="11598BCB" w14:textId="57FF3852" w:rsidR="00A13AA6" w:rsidRPr="00EA1221" w:rsidRDefault="00866633" w:rsidP="006228B4">
      <w:pPr>
        <w:spacing w:after="160" w:line="259" w:lineRule="auto"/>
        <w:jc w:val="left"/>
        <w:rPr>
          <w:rFonts w:eastAsiaTheme="minorEastAsia"/>
        </w:rPr>
      </w:pPr>
      <w:r w:rsidRPr="00EA1221">
        <w:rPr>
          <w:rFonts w:eastAsiaTheme="minorEastAsia"/>
        </w:rPr>
        <w:br w:type="page"/>
      </w:r>
    </w:p>
    <w:p w14:paraId="7BA7087A" w14:textId="61A5684B" w:rsidR="00A34623" w:rsidRPr="00EA1221" w:rsidRDefault="00A34623">
      <w:pPr>
        <w:pStyle w:val="Heading2"/>
      </w:pPr>
      <w:bookmarkStart w:id="12" w:name="_Toc147263835"/>
      <w:r w:rsidRPr="00EA1221">
        <w:lastRenderedPageBreak/>
        <w:t>Reference</w:t>
      </w:r>
      <w:bookmarkEnd w:id="12"/>
      <w:r w:rsidR="002C506D">
        <w:t>s</w:t>
      </w:r>
    </w:p>
    <w:p w14:paraId="2BD028EB" w14:textId="7D3316C0" w:rsidR="002740AC" w:rsidRPr="002740AC" w:rsidRDefault="00A34623" w:rsidP="002740AC">
      <w:pPr>
        <w:widowControl w:val="0"/>
        <w:autoSpaceDE w:val="0"/>
        <w:autoSpaceDN w:val="0"/>
        <w:adjustRightInd w:val="0"/>
        <w:ind w:left="640" w:hanging="640"/>
        <w:rPr>
          <w:rFonts w:cs="Times New Roman"/>
          <w:noProof/>
          <w:szCs w:val="24"/>
        </w:rPr>
      </w:pPr>
      <w:r w:rsidRPr="00EA1221">
        <w:rPr>
          <w:rFonts w:cs="Times New Roman"/>
          <w:lang w:eastAsia="en-US"/>
        </w:rPr>
        <w:fldChar w:fldCharType="begin" w:fldLock="1"/>
      </w:r>
      <w:r w:rsidRPr="00EA1221">
        <w:rPr>
          <w:rFonts w:cs="Times New Roman"/>
          <w:lang w:eastAsia="en-US"/>
        </w:rPr>
        <w:instrText xml:space="preserve">ADDIN Mendeley Bibliography CSL_BIBLIOGRAPHY </w:instrText>
      </w:r>
      <w:r w:rsidRPr="00EA1221">
        <w:rPr>
          <w:rFonts w:cs="Times New Roman"/>
          <w:lang w:eastAsia="en-US"/>
        </w:rPr>
        <w:fldChar w:fldCharType="separate"/>
      </w:r>
      <w:r w:rsidR="002740AC" w:rsidRPr="002740AC">
        <w:rPr>
          <w:rFonts w:cs="Times New Roman"/>
          <w:noProof/>
          <w:szCs w:val="24"/>
        </w:rPr>
        <w:t>1.</w:t>
      </w:r>
      <w:r w:rsidR="002740AC" w:rsidRPr="002740AC">
        <w:rPr>
          <w:rFonts w:cs="Times New Roman"/>
          <w:noProof/>
          <w:szCs w:val="24"/>
        </w:rPr>
        <w:tab/>
        <w:t>Turcani, L.</w:t>
      </w:r>
      <w:r w:rsidR="002740AC" w:rsidRPr="002740AC">
        <w:rPr>
          <w:rFonts w:cs="Times New Roman"/>
          <w:i/>
          <w:iCs/>
          <w:noProof/>
          <w:szCs w:val="24"/>
        </w:rPr>
        <w:t xml:space="preserve"> et al</w:t>
      </w:r>
      <w:r w:rsidR="002740AC">
        <w:rPr>
          <w:rFonts w:cs="Times New Roman"/>
          <w:i/>
          <w:iCs/>
          <w:noProof/>
          <w:szCs w:val="24"/>
        </w:rPr>
        <w:t>.</w:t>
      </w:r>
      <w:r w:rsidR="002740AC" w:rsidRPr="002740AC">
        <w:rPr>
          <w:rFonts w:cs="Times New Roman"/>
          <w:noProof/>
          <w:szCs w:val="24"/>
        </w:rPr>
        <w:t xml:space="preserve"> stk: A python toolkit for supramolecular assembly. </w:t>
      </w:r>
      <w:r w:rsidR="002740AC" w:rsidRPr="002740AC">
        <w:rPr>
          <w:rFonts w:cs="Times New Roman"/>
          <w:i/>
          <w:iCs/>
          <w:noProof/>
          <w:szCs w:val="24"/>
        </w:rPr>
        <w:t>J. Comput. Chem.</w:t>
      </w:r>
      <w:r w:rsidR="002740AC" w:rsidRPr="002740AC">
        <w:rPr>
          <w:rFonts w:cs="Times New Roman"/>
          <w:noProof/>
          <w:szCs w:val="24"/>
        </w:rPr>
        <w:t xml:space="preserve"> </w:t>
      </w:r>
      <w:r w:rsidR="002740AC" w:rsidRPr="002740AC">
        <w:rPr>
          <w:rFonts w:cs="Times New Roman"/>
          <w:b/>
          <w:bCs/>
          <w:noProof/>
          <w:szCs w:val="24"/>
        </w:rPr>
        <w:t>39</w:t>
      </w:r>
      <w:r w:rsidR="002740AC" w:rsidRPr="002740AC">
        <w:rPr>
          <w:rFonts w:cs="Times New Roman"/>
          <w:noProof/>
          <w:szCs w:val="24"/>
        </w:rPr>
        <w:t>, 1931–1942 (2018).</w:t>
      </w:r>
    </w:p>
    <w:p w14:paraId="6BBE81D5"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2.</w:t>
      </w:r>
      <w:r w:rsidRPr="002740AC">
        <w:rPr>
          <w:rFonts w:cs="Times New Roman"/>
          <w:noProof/>
          <w:szCs w:val="24"/>
        </w:rPr>
        <w:tab/>
        <w:t xml:space="preserve">Lu, C. </w:t>
      </w:r>
      <w:r w:rsidRPr="002740AC">
        <w:rPr>
          <w:rFonts w:cs="Times New Roman"/>
          <w:i/>
          <w:iCs/>
          <w:noProof/>
          <w:szCs w:val="24"/>
        </w:rPr>
        <w:t>et al.</w:t>
      </w:r>
      <w:r w:rsidRPr="002740AC">
        <w:rPr>
          <w:rFonts w:cs="Times New Roman"/>
          <w:noProof/>
          <w:szCs w:val="24"/>
        </w:rPr>
        <w:t xml:space="preserve"> OPLS4: Improving force field accuracy on challenging regimes of chemical space. </w:t>
      </w:r>
      <w:r w:rsidRPr="002740AC">
        <w:rPr>
          <w:rFonts w:cs="Times New Roman"/>
          <w:i/>
          <w:iCs/>
          <w:noProof/>
          <w:szCs w:val="24"/>
        </w:rPr>
        <w:t>J. Chem. Theory Comput.</w:t>
      </w:r>
      <w:r w:rsidRPr="002740AC">
        <w:rPr>
          <w:rFonts w:cs="Times New Roman"/>
          <w:noProof/>
          <w:szCs w:val="24"/>
        </w:rPr>
        <w:t xml:space="preserve"> </w:t>
      </w:r>
      <w:r w:rsidRPr="002740AC">
        <w:rPr>
          <w:rFonts w:cs="Times New Roman"/>
          <w:b/>
          <w:bCs/>
          <w:noProof/>
          <w:szCs w:val="24"/>
        </w:rPr>
        <w:t>17</w:t>
      </w:r>
      <w:r w:rsidRPr="002740AC">
        <w:rPr>
          <w:rFonts w:cs="Times New Roman"/>
          <w:noProof/>
          <w:szCs w:val="24"/>
        </w:rPr>
        <w:t>, 4291–4300 (2021).</w:t>
      </w:r>
    </w:p>
    <w:p w14:paraId="0687A6A4"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3.</w:t>
      </w:r>
      <w:r w:rsidRPr="002740AC">
        <w:rPr>
          <w:rFonts w:cs="Times New Roman"/>
          <w:noProof/>
          <w:szCs w:val="24"/>
        </w:rPr>
        <w:tab/>
        <w:t xml:space="preserve">Kühne, T. D. </w:t>
      </w:r>
      <w:r w:rsidRPr="002740AC">
        <w:rPr>
          <w:rFonts w:cs="Times New Roman"/>
          <w:i/>
          <w:iCs/>
          <w:noProof/>
          <w:szCs w:val="24"/>
        </w:rPr>
        <w:t>et al.</w:t>
      </w:r>
      <w:r w:rsidRPr="002740AC">
        <w:rPr>
          <w:rFonts w:cs="Times New Roman"/>
          <w:noProof/>
          <w:szCs w:val="24"/>
        </w:rPr>
        <w:t xml:space="preserve"> CP2K: An electronic structure and molecular dynamics software package - Quickstep: Efficient and accurate electronic structure calculations. </w:t>
      </w:r>
      <w:r w:rsidRPr="002740AC">
        <w:rPr>
          <w:rFonts w:cs="Times New Roman"/>
          <w:i/>
          <w:iCs/>
          <w:noProof/>
          <w:szCs w:val="24"/>
        </w:rPr>
        <w:t>J. Chem. Phys.</w:t>
      </w:r>
      <w:r w:rsidRPr="002740AC">
        <w:rPr>
          <w:rFonts w:cs="Times New Roman"/>
          <w:noProof/>
          <w:szCs w:val="24"/>
        </w:rPr>
        <w:t xml:space="preserve"> </w:t>
      </w:r>
      <w:r w:rsidRPr="002740AC">
        <w:rPr>
          <w:rFonts w:cs="Times New Roman"/>
          <w:b/>
          <w:bCs/>
          <w:noProof/>
          <w:szCs w:val="24"/>
        </w:rPr>
        <w:t>152</w:t>
      </w:r>
      <w:r w:rsidRPr="002740AC">
        <w:rPr>
          <w:rFonts w:cs="Times New Roman"/>
          <w:noProof/>
          <w:szCs w:val="24"/>
        </w:rPr>
        <w:t>, (2020).</w:t>
      </w:r>
    </w:p>
    <w:p w14:paraId="1D10A88A" w14:textId="11E20C85"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4.</w:t>
      </w:r>
      <w:r w:rsidRPr="002740AC">
        <w:rPr>
          <w:rFonts w:cs="Times New Roman"/>
          <w:noProof/>
          <w:szCs w:val="24"/>
        </w:rPr>
        <w:tab/>
        <w:t>Perdew, J. P.</w:t>
      </w:r>
      <w:r w:rsidRPr="002740AC">
        <w:rPr>
          <w:rFonts w:cs="Times New Roman"/>
          <w:i/>
          <w:iCs/>
          <w:noProof/>
          <w:szCs w:val="24"/>
        </w:rPr>
        <w:t xml:space="preserve"> et al</w:t>
      </w:r>
      <w:r>
        <w:rPr>
          <w:rFonts w:cs="Times New Roman"/>
          <w:i/>
          <w:iCs/>
          <w:noProof/>
          <w:szCs w:val="24"/>
        </w:rPr>
        <w:t>.</w:t>
      </w:r>
      <w:r w:rsidRPr="002740AC">
        <w:rPr>
          <w:rFonts w:cs="Times New Roman"/>
          <w:noProof/>
          <w:szCs w:val="24"/>
        </w:rPr>
        <w:t xml:space="preserve"> Generalized gradient approximation made simple. </w:t>
      </w:r>
      <w:r w:rsidRPr="002740AC">
        <w:rPr>
          <w:rFonts w:cs="Times New Roman"/>
          <w:i/>
          <w:iCs/>
          <w:noProof/>
          <w:szCs w:val="24"/>
        </w:rPr>
        <w:t>Phys. Rev. Lett.</w:t>
      </w:r>
      <w:r w:rsidRPr="002740AC">
        <w:rPr>
          <w:rFonts w:cs="Times New Roman"/>
          <w:noProof/>
          <w:szCs w:val="24"/>
        </w:rPr>
        <w:t xml:space="preserve"> </w:t>
      </w:r>
      <w:r w:rsidRPr="002740AC">
        <w:rPr>
          <w:rFonts w:cs="Times New Roman"/>
          <w:b/>
          <w:bCs/>
          <w:noProof/>
          <w:szCs w:val="24"/>
        </w:rPr>
        <w:t>77</w:t>
      </w:r>
      <w:r w:rsidRPr="002740AC">
        <w:rPr>
          <w:rFonts w:cs="Times New Roman"/>
          <w:noProof/>
          <w:szCs w:val="24"/>
        </w:rPr>
        <w:t>, 3865–3868 (1996).</w:t>
      </w:r>
    </w:p>
    <w:p w14:paraId="231E6A23"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5.</w:t>
      </w:r>
      <w:r w:rsidRPr="002740AC">
        <w:rPr>
          <w:rFonts w:cs="Times New Roman"/>
          <w:noProof/>
          <w:szCs w:val="24"/>
        </w:rPr>
        <w:tab/>
        <w:t xml:space="preserve">VandeVondele, J. &amp; Hutter, J. Gaussian basis sets for accurate calculations on molecular systems in gas and condensed phases. </w:t>
      </w:r>
      <w:r w:rsidRPr="002740AC">
        <w:rPr>
          <w:rFonts w:cs="Times New Roman"/>
          <w:i/>
          <w:iCs/>
          <w:noProof/>
          <w:szCs w:val="24"/>
        </w:rPr>
        <w:t>J. Chem. Phys.</w:t>
      </w:r>
      <w:r w:rsidRPr="002740AC">
        <w:rPr>
          <w:rFonts w:cs="Times New Roman"/>
          <w:noProof/>
          <w:szCs w:val="24"/>
        </w:rPr>
        <w:t xml:space="preserve"> </w:t>
      </w:r>
      <w:r w:rsidRPr="002740AC">
        <w:rPr>
          <w:rFonts w:cs="Times New Roman"/>
          <w:b/>
          <w:bCs/>
          <w:noProof/>
          <w:szCs w:val="24"/>
        </w:rPr>
        <w:t>127</w:t>
      </w:r>
      <w:r w:rsidRPr="002740AC">
        <w:rPr>
          <w:rFonts w:cs="Times New Roman"/>
          <w:noProof/>
          <w:szCs w:val="24"/>
        </w:rPr>
        <w:t>, (2007).</w:t>
      </w:r>
    </w:p>
    <w:p w14:paraId="60DA7670" w14:textId="0362D029"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6.</w:t>
      </w:r>
      <w:r w:rsidRPr="002740AC">
        <w:rPr>
          <w:rFonts w:cs="Times New Roman"/>
          <w:noProof/>
          <w:szCs w:val="24"/>
        </w:rPr>
        <w:tab/>
        <w:t>Grimme, S.</w:t>
      </w:r>
      <w:r w:rsidRPr="002740AC">
        <w:rPr>
          <w:rFonts w:cs="Times New Roman"/>
          <w:i/>
          <w:iCs/>
          <w:noProof/>
          <w:szCs w:val="24"/>
        </w:rPr>
        <w:t xml:space="preserve"> et al</w:t>
      </w:r>
      <w:r>
        <w:rPr>
          <w:rFonts w:cs="Times New Roman"/>
          <w:i/>
          <w:iCs/>
          <w:noProof/>
          <w:szCs w:val="24"/>
        </w:rPr>
        <w:t>.</w:t>
      </w:r>
      <w:r w:rsidRPr="002740AC">
        <w:rPr>
          <w:rFonts w:cs="Times New Roman"/>
          <w:noProof/>
          <w:szCs w:val="24"/>
        </w:rPr>
        <w:t xml:space="preserve"> A consistent and accurate ab initio parametrization of density functional dispersion correction (DFT-D) for the 94 elements H-Pu. </w:t>
      </w:r>
      <w:r w:rsidRPr="002740AC">
        <w:rPr>
          <w:rFonts w:cs="Times New Roman"/>
          <w:i/>
          <w:iCs/>
          <w:noProof/>
          <w:szCs w:val="24"/>
        </w:rPr>
        <w:t>J. Chem. Phys.</w:t>
      </w:r>
      <w:r w:rsidRPr="002740AC">
        <w:rPr>
          <w:rFonts w:cs="Times New Roman"/>
          <w:noProof/>
          <w:szCs w:val="24"/>
        </w:rPr>
        <w:t xml:space="preserve"> </w:t>
      </w:r>
      <w:r w:rsidRPr="002740AC">
        <w:rPr>
          <w:rFonts w:cs="Times New Roman"/>
          <w:b/>
          <w:bCs/>
          <w:noProof/>
          <w:szCs w:val="24"/>
        </w:rPr>
        <w:t>132</w:t>
      </w:r>
      <w:r w:rsidRPr="002740AC">
        <w:rPr>
          <w:rFonts w:cs="Times New Roman"/>
          <w:noProof/>
          <w:szCs w:val="24"/>
        </w:rPr>
        <w:t>, (2010).</w:t>
      </w:r>
    </w:p>
    <w:p w14:paraId="37FE8998"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7.</w:t>
      </w:r>
      <w:r w:rsidRPr="002740AC">
        <w:rPr>
          <w:rFonts w:cs="Times New Roman"/>
          <w:noProof/>
          <w:szCs w:val="24"/>
        </w:rPr>
        <w:tab/>
        <w:t xml:space="preserve">Zhao, Y. &amp; Truhlar, D. G. The M06 suite of density functionals for main group thermochemistry, thermochemical kinetics, noncovalent interactions, excited states, and transition elements: Two new functionals and systematic testing of four M06-class functionals and 12 other function. </w:t>
      </w:r>
      <w:r w:rsidRPr="002740AC">
        <w:rPr>
          <w:rFonts w:cs="Times New Roman"/>
          <w:i/>
          <w:iCs/>
          <w:noProof/>
          <w:szCs w:val="24"/>
        </w:rPr>
        <w:t>Theor. Chem. Acc.</w:t>
      </w:r>
      <w:r w:rsidRPr="002740AC">
        <w:rPr>
          <w:rFonts w:cs="Times New Roman"/>
          <w:noProof/>
          <w:szCs w:val="24"/>
        </w:rPr>
        <w:t xml:space="preserve"> </w:t>
      </w:r>
      <w:r w:rsidRPr="002740AC">
        <w:rPr>
          <w:rFonts w:cs="Times New Roman"/>
          <w:b/>
          <w:bCs/>
          <w:noProof/>
          <w:szCs w:val="24"/>
        </w:rPr>
        <w:t>120</w:t>
      </w:r>
      <w:r w:rsidRPr="002740AC">
        <w:rPr>
          <w:rFonts w:cs="Times New Roman"/>
          <w:noProof/>
          <w:szCs w:val="24"/>
        </w:rPr>
        <w:t>, 215–241 (2008).</w:t>
      </w:r>
    </w:p>
    <w:p w14:paraId="3AF15D11"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8.</w:t>
      </w:r>
      <w:r w:rsidRPr="002740AC">
        <w:rPr>
          <w:rFonts w:cs="Times New Roman"/>
          <w:noProof/>
          <w:szCs w:val="24"/>
        </w:rPr>
        <w:tab/>
        <w:t xml:space="preserve">Frisch, M. J. </w:t>
      </w:r>
      <w:r w:rsidRPr="002740AC">
        <w:rPr>
          <w:rFonts w:cs="Times New Roman"/>
          <w:i/>
          <w:iCs/>
          <w:noProof/>
          <w:szCs w:val="24"/>
        </w:rPr>
        <w:t>et al.</w:t>
      </w:r>
      <w:r w:rsidRPr="002740AC">
        <w:rPr>
          <w:rFonts w:cs="Times New Roman"/>
          <w:noProof/>
          <w:szCs w:val="24"/>
        </w:rPr>
        <w:t xml:space="preserve"> Gaussian 16 revision a. 03. 2016; gaussian inc. </w:t>
      </w:r>
      <w:r w:rsidRPr="002740AC">
        <w:rPr>
          <w:rFonts w:cs="Times New Roman"/>
          <w:i/>
          <w:iCs/>
          <w:noProof/>
          <w:szCs w:val="24"/>
        </w:rPr>
        <w:t>Wallingford CT</w:t>
      </w:r>
      <w:r w:rsidRPr="002740AC">
        <w:rPr>
          <w:rFonts w:cs="Times New Roman"/>
          <w:noProof/>
          <w:szCs w:val="24"/>
        </w:rPr>
        <w:t xml:space="preserve"> </w:t>
      </w:r>
      <w:r w:rsidRPr="002740AC">
        <w:rPr>
          <w:rFonts w:cs="Times New Roman"/>
          <w:b/>
          <w:bCs/>
          <w:noProof/>
          <w:szCs w:val="24"/>
        </w:rPr>
        <w:t>2</w:t>
      </w:r>
      <w:r w:rsidRPr="002740AC">
        <w:rPr>
          <w:rFonts w:cs="Times New Roman"/>
          <w:noProof/>
          <w:szCs w:val="24"/>
        </w:rPr>
        <w:t>, 4 (2016).</w:t>
      </w:r>
    </w:p>
    <w:p w14:paraId="588C2EA4" w14:textId="6991660E"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9.</w:t>
      </w:r>
      <w:r w:rsidRPr="002740AC">
        <w:rPr>
          <w:rFonts w:cs="Times New Roman"/>
          <w:noProof/>
          <w:szCs w:val="24"/>
        </w:rPr>
        <w:tab/>
        <w:t xml:space="preserve">Weigend, F. &amp; Ahlrichs, R. Balanced basis sets of split valence, triple zeta valence and quadruple zeta valence quality for H to Rn: </w:t>
      </w:r>
      <w:r>
        <w:rPr>
          <w:rFonts w:cs="Times New Roman"/>
          <w:noProof/>
          <w:szCs w:val="24"/>
        </w:rPr>
        <w:t>d</w:t>
      </w:r>
      <w:r w:rsidRPr="002740AC">
        <w:rPr>
          <w:rFonts w:cs="Times New Roman"/>
          <w:noProof/>
          <w:szCs w:val="24"/>
        </w:rPr>
        <w:t xml:space="preserve">esign and assessment of accuracy. </w:t>
      </w:r>
      <w:r w:rsidRPr="002740AC">
        <w:rPr>
          <w:rFonts w:cs="Times New Roman"/>
          <w:i/>
          <w:iCs/>
          <w:noProof/>
          <w:szCs w:val="24"/>
        </w:rPr>
        <w:t>Phys. Chem. Chem. Phys.</w:t>
      </w:r>
      <w:r w:rsidRPr="002740AC">
        <w:rPr>
          <w:rFonts w:cs="Times New Roman"/>
          <w:noProof/>
          <w:szCs w:val="24"/>
        </w:rPr>
        <w:t xml:space="preserve"> </w:t>
      </w:r>
      <w:r w:rsidRPr="002740AC">
        <w:rPr>
          <w:rFonts w:cs="Times New Roman"/>
          <w:b/>
          <w:bCs/>
          <w:noProof/>
          <w:szCs w:val="24"/>
        </w:rPr>
        <w:t>7</w:t>
      </w:r>
      <w:r w:rsidRPr="002740AC">
        <w:rPr>
          <w:rFonts w:cs="Times New Roman"/>
          <w:noProof/>
          <w:szCs w:val="24"/>
        </w:rPr>
        <w:t>, 3297–3305 (2005).</w:t>
      </w:r>
    </w:p>
    <w:p w14:paraId="14E61EC6"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10.</w:t>
      </w:r>
      <w:r w:rsidRPr="002740AC">
        <w:rPr>
          <w:rFonts w:cs="Times New Roman"/>
          <w:noProof/>
          <w:szCs w:val="24"/>
        </w:rPr>
        <w:tab/>
        <w:t xml:space="preserve">Weigend, F. Accurate Coulomb-fitting basis sets for H to Rn. </w:t>
      </w:r>
      <w:r w:rsidRPr="002740AC">
        <w:rPr>
          <w:rFonts w:cs="Times New Roman"/>
          <w:i/>
          <w:iCs/>
          <w:noProof/>
          <w:szCs w:val="24"/>
        </w:rPr>
        <w:t>Phys. Chem. Chem. Phys.</w:t>
      </w:r>
      <w:r w:rsidRPr="002740AC">
        <w:rPr>
          <w:rFonts w:cs="Times New Roman"/>
          <w:noProof/>
          <w:szCs w:val="24"/>
        </w:rPr>
        <w:t xml:space="preserve"> </w:t>
      </w:r>
      <w:r w:rsidRPr="002740AC">
        <w:rPr>
          <w:rFonts w:cs="Times New Roman"/>
          <w:b/>
          <w:bCs/>
          <w:noProof/>
          <w:szCs w:val="24"/>
        </w:rPr>
        <w:t>8</w:t>
      </w:r>
      <w:r w:rsidRPr="002740AC">
        <w:rPr>
          <w:rFonts w:cs="Times New Roman"/>
          <w:noProof/>
          <w:szCs w:val="24"/>
        </w:rPr>
        <w:t>, 1057–1065 (2006).</w:t>
      </w:r>
    </w:p>
    <w:p w14:paraId="5B37598F"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11.</w:t>
      </w:r>
      <w:r w:rsidRPr="002740AC">
        <w:rPr>
          <w:rFonts w:cs="Times New Roman"/>
          <w:noProof/>
          <w:szCs w:val="24"/>
        </w:rPr>
        <w:tab/>
        <w:t xml:space="preserve">Sheldrick, G. SHELXT. </w:t>
      </w:r>
      <w:r w:rsidRPr="002740AC">
        <w:rPr>
          <w:rFonts w:cs="Times New Roman"/>
          <w:i/>
          <w:iCs/>
          <w:noProof/>
          <w:szCs w:val="24"/>
        </w:rPr>
        <w:t>Acta Cryst.</w:t>
      </w:r>
      <w:r w:rsidRPr="002740AC">
        <w:rPr>
          <w:rFonts w:cs="Times New Roman"/>
          <w:noProof/>
          <w:szCs w:val="24"/>
        </w:rPr>
        <w:t xml:space="preserve"> </w:t>
      </w:r>
      <w:r w:rsidRPr="002740AC">
        <w:rPr>
          <w:rFonts w:cs="Times New Roman"/>
          <w:b/>
          <w:bCs/>
          <w:noProof/>
          <w:szCs w:val="24"/>
        </w:rPr>
        <w:t>A71</w:t>
      </w:r>
      <w:r w:rsidRPr="002740AC">
        <w:rPr>
          <w:rFonts w:cs="Times New Roman"/>
          <w:noProof/>
          <w:szCs w:val="24"/>
        </w:rPr>
        <w:t>, 3–8 (2015).</w:t>
      </w:r>
    </w:p>
    <w:p w14:paraId="7573B5A9"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12.</w:t>
      </w:r>
      <w:r w:rsidRPr="002740AC">
        <w:rPr>
          <w:rFonts w:cs="Times New Roman"/>
          <w:noProof/>
          <w:szCs w:val="24"/>
        </w:rPr>
        <w:tab/>
        <w:t xml:space="preserve">Sheldrick, G. SHELXL. </w:t>
      </w:r>
      <w:r w:rsidRPr="002740AC">
        <w:rPr>
          <w:rFonts w:cs="Times New Roman"/>
          <w:i/>
          <w:iCs/>
          <w:noProof/>
          <w:szCs w:val="24"/>
        </w:rPr>
        <w:t>Acta Cryst.</w:t>
      </w:r>
      <w:r w:rsidRPr="002740AC">
        <w:rPr>
          <w:rFonts w:cs="Times New Roman"/>
          <w:noProof/>
          <w:szCs w:val="24"/>
        </w:rPr>
        <w:t xml:space="preserve"> </w:t>
      </w:r>
      <w:r w:rsidRPr="002740AC">
        <w:rPr>
          <w:rFonts w:cs="Times New Roman"/>
          <w:b/>
          <w:bCs/>
          <w:noProof/>
          <w:szCs w:val="24"/>
        </w:rPr>
        <w:t>C71</w:t>
      </w:r>
      <w:r w:rsidRPr="002740AC">
        <w:rPr>
          <w:rFonts w:cs="Times New Roman"/>
          <w:noProof/>
          <w:szCs w:val="24"/>
        </w:rPr>
        <w:t>, 3–8 (2015).</w:t>
      </w:r>
    </w:p>
    <w:p w14:paraId="730D181E" w14:textId="11EFE1BC"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13.</w:t>
      </w:r>
      <w:r w:rsidRPr="002740AC">
        <w:rPr>
          <w:rFonts w:cs="Times New Roman"/>
          <w:noProof/>
          <w:szCs w:val="24"/>
        </w:rPr>
        <w:tab/>
        <w:t xml:space="preserve">Dolomanov O. V. </w:t>
      </w:r>
      <w:r w:rsidRPr="002740AC">
        <w:rPr>
          <w:rFonts w:cs="Times New Roman"/>
          <w:i/>
          <w:iCs/>
          <w:noProof/>
          <w:szCs w:val="24"/>
        </w:rPr>
        <w:t>et al</w:t>
      </w:r>
      <w:r w:rsidRPr="002740AC">
        <w:rPr>
          <w:rFonts w:cs="Times New Roman"/>
          <w:noProof/>
          <w:szCs w:val="24"/>
        </w:rPr>
        <w:t xml:space="preserve">. OLEX2. </w:t>
      </w:r>
      <w:r w:rsidRPr="002740AC">
        <w:rPr>
          <w:rFonts w:cs="Times New Roman"/>
          <w:i/>
          <w:iCs/>
          <w:noProof/>
          <w:szCs w:val="24"/>
        </w:rPr>
        <w:t>J. Appl. Cryst.</w:t>
      </w:r>
      <w:r w:rsidRPr="002740AC">
        <w:rPr>
          <w:rFonts w:cs="Times New Roman"/>
          <w:noProof/>
          <w:szCs w:val="24"/>
        </w:rPr>
        <w:t xml:space="preserve"> </w:t>
      </w:r>
      <w:r w:rsidRPr="002740AC">
        <w:rPr>
          <w:rFonts w:cs="Times New Roman"/>
          <w:b/>
          <w:bCs/>
          <w:noProof/>
          <w:szCs w:val="24"/>
        </w:rPr>
        <w:t>42</w:t>
      </w:r>
      <w:r w:rsidRPr="002740AC">
        <w:rPr>
          <w:rFonts w:cs="Times New Roman"/>
          <w:noProof/>
          <w:szCs w:val="24"/>
        </w:rPr>
        <w:t>, 339–341 (2009).</w:t>
      </w:r>
    </w:p>
    <w:p w14:paraId="58631D53" w14:textId="4AA37F72"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14.</w:t>
      </w:r>
      <w:r w:rsidRPr="002740AC">
        <w:rPr>
          <w:rFonts w:cs="Times New Roman"/>
          <w:noProof/>
          <w:szCs w:val="24"/>
        </w:rPr>
        <w:tab/>
        <w:t xml:space="preserve">Zhu, Q. </w:t>
      </w:r>
      <w:r w:rsidRPr="002740AC">
        <w:rPr>
          <w:rFonts w:cs="Times New Roman"/>
          <w:i/>
          <w:iCs/>
          <w:noProof/>
          <w:szCs w:val="24"/>
        </w:rPr>
        <w:t>et al.</w:t>
      </w:r>
      <w:r w:rsidRPr="002740AC">
        <w:rPr>
          <w:rFonts w:cs="Times New Roman"/>
          <w:noProof/>
          <w:szCs w:val="24"/>
        </w:rPr>
        <w:t xml:space="preserve"> </w:t>
      </w:r>
      <w:r>
        <w:rPr>
          <w:rFonts w:cs="Times New Roman"/>
          <w:noProof/>
          <w:szCs w:val="24"/>
        </w:rPr>
        <w:t>A</w:t>
      </w:r>
      <w:r w:rsidRPr="002740AC">
        <w:rPr>
          <w:rFonts w:cs="Times New Roman"/>
          <w:noProof/>
          <w:szCs w:val="24"/>
        </w:rPr>
        <w:t xml:space="preserve">nalogy powered by prediction and structural invariants: computationally led discovery of a mesoporous hydrogen-bonded organic cage crystal. </w:t>
      </w:r>
      <w:r w:rsidRPr="002740AC">
        <w:rPr>
          <w:rFonts w:cs="Times New Roman"/>
          <w:i/>
          <w:iCs/>
          <w:noProof/>
          <w:szCs w:val="24"/>
        </w:rPr>
        <w:t>J. Am. Chem. Soc.</w:t>
      </w:r>
      <w:r w:rsidRPr="002740AC">
        <w:rPr>
          <w:rFonts w:cs="Times New Roman"/>
          <w:noProof/>
          <w:szCs w:val="24"/>
        </w:rPr>
        <w:t xml:space="preserve"> </w:t>
      </w:r>
      <w:r w:rsidRPr="002740AC">
        <w:rPr>
          <w:rFonts w:cs="Times New Roman"/>
          <w:b/>
          <w:bCs/>
          <w:noProof/>
          <w:szCs w:val="24"/>
        </w:rPr>
        <w:t>144</w:t>
      </w:r>
      <w:r w:rsidRPr="002740AC">
        <w:rPr>
          <w:rFonts w:cs="Times New Roman"/>
          <w:noProof/>
          <w:szCs w:val="24"/>
        </w:rPr>
        <w:t>, 9893–9901 (2022).</w:t>
      </w:r>
    </w:p>
    <w:p w14:paraId="6D68DEAD" w14:textId="2AA51C33"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lastRenderedPageBreak/>
        <w:t>15.</w:t>
      </w:r>
      <w:r w:rsidRPr="002740AC">
        <w:rPr>
          <w:rFonts w:cs="Times New Roman"/>
          <w:noProof/>
          <w:szCs w:val="24"/>
        </w:rPr>
        <w:tab/>
        <w:t xml:space="preserve">Alexandre, P. E. </w:t>
      </w:r>
      <w:r w:rsidRPr="002740AC">
        <w:rPr>
          <w:rFonts w:cs="Times New Roman"/>
          <w:i/>
          <w:iCs/>
          <w:noProof/>
          <w:szCs w:val="24"/>
        </w:rPr>
        <w:t>et al.</w:t>
      </w:r>
      <w:r w:rsidRPr="002740AC">
        <w:rPr>
          <w:rFonts w:cs="Times New Roman"/>
          <w:noProof/>
          <w:szCs w:val="24"/>
        </w:rPr>
        <w:t xml:space="preserve"> </w:t>
      </w:r>
      <w:r>
        <w:rPr>
          <w:rFonts w:cs="Times New Roman"/>
          <w:noProof/>
          <w:szCs w:val="24"/>
        </w:rPr>
        <w:t xml:space="preserve">A </w:t>
      </w:r>
      <w:r w:rsidRPr="002740AC">
        <w:rPr>
          <w:rFonts w:cs="Times New Roman"/>
          <w:noProof/>
          <w:szCs w:val="24"/>
        </w:rPr>
        <w:t xml:space="preserve">robust porous quinoline cage: transformation of a [4+6] salicylimine cage by povarov cyclization. </w:t>
      </w:r>
      <w:r w:rsidRPr="002740AC">
        <w:rPr>
          <w:rFonts w:cs="Times New Roman"/>
          <w:i/>
          <w:iCs/>
          <w:noProof/>
          <w:szCs w:val="24"/>
        </w:rPr>
        <w:t>Angew. Chem. Int. Ed.</w:t>
      </w:r>
      <w:r w:rsidRPr="002740AC">
        <w:rPr>
          <w:rFonts w:cs="Times New Roman"/>
          <w:noProof/>
          <w:szCs w:val="24"/>
        </w:rPr>
        <w:t xml:space="preserve"> </w:t>
      </w:r>
      <w:r w:rsidRPr="002740AC">
        <w:rPr>
          <w:rFonts w:cs="Times New Roman"/>
          <w:b/>
          <w:bCs/>
          <w:noProof/>
          <w:szCs w:val="24"/>
        </w:rPr>
        <w:t>59</w:t>
      </w:r>
      <w:r w:rsidRPr="002740AC">
        <w:rPr>
          <w:rFonts w:cs="Times New Roman"/>
          <w:noProof/>
          <w:szCs w:val="24"/>
        </w:rPr>
        <w:t>, 19675–19679 (2020).</w:t>
      </w:r>
    </w:p>
    <w:p w14:paraId="6B3397C5" w14:textId="57EBC0D5"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16.</w:t>
      </w:r>
      <w:r w:rsidRPr="002740AC">
        <w:rPr>
          <w:rFonts w:cs="Times New Roman"/>
          <w:noProof/>
          <w:szCs w:val="24"/>
        </w:rPr>
        <w:tab/>
        <w:t xml:space="preserve">Slater, A. G. </w:t>
      </w:r>
      <w:r w:rsidRPr="002740AC">
        <w:rPr>
          <w:rFonts w:cs="Times New Roman"/>
          <w:i/>
          <w:iCs/>
          <w:noProof/>
          <w:szCs w:val="24"/>
        </w:rPr>
        <w:t>et al.</w:t>
      </w:r>
      <w:r w:rsidRPr="002740AC">
        <w:rPr>
          <w:rFonts w:cs="Times New Roman"/>
          <w:noProof/>
          <w:szCs w:val="24"/>
        </w:rPr>
        <w:t xml:space="preserve"> </w:t>
      </w:r>
      <w:r>
        <w:rPr>
          <w:rFonts w:cs="Times New Roman"/>
          <w:noProof/>
          <w:szCs w:val="24"/>
        </w:rPr>
        <w:t>C</w:t>
      </w:r>
      <w:r w:rsidRPr="002740AC">
        <w:rPr>
          <w:rFonts w:cs="Times New Roman"/>
          <w:noProof/>
          <w:szCs w:val="24"/>
        </w:rPr>
        <w:t xml:space="preserve">omputationally-guided synthetic control over pore size in isostructural porous organic cages. </w:t>
      </w:r>
      <w:r w:rsidRPr="002740AC">
        <w:rPr>
          <w:rFonts w:cs="Times New Roman"/>
          <w:i/>
          <w:iCs/>
          <w:noProof/>
          <w:szCs w:val="24"/>
        </w:rPr>
        <w:t>ACS Cent. Sci.</w:t>
      </w:r>
      <w:r w:rsidRPr="002740AC">
        <w:rPr>
          <w:rFonts w:cs="Times New Roman"/>
          <w:noProof/>
          <w:szCs w:val="24"/>
        </w:rPr>
        <w:t xml:space="preserve"> </w:t>
      </w:r>
      <w:r w:rsidRPr="002740AC">
        <w:rPr>
          <w:rFonts w:cs="Times New Roman"/>
          <w:b/>
          <w:bCs/>
          <w:noProof/>
          <w:szCs w:val="24"/>
        </w:rPr>
        <w:t>3</w:t>
      </w:r>
      <w:r w:rsidRPr="002740AC">
        <w:rPr>
          <w:rFonts w:cs="Times New Roman"/>
          <w:noProof/>
          <w:szCs w:val="24"/>
        </w:rPr>
        <w:t>, 734–742 (2017).</w:t>
      </w:r>
    </w:p>
    <w:p w14:paraId="35524366" w14:textId="597F9805"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17.</w:t>
      </w:r>
      <w:r w:rsidRPr="002740AC">
        <w:rPr>
          <w:rFonts w:cs="Times New Roman"/>
          <w:noProof/>
          <w:szCs w:val="24"/>
        </w:rPr>
        <w:tab/>
        <w:t xml:space="preserve">Smith, P. T. </w:t>
      </w:r>
      <w:r w:rsidRPr="002740AC">
        <w:rPr>
          <w:rFonts w:cs="Times New Roman"/>
          <w:i/>
          <w:iCs/>
          <w:noProof/>
          <w:szCs w:val="24"/>
        </w:rPr>
        <w:t>et al.</w:t>
      </w:r>
      <w:r w:rsidRPr="002740AC">
        <w:rPr>
          <w:rFonts w:cs="Times New Roman"/>
          <w:noProof/>
          <w:szCs w:val="24"/>
        </w:rPr>
        <w:t xml:space="preserve"> </w:t>
      </w:r>
      <w:r>
        <w:rPr>
          <w:rFonts w:cs="Times New Roman"/>
          <w:noProof/>
          <w:szCs w:val="24"/>
        </w:rPr>
        <w:t>I</w:t>
      </w:r>
      <w:r w:rsidRPr="002740AC">
        <w:rPr>
          <w:rFonts w:cs="Times New Roman"/>
          <w:noProof/>
          <w:szCs w:val="24"/>
        </w:rPr>
        <w:t xml:space="preserve">ron porphyrins embedded into a supramolecular porous organic cage for electrochemical co2 reduction in water. </w:t>
      </w:r>
      <w:r w:rsidRPr="002740AC">
        <w:rPr>
          <w:rFonts w:cs="Times New Roman"/>
          <w:i/>
          <w:iCs/>
          <w:noProof/>
          <w:szCs w:val="24"/>
        </w:rPr>
        <w:t>Angew. Chem. Int. Ed.</w:t>
      </w:r>
      <w:r w:rsidRPr="002740AC">
        <w:rPr>
          <w:rFonts w:cs="Times New Roman"/>
          <w:noProof/>
          <w:szCs w:val="24"/>
        </w:rPr>
        <w:t xml:space="preserve"> </w:t>
      </w:r>
      <w:r w:rsidRPr="002740AC">
        <w:rPr>
          <w:rFonts w:cs="Times New Roman"/>
          <w:b/>
          <w:bCs/>
          <w:noProof/>
          <w:szCs w:val="24"/>
        </w:rPr>
        <w:t>57</w:t>
      </w:r>
      <w:r w:rsidRPr="002740AC">
        <w:rPr>
          <w:rFonts w:cs="Times New Roman"/>
          <w:noProof/>
          <w:szCs w:val="24"/>
        </w:rPr>
        <w:t>, 9684–9688 (2018).</w:t>
      </w:r>
    </w:p>
    <w:p w14:paraId="2FF06A03" w14:textId="4ED149ED"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18.</w:t>
      </w:r>
      <w:r w:rsidRPr="002740AC">
        <w:rPr>
          <w:rFonts w:cs="Times New Roman"/>
          <w:noProof/>
          <w:szCs w:val="24"/>
        </w:rPr>
        <w:tab/>
        <w:t xml:space="preserve">Hong, S. </w:t>
      </w:r>
      <w:r w:rsidRPr="002740AC">
        <w:rPr>
          <w:rFonts w:cs="Times New Roman"/>
          <w:i/>
          <w:iCs/>
          <w:noProof/>
          <w:szCs w:val="24"/>
        </w:rPr>
        <w:t>et al.</w:t>
      </w:r>
      <w:r w:rsidRPr="002740AC">
        <w:rPr>
          <w:rFonts w:cs="Times New Roman"/>
          <w:noProof/>
          <w:szCs w:val="24"/>
        </w:rPr>
        <w:t xml:space="preserve"> </w:t>
      </w:r>
      <w:r>
        <w:rPr>
          <w:rFonts w:cs="Times New Roman"/>
          <w:noProof/>
          <w:szCs w:val="24"/>
        </w:rPr>
        <w:t>P</w:t>
      </w:r>
      <w:r w:rsidRPr="002740AC">
        <w:rPr>
          <w:rFonts w:cs="Times New Roman"/>
          <w:noProof/>
          <w:szCs w:val="24"/>
        </w:rPr>
        <w:t xml:space="preserve">orphyrin boxes: rationally designed porous organic cages. </w:t>
      </w:r>
      <w:r w:rsidRPr="002740AC">
        <w:rPr>
          <w:rFonts w:cs="Times New Roman"/>
          <w:i/>
          <w:iCs/>
          <w:noProof/>
          <w:szCs w:val="24"/>
        </w:rPr>
        <w:t>Angew. Chem. Int. Ed.</w:t>
      </w:r>
      <w:r w:rsidRPr="002740AC">
        <w:rPr>
          <w:rFonts w:cs="Times New Roman"/>
          <w:noProof/>
          <w:szCs w:val="24"/>
        </w:rPr>
        <w:t xml:space="preserve"> </w:t>
      </w:r>
      <w:r w:rsidRPr="002740AC">
        <w:rPr>
          <w:rFonts w:cs="Times New Roman"/>
          <w:b/>
          <w:bCs/>
          <w:noProof/>
          <w:szCs w:val="24"/>
        </w:rPr>
        <w:t>54</w:t>
      </w:r>
      <w:r w:rsidRPr="002740AC">
        <w:rPr>
          <w:rFonts w:cs="Times New Roman"/>
          <w:noProof/>
          <w:szCs w:val="24"/>
        </w:rPr>
        <w:t>, 13241–13244 (2015).</w:t>
      </w:r>
    </w:p>
    <w:p w14:paraId="351FB348" w14:textId="511EC4A2"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19.</w:t>
      </w:r>
      <w:r w:rsidRPr="002740AC">
        <w:rPr>
          <w:rFonts w:cs="Times New Roman"/>
          <w:noProof/>
          <w:szCs w:val="24"/>
        </w:rPr>
        <w:tab/>
        <w:t>Lauer, J. C.</w:t>
      </w:r>
      <w:r w:rsidRPr="002740AC">
        <w:rPr>
          <w:rFonts w:cs="Times New Roman"/>
          <w:i/>
          <w:iCs/>
          <w:noProof/>
          <w:szCs w:val="24"/>
        </w:rPr>
        <w:t xml:space="preserve"> et al</w:t>
      </w:r>
      <w:r>
        <w:rPr>
          <w:rFonts w:cs="Times New Roman"/>
          <w:i/>
          <w:iCs/>
          <w:noProof/>
          <w:szCs w:val="24"/>
        </w:rPr>
        <w:t xml:space="preserve">. </w:t>
      </w:r>
      <w:r>
        <w:rPr>
          <w:rFonts w:cs="Times New Roman"/>
          <w:noProof/>
          <w:szCs w:val="24"/>
        </w:rPr>
        <w:t>S</w:t>
      </w:r>
      <w:r w:rsidRPr="002740AC">
        <w:rPr>
          <w:rFonts w:cs="Times New Roman"/>
          <w:noProof/>
          <w:szCs w:val="24"/>
        </w:rPr>
        <w:t xml:space="preserve">hape-persistent [4+4] imine cages with a truncated tetrahedral geometry. </w:t>
      </w:r>
      <w:r w:rsidRPr="002740AC">
        <w:rPr>
          <w:rFonts w:cs="Times New Roman"/>
          <w:i/>
          <w:iCs/>
          <w:noProof/>
          <w:szCs w:val="24"/>
        </w:rPr>
        <w:t>Chem. - A Eur. J.</w:t>
      </w:r>
      <w:r w:rsidRPr="002740AC">
        <w:rPr>
          <w:rFonts w:cs="Times New Roman"/>
          <w:noProof/>
          <w:szCs w:val="24"/>
        </w:rPr>
        <w:t xml:space="preserve"> </w:t>
      </w:r>
      <w:r w:rsidRPr="002740AC">
        <w:rPr>
          <w:rFonts w:cs="Times New Roman"/>
          <w:b/>
          <w:bCs/>
          <w:noProof/>
          <w:szCs w:val="24"/>
        </w:rPr>
        <w:t>24</w:t>
      </w:r>
      <w:r w:rsidRPr="002740AC">
        <w:rPr>
          <w:rFonts w:cs="Times New Roman"/>
          <w:noProof/>
          <w:szCs w:val="24"/>
        </w:rPr>
        <w:t>, 1816–1820 (2018).</w:t>
      </w:r>
    </w:p>
    <w:p w14:paraId="1C2DA1DB"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20.</w:t>
      </w:r>
      <w:r w:rsidRPr="002740AC">
        <w:rPr>
          <w:rFonts w:cs="Times New Roman"/>
          <w:noProof/>
          <w:szCs w:val="24"/>
        </w:rPr>
        <w:tab/>
        <w:t xml:space="preserve">Liu, C. </w:t>
      </w:r>
      <w:r w:rsidRPr="002740AC">
        <w:rPr>
          <w:rFonts w:cs="Times New Roman"/>
          <w:i/>
          <w:iCs/>
          <w:noProof/>
          <w:szCs w:val="24"/>
        </w:rPr>
        <w:t>et al.</w:t>
      </w:r>
      <w:r w:rsidRPr="002740AC">
        <w:rPr>
          <w:rFonts w:cs="Times New Roman"/>
          <w:noProof/>
          <w:szCs w:val="24"/>
        </w:rPr>
        <w:t xml:space="preserve"> Porous organic cages for efficient gas selective separation and iodine capture. </w:t>
      </w:r>
      <w:r w:rsidRPr="002740AC">
        <w:rPr>
          <w:rFonts w:cs="Times New Roman"/>
          <w:i/>
          <w:iCs/>
          <w:noProof/>
          <w:szCs w:val="24"/>
        </w:rPr>
        <w:t>Chem. Eng. J.</w:t>
      </w:r>
      <w:r w:rsidRPr="002740AC">
        <w:rPr>
          <w:rFonts w:cs="Times New Roman"/>
          <w:noProof/>
          <w:szCs w:val="24"/>
        </w:rPr>
        <w:t xml:space="preserve"> </w:t>
      </w:r>
      <w:r w:rsidRPr="002740AC">
        <w:rPr>
          <w:rFonts w:cs="Times New Roman"/>
          <w:b/>
          <w:bCs/>
          <w:noProof/>
          <w:szCs w:val="24"/>
        </w:rPr>
        <w:t>428</w:t>
      </w:r>
      <w:r w:rsidRPr="002740AC">
        <w:rPr>
          <w:rFonts w:cs="Times New Roman"/>
          <w:noProof/>
          <w:szCs w:val="24"/>
        </w:rPr>
        <w:t>, 131129 (2022).</w:t>
      </w:r>
    </w:p>
    <w:p w14:paraId="1DA71A17" w14:textId="7C8E317D"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21.</w:t>
      </w:r>
      <w:r w:rsidRPr="002740AC">
        <w:rPr>
          <w:rFonts w:cs="Times New Roman"/>
          <w:noProof/>
          <w:szCs w:val="24"/>
        </w:rPr>
        <w:tab/>
        <w:t xml:space="preserve">Jiang, S. </w:t>
      </w:r>
      <w:r w:rsidRPr="002740AC">
        <w:rPr>
          <w:rFonts w:cs="Times New Roman"/>
          <w:i/>
          <w:iCs/>
          <w:noProof/>
          <w:szCs w:val="24"/>
        </w:rPr>
        <w:t>et al.</w:t>
      </w:r>
      <w:r w:rsidRPr="002740AC">
        <w:rPr>
          <w:rFonts w:cs="Times New Roman"/>
          <w:noProof/>
          <w:szCs w:val="24"/>
        </w:rPr>
        <w:t xml:space="preserve"> </w:t>
      </w:r>
      <w:r>
        <w:rPr>
          <w:rFonts w:cs="Times New Roman"/>
          <w:noProof/>
          <w:szCs w:val="24"/>
        </w:rPr>
        <w:t>C</w:t>
      </w:r>
      <w:r w:rsidRPr="002740AC">
        <w:rPr>
          <w:rFonts w:cs="Times New Roman"/>
          <w:noProof/>
          <w:szCs w:val="24"/>
        </w:rPr>
        <w:t>ore–</w:t>
      </w:r>
      <w:r>
        <w:rPr>
          <w:rFonts w:cs="Times New Roman"/>
          <w:noProof/>
          <w:szCs w:val="24"/>
        </w:rPr>
        <w:t>s</w:t>
      </w:r>
      <w:r w:rsidRPr="002740AC">
        <w:rPr>
          <w:rFonts w:cs="Times New Roman"/>
          <w:noProof/>
          <w:szCs w:val="24"/>
        </w:rPr>
        <w:t xml:space="preserve">hell crystals of porous organic cages. </w:t>
      </w:r>
      <w:r w:rsidRPr="002740AC">
        <w:rPr>
          <w:rFonts w:cs="Times New Roman"/>
          <w:i/>
          <w:iCs/>
          <w:noProof/>
          <w:szCs w:val="24"/>
        </w:rPr>
        <w:t>Angew. Chem. Int. Ed.</w:t>
      </w:r>
      <w:r w:rsidRPr="002740AC">
        <w:rPr>
          <w:rFonts w:cs="Times New Roman"/>
          <w:noProof/>
          <w:szCs w:val="24"/>
        </w:rPr>
        <w:t xml:space="preserve"> </w:t>
      </w:r>
      <w:r w:rsidRPr="002740AC">
        <w:rPr>
          <w:rFonts w:cs="Times New Roman"/>
          <w:b/>
          <w:bCs/>
          <w:noProof/>
          <w:szCs w:val="24"/>
        </w:rPr>
        <w:t>57</w:t>
      </w:r>
      <w:r w:rsidRPr="002740AC">
        <w:rPr>
          <w:rFonts w:cs="Times New Roman"/>
          <w:noProof/>
          <w:szCs w:val="24"/>
        </w:rPr>
        <w:t>, 11228–11232 (2018).</w:t>
      </w:r>
    </w:p>
    <w:p w14:paraId="2EA09B6E" w14:textId="3AC558AE"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22.</w:t>
      </w:r>
      <w:r w:rsidRPr="002740AC">
        <w:rPr>
          <w:rFonts w:cs="Times New Roman"/>
          <w:noProof/>
          <w:szCs w:val="24"/>
        </w:rPr>
        <w:tab/>
        <w:t xml:space="preserve">Bhat, A. S. </w:t>
      </w:r>
      <w:r w:rsidRPr="002740AC">
        <w:rPr>
          <w:rFonts w:cs="Times New Roman"/>
          <w:i/>
          <w:iCs/>
          <w:noProof/>
          <w:szCs w:val="24"/>
        </w:rPr>
        <w:t>et al.</w:t>
      </w:r>
      <w:r w:rsidRPr="002740AC">
        <w:rPr>
          <w:rFonts w:cs="Times New Roman"/>
          <w:noProof/>
          <w:szCs w:val="24"/>
        </w:rPr>
        <w:t xml:space="preserve"> Transformation of a [4+6] </w:t>
      </w:r>
      <w:r>
        <w:rPr>
          <w:rFonts w:cs="Times New Roman"/>
          <w:noProof/>
          <w:szCs w:val="24"/>
        </w:rPr>
        <w:t>s</w:t>
      </w:r>
      <w:r w:rsidRPr="002740AC">
        <w:rPr>
          <w:rFonts w:cs="Times New Roman"/>
          <w:noProof/>
          <w:szCs w:val="24"/>
        </w:rPr>
        <w:t xml:space="preserve">alicylbisimine </w:t>
      </w:r>
      <w:r>
        <w:rPr>
          <w:rFonts w:cs="Times New Roman"/>
          <w:noProof/>
          <w:szCs w:val="24"/>
        </w:rPr>
        <w:t>c</w:t>
      </w:r>
      <w:r w:rsidRPr="002740AC">
        <w:rPr>
          <w:rFonts w:cs="Times New Roman"/>
          <w:noProof/>
          <w:szCs w:val="24"/>
        </w:rPr>
        <w:t xml:space="preserve">age to </w:t>
      </w:r>
      <w:r>
        <w:rPr>
          <w:rFonts w:cs="Times New Roman"/>
          <w:noProof/>
          <w:szCs w:val="24"/>
        </w:rPr>
        <w:t>c</w:t>
      </w:r>
      <w:r w:rsidRPr="002740AC">
        <w:rPr>
          <w:rFonts w:cs="Times New Roman"/>
          <w:noProof/>
          <w:szCs w:val="24"/>
        </w:rPr>
        <w:t xml:space="preserve">hemically </w:t>
      </w:r>
      <w:r>
        <w:rPr>
          <w:rFonts w:cs="Times New Roman"/>
          <w:noProof/>
          <w:szCs w:val="24"/>
        </w:rPr>
        <w:t>r</w:t>
      </w:r>
      <w:r w:rsidRPr="002740AC">
        <w:rPr>
          <w:rFonts w:cs="Times New Roman"/>
          <w:noProof/>
          <w:szCs w:val="24"/>
        </w:rPr>
        <w:t xml:space="preserve">obust </w:t>
      </w:r>
      <w:r>
        <w:rPr>
          <w:rFonts w:cs="Times New Roman"/>
          <w:noProof/>
          <w:szCs w:val="24"/>
        </w:rPr>
        <w:t>a</w:t>
      </w:r>
      <w:r w:rsidRPr="002740AC">
        <w:rPr>
          <w:rFonts w:cs="Times New Roman"/>
          <w:noProof/>
          <w:szCs w:val="24"/>
        </w:rPr>
        <w:t xml:space="preserve">mide </w:t>
      </w:r>
      <w:r>
        <w:rPr>
          <w:rFonts w:cs="Times New Roman"/>
          <w:noProof/>
          <w:szCs w:val="24"/>
        </w:rPr>
        <w:t>c</w:t>
      </w:r>
      <w:r w:rsidRPr="002740AC">
        <w:rPr>
          <w:rFonts w:cs="Times New Roman"/>
          <w:noProof/>
          <w:szCs w:val="24"/>
        </w:rPr>
        <w:t xml:space="preserve">ages. </w:t>
      </w:r>
      <w:r w:rsidRPr="002740AC">
        <w:rPr>
          <w:rFonts w:cs="Times New Roman"/>
          <w:i/>
          <w:iCs/>
          <w:noProof/>
          <w:szCs w:val="24"/>
        </w:rPr>
        <w:t>Angew. Chem. Int. Ed.</w:t>
      </w:r>
      <w:r w:rsidRPr="002740AC">
        <w:rPr>
          <w:rFonts w:cs="Times New Roman"/>
          <w:noProof/>
          <w:szCs w:val="24"/>
        </w:rPr>
        <w:t xml:space="preserve"> </w:t>
      </w:r>
      <w:r w:rsidRPr="002740AC">
        <w:rPr>
          <w:rFonts w:cs="Times New Roman"/>
          <w:b/>
          <w:bCs/>
          <w:noProof/>
          <w:szCs w:val="24"/>
        </w:rPr>
        <w:t>58</w:t>
      </w:r>
      <w:r w:rsidRPr="002740AC">
        <w:rPr>
          <w:rFonts w:cs="Times New Roman"/>
          <w:noProof/>
          <w:szCs w:val="24"/>
        </w:rPr>
        <w:t>, 8819–8823 (2019).</w:t>
      </w:r>
    </w:p>
    <w:p w14:paraId="627791D7" w14:textId="4FAE560A"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23.</w:t>
      </w:r>
      <w:r w:rsidRPr="002740AC">
        <w:rPr>
          <w:rFonts w:cs="Times New Roman"/>
          <w:noProof/>
          <w:szCs w:val="24"/>
        </w:rPr>
        <w:tab/>
        <w:t>Mastalerz, M.</w:t>
      </w:r>
      <w:r w:rsidRPr="002740AC">
        <w:rPr>
          <w:rFonts w:cs="Times New Roman"/>
          <w:i/>
          <w:iCs/>
          <w:noProof/>
          <w:szCs w:val="24"/>
        </w:rPr>
        <w:t xml:space="preserve"> et al</w:t>
      </w:r>
      <w:r>
        <w:rPr>
          <w:rFonts w:cs="Times New Roman"/>
          <w:i/>
          <w:iCs/>
          <w:noProof/>
          <w:szCs w:val="24"/>
        </w:rPr>
        <w:t>.</w:t>
      </w:r>
      <w:r w:rsidRPr="002740AC">
        <w:rPr>
          <w:rFonts w:cs="Times New Roman"/>
          <w:noProof/>
          <w:szCs w:val="24"/>
        </w:rPr>
        <w:t xml:space="preserve"> A salicylbisimine cage compound with high surface area and selective CO</w:t>
      </w:r>
      <w:r w:rsidRPr="002740AC">
        <w:rPr>
          <w:rFonts w:cs="Times New Roman"/>
          <w:noProof/>
          <w:szCs w:val="24"/>
          <w:vertAlign w:val="subscript"/>
        </w:rPr>
        <w:t>2</w:t>
      </w:r>
      <w:r w:rsidRPr="002740AC">
        <w:rPr>
          <w:rFonts w:cs="Times New Roman"/>
          <w:noProof/>
          <w:szCs w:val="24"/>
        </w:rPr>
        <w:t>/CH</w:t>
      </w:r>
      <w:r w:rsidRPr="002740AC">
        <w:rPr>
          <w:rFonts w:cs="Times New Roman"/>
          <w:noProof/>
          <w:szCs w:val="24"/>
          <w:vertAlign w:val="subscript"/>
        </w:rPr>
        <w:t>4</w:t>
      </w:r>
      <w:r w:rsidRPr="002740AC">
        <w:rPr>
          <w:rFonts w:cs="Times New Roman"/>
          <w:noProof/>
          <w:szCs w:val="24"/>
        </w:rPr>
        <w:t xml:space="preserve"> adsorption. </w:t>
      </w:r>
      <w:r w:rsidRPr="002740AC">
        <w:rPr>
          <w:rFonts w:cs="Times New Roman"/>
          <w:i/>
          <w:iCs/>
          <w:noProof/>
          <w:szCs w:val="24"/>
        </w:rPr>
        <w:t>Angew. Chem. Int. Ed.</w:t>
      </w:r>
      <w:r w:rsidRPr="002740AC">
        <w:rPr>
          <w:rFonts w:cs="Times New Roman"/>
          <w:noProof/>
          <w:szCs w:val="24"/>
        </w:rPr>
        <w:t xml:space="preserve"> </w:t>
      </w:r>
      <w:r w:rsidRPr="002740AC">
        <w:rPr>
          <w:rFonts w:cs="Times New Roman"/>
          <w:b/>
          <w:bCs/>
          <w:noProof/>
          <w:szCs w:val="24"/>
        </w:rPr>
        <w:t>50</w:t>
      </w:r>
      <w:r w:rsidRPr="002740AC">
        <w:rPr>
          <w:rFonts w:cs="Times New Roman"/>
          <w:noProof/>
          <w:szCs w:val="24"/>
        </w:rPr>
        <w:t>, 1046–1051 (2011).</w:t>
      </w:r>
    </w:p>
    <w:p w14:paraId="2022DEDE" w14:textId="77777777"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24.</w:t>
      </w:r>
      <w:r w:rsidRPr="002740AC">
        <w:rPr>
          <w:rFonts w:cs="Times New Roman"/>
          <w:noProof/>
          <w:szCs w:val="24"/>
        </w:rPr>
        <w:tab/>
        <w:t xml:space="preserve">Tozawa, T. </w:t>
      </w:r>
      <w:r w:rsidRPr="002740AC">
        <w:rPr>
          <w:rFonts w:cs="Times New Roman"/>
          <w:i/>
          <w:iCs/>
          <w:noProof/>
          <w:szCs w:val="24"/>
        </w:rPr>
        <w:t>et al.</w:t>
      </w:r>
      <w:r w:rsidRPr="002740AC">
        <w:rPr>
          <w:rFonts w:cs="Times New Roman"/>
          <w:noProof/>
          <w:szCs w:val="24"/>
        </w:rPr>
        <w:t xml:space="preserve"> Porous organic cages. </w:t>
      </w:r>
      <w:r w:rsidRPr="002740AC">
        <w:rPr>
          <w:rFonts w:cs="Times New Roman"/>
          <w:i/>
          <w:iCs/>
          <w:noProof/>
          <w:szCs w:val="24"/>
        </w:rPr>
        <w:t>Nat. Mater.</w:t>
      </w:r>
      <w:r w:rsidRPr="002740AC">
        <w:rPr>
          <w:rFonts w:cs="Times New Roman"/>
          <w:noProof/>
          <w:szCs w:val="24"/>
        </w:rPr>
        <w:t xml:space="preserve"> </w:t>
      </w:r>
      <w:r w:rsidRPr="002740AC">
        <w:rPr>
          <w:rFonts w:cs="Times New Roman"/>
          <w:b/>
          <w:bCs/>
          <w:noProof/>
          <w:szCs w:val="24"/>
        </w:rPr>
        <w:t>8</w:t>
      </w:r>
      <w:r w:rsidRPr="002740AC">
        <w:rPr>
          <w:rFonts w:cs="Times New Roman"/>
          <w:noProof/>
          <w:szCs w:val="24"/>
        </w:rPr>
        <w:t>, 973–978 (2009).</w:t>
      </w:r>
    </w:p>
    <w:p w14:paraId="74CCA47D" w14:textId="5DA6804D" w:rsidR="002740AC" w:rsidRPr="002740AC" w:rsidRDefault="002740AC" w:rsidP="002740AC">
      <w:pPr>
        <w:widowControl w:val="0"/>
        <w:autoSpaceDE w:val="0"/>
        <w:autoSpaceDN w:val="0"/>
        <w:adjustRightInd w:val="0"/>
        <w:ind w:left="640" w:hanging="640"/>
        <w:rPr>
          <w:rFonts w:cs="Times New Roman"/>
          <w:noProof/>
          <w:szCs w:val="24"/>
        </w:rPr>
      </w:pPr>
      <w:r w:rsidRPr="002740AC">
        <w:rPr>
          <w:rFonts w:cs="Times New Roman"/>
          <w:noProof/>
          <w:szCs w:val="24"/>
        </w:rPr>
        <w:t>25.</w:t>
      </w:r>
      <w:r w:rsidRPr="002740AC">
        <w:rPr>
          <w:rFonts w:cs="Times New Roman"/>
          <w:noProof/>
          <w:szCs w:val="24"/>
        </w:rPr>
        <w:tab/>
        <w:t xml:space="preserve">Zhang, C. </w:t>
      </w:r>
      <w:r w:rsidRPr="002740AC">
        <w:rPr>
          <w:rFonts w:cs="Times New Roman"/>
          <w:i/>
          <w:iCs/>
          <w:noProof/>
          <w:szCs w:val="24"/>
        </w:rPr>
        <w:t>et al.</w:t>
      </w:r>
      <w:r w:rsidRPr="002740AC">
        <w:rPr>
          <w:rFonts w:cs="Times New Roman"/>
          <w:noProof/>
          <w:szCs w:val="24"/>
        </w:rPr>
        <w:t xml:space="preserve"> A </w:t>
      </w:r>
      <w:r>
        <w:rPr>
          <w:rFonts w:cs="Times New Roman"/>
          <w:noProof/>
          <w:szCs w:val="24"/>
        </w:rPr>
        <w:t>p</w:t>
      </w:r>
      <w:r w:rsidRPr="002740AC">
        <w:rPr>
          <w:rFonts w:cs="Times New Roman"/>
          <w:noProof/>
          <w:szCs w:val="24"/>
        </w:rPr>
        <w:t xml:space="preserve">orous Tricyclooxacalixarene </w:t>
      </w:r>
      <w:r>
        <w:rPr>
          <w:rFonts w:cs="Times New Roman"/>
          <w:noProof/>
          <w:szCs w:val="24"/>
        </w:rPr>
        <w:t>c</w:t>
      </w:r>
      <w:r w:rsidRPr="002740AC">
        <w:rPr>
          <w:rFonts w:cs="Times New Roman"/>
          <w:noProof/>
          <w:szCs w:val="24"/>
        </w:rPr>
        <w:t xml:space="preserve">age </w:t>
      </w:r>
      <w:r>
        <w:rPr>
          <w:rFonts w:cs="Times New Roman"/>
          <w:noProof/>
          <w:szCs w:val="24"/>
        </w:rPr>
        <w:t>b</w:t>
      </w:r>
      <w:r w:rsidRPr="002740AC">
        <w:rPr>
          <w:rFonts w:cs="Times New Roman"/>
          <w:noProof/>
          <w:szCs w:val="24"/>
        </w:rPr>
        <w:t xml:space="preserve">ased on </w:t>
      </w:r>
      <w:r>
        <w:rPr>
          <w:rFonts w:cs="Times New Roman"/>
          <w:noProof/>
          <w:szCs w:val="24"/>
        </w:rPr>
        <w:t>t</w:t>
      </w:r>
      <w:r w:rsidRPr="002740AC">
        <w:rPr>
          <w:rFonts w:cs="Times New Roman"/>
          <w:noProof/>
          <w:szCs w:val="24"/>
        </w:rPr>
        <w:t xml:space="preserve">etraphenylethylene. </w:t>
      </w:r>
      <w:r w:rsidRPr="002740AC">
        <w:rPr>
          <w:rFonts w:cs="Times New Roman"/>
          <w:i/>
          <w:iCs/>
          <w:noProof/>
          <w:szCs w:val="24"/>
        </w:rPr>
        <w:t>Angew. Chem. Int. Ed.</w:t>
      </w:r>
      <w:r w:rsidRPr="002740AC">
        <w:rPr>
          <w:rFonts w:cs="Times New Roman"/>
          <w:noProof/>
          <w:szCs w:val="24"/>
        </w:rPr>
        <w:t xml:space="preserve"> </w:t>
      </w:r>
      <w:r w:rsidRPr="002740AC">
        <w:rPr>
          <w:rFonts w:cs="Times New Roman"/>
          <w:b/>
          <w:bCs/>
          <w:noProof/>
          <w:szCs w:val="24"/>
        </w:rPr>
        <w:t>54</w:t>
      </w:r>
      <w:r w:rsidRPr="002740AC">
        <w:rPr>
          <w:rFonts w:cs="Times New Roman"/>
          <w:noProof/>
          <w:szCs w:val="24"/>
        </w:rPr>
        <w:t>, 9244–9248 (2015).</w:t>
      </w:r>
    </w:p>
    <w:p w14:paraId="69CF584D" w14:textId="5E14D93A" w:rsidR="002740AC" w:rsidRPr="002740AC" w:rsidRDefault="002740AC" w:rsidP="002740AC">
      <w:pPr>
        <w:widowControl w:val="0"/>
        <w:autoSpaceDE w:val="0"/>
        <w:autoSpaceDN w:val="0"/>
        <w:adjustRightInd w:val="0"/>
        <w:ind w:left="640" w:hanging="640"/>
        <w:rPr>
          <w:rFonts w:cs="Times New Roman"/>
          <w:noProof/>
        </w:rPr>
      </w:pPr>
      <w:r w:rsidRPr="002740AC">
        <w:rPr>
          <w:rFonts w:cs="Times New Roman"/>
          <w:noProof/>
          <w:szCs w:val="24"/>
        </w:rPr>
        <w:t>26.</w:t>
      </w:r>
      <w:r w:rsidRPr="002740AC">
        <w:rPr>
          <w:rFonts w:cs="Times New Roman"/>
          <w:noProof/>
          <w:szCs w:val="24"/>
        </w:rPr>
        <w:tab/>
        <w:t>Kunde, T.</w:t>
      </w:r>
      <w:r>
        <w:rPr>
          <w:rFonts w:cs="Times New Roman"/>
          <w:noProof/>
          <w:szCs w:val="24"/>
        </w:rPr>
        <w:t xml:space="preserve"> </w:t>
      </w:r>
      <w:r w:rsidRPr="002740AC">
        <w:rPr>
          <w:rFonts w:cs="Times New Roman"/>
          <w:i/>
          <w:noProof/>
          <w:szCs w:val="24"/>
        </w:rPr>
        <w:t>et al.</w:t>
      </w:r>
      <w:r w:rsidRPr="002740AC">
        <w:rPr>
          <w:rFonts w:cs="Times New Roman"/>
          <w:noProof/>
          <w:szCs w:val="24"/>
        </w:rPr>
        <w:t xml:space="preserve"> A porous fluorinated organic [4+4] imine cage showing CO</w:t>
      </w:r>
      <w:r w:rsidRPr="002740AC">
        <w:rPr>
          <w:rFonts w:cs="Times New Roman"/>
          <w:noProof/>
          <w:szCs w:val="24"/>
          <w:vertAlign w:val="subscript"/>
        </w:rPr>
        <w:t>2</w:t>
      </w:r>
      <w:r w:rsidRPr="002740AC">
        <w:rPr>
          <w:rFonts w:cs="Times New Roman"/>
          <w:noProof/>
          <w:szCs w:val="24"/>
        </w:rPr>
        <w:t xml:space="preserve"> and H</w:t>
      </w:r>
      <w:r w:rsidRPr="002740AC">
        <w:rPr>
          <w:rFonts w:cs="Times New Roman"/>
          <w:noProof/>
          <w:szCs w:val="24"/>
          <w:vertAlign w:val="subscript"/>
        </w:rPr>
        <w:t>2</w:t>
      </w:r>
      <w:r w:rsidRPr="002740AC">
        <w:rPr>
          <w:rFonts w:cs="Times New Roman"/>
          <w:noProof/>
          <w:szCs w:val="24"/>
        </w:rPr>
        <w:t xml:space="preserve"> adsorption. </w:t>
      </w:r>
      <w:r w:rsidRPr="002740AC">
        <w:rPr>
          <w:rFonts w:cs="Times New Roman"/>
          <w:i/>
          <w:iCs/>
          <w:noProof/>
          <w:szCs w:val="24"/>
        </w:rPr>
        <w:t>Chem. Commun.</w:t>
      </w:r>
      <w:r w:rsidRPr="002740AC">
        <w:rPr>
          <w:rFonts w:cs="Times New Roman"/>
          <w:noProof/>
          <w:szCs w:val="24"/>
        </w:rPr>
        <w:t xml:space="preserve"> </w:t>
      </w:r>
      <w:r w:rsidRPr="002740AC">
        <w:rPr>
          <w:rFonts w:cs="Times New Roman"/>
          <w:b/>
          <w:bCs/>
          <w:noProof/>
          <w:szCs w:val="24"/>
        </w:rPr>
        <w:t>56</w:t>
      </w:r>
      <w:r w:rsidRPr="002740AC">
        <w:rPr>
          <w:rFonts w:cs="Times New Roman"/>
          <w:noProof/>
          <w:szCs w:val="24"/>
        </w:rPr>
        <w:t>, 4761–4764 (2020).</w:t>
      </w:r>
    </w:p>
    <w:p w14:paraId="0F4FAD56" w14:textId="3C822320" w:rsidR="00195BEF" w:rsidRPr="00195BEF" w:rsidRDefault="00A34623" w:rsidP="000022CD">
      <w:pPr>
        <w:autoSpaceDE w:val="0"/>
        <w:autoSpaceDN w:val="0"/>
        <w:adjustRightInd w:val="0"/>
        <w:rPr>
          <w:lang w:eastAsia="en-US"/>
        </w:rPr>
      </w:pPr>
      <w:r w:rsidRPr="00EA1221">
        <w:rPr>
          <w:rFonts w:cs="Times New Roman"/>
          <w:lang w:eastAsia="en-US"/>
        </w:rPr>
        <w:fldChar w:fldCharType="end"/>
      </w:r>
    </w:p>
    <w:p w14:paraId="14A0A027" w14:textId="77777777" w:rsidR="00131ED5" w:rsidRDefault="00131ED5"/>
    <w:sectPr w:rsidR="00131ED5" w:rsidSect="00BE5219">
      <w:footerReference w:type="default" r:id="rId31"/>
      <w:pgSz w:w="11906" w:h="16838"/>
      <w:pgMar w:top="1440" w:right="180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DD2261" w14:textId="77777777" w:rsidR="00416109" w:rsidRDefault="00416109" w:rsidP="00D1548C">
      <w:pPr>
        <w:spacing w:line="240" w:lineRule="auto"/>
      </w:pPr>
      <w:r>
        <w:separator/>
      </w:r>
    </w:p>
  </w:endnote>
  <w:endnote w:type="continuationSeparator" w:id="0">
    <w:p w14:paraId="7BE9667C" w14:textId="77777777" w:rsidR="00416109" w:rsidRDefault="00416109" w:rsidP="00D154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dvOT51c1769e">
    <w:altName w:val="Cambria"/>
    <w:panose1 w:val="00000000000000000000"/>
    <w:charset w:val="00"/>
    <w:family w:val="roman"/>
    <w:notTrueType/>
    <w:pitch w:val="default"/>
  </w:font>
  <w:font w:name="AdvOT2e364b11">
    <w:altName w:val="Cambria"/>
    <w:charset w:val="00"/>
    <w:family w:val="roman"/>
    <w:pitch w:val="default"/>
  </w:font>
  <w:font w:name="Times">
    <w:altName w:val="Times New Roman"/>
    <w:panose1 w:val="02020603050405020304"/>
    <w:charset w:val="00"/>
    <w:family w:val="roman"/>
    <w:pitch w:val="variable"/>
    <w:sig w:usb0="E0002EFF" w:usb1="C000785B" w:usb2="00000009" w:usb3="00000000" w:csb0="000001FF" w:csb1="00000000"/>
  </w:font>
  <w:font w:name="Arno Pro">
    <w:altName w:val="Cambria"/>
    <w:charset w:val="00"/>
    <w:family w:val="roman"/>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yriad Pro Light">
    <w:altName w:val="Corbel"/>
    <w:charset w:val="00"/>
    <w:family w:val="swiss"/>
    <w:pitch w:val="variable"/>
    <w:sig w:usb0="A00002AF" w:usb1="5000204B" w:usb2="00000000" w:usb3="00000000" w:csb0="0000019F" w:csb1="00000000"/>
  </w:font>
  <w:font w:name="TimesNewRomanPS-ItalicMT">
    <w:altName w:val="Times New Roman"/>
    <w:panose1 w:val="00000000000000000000"/>
    <w:charset w:val="00"/>
    <w:family w:val="roman"/>
    <w:notTrueType/>
    <w:pitch w:val="default"/>
  </w:font>
  <w:font w:name="Microsoft YaHei U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7597206"/>
      <w:docPartObj>
        <w:docPartGallery w:val="Page Numbers (Bottom of Page)"/>
        <w:docPartUnique/>
      </w:docPartObj>
    </w:sdtPr>
    <w:sdtEndPr>
      <w:rPr>
        <w:noProof/>
      </w:rPr>
    </w:sdtEndPr>
    <w:sdtContent>
      <w:p w14:paraId="7FF6B86B" w14:textId="5E9C42B5" w:rsidR="00911D80" w:rsidRDefault="00911D80">
        <w:pPr>
          <w:pStyle w:val="Footer"/>
          <w:jc w:val="center"/>
        </w:pPr>
        <w:r>
          <w:t>S</w:t>
        </w:r>
        <w:r>
          <w:fldChar w:fldCharType="begin"/>
        </w:r>
        <w:r>
          <w:instrText xml:space="preserve"> PAGE   \* MERGEFORMAT </w:instrText>
        </w:r>
        <w:r>
          <w:fldChar w:fldCharType="separate"/>
        </w:r>
        <w:r w:rsidR="00DC6E97">
          <w:rPr>
            <w:noProof/>
          </w:rPr>
          <w:t>68</w:t>
        </w:r>
        <w:r>
          <w:rPr>
            <w:noProof/>
          </w:rPr>
          <w:fldChar w:fldCharType="end"/>
        </w:r>
      </w:p>
    </w:sdtContent>
  </w:sdt>
  <w:p w14:paraId="1F20EE55" w14:textId="77777777" w:rsidR="00911D80" w:rsidRDefault="00911D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5C5AE9" w14:textId="77777777" w:rsidR="00416109" w:rsidRDefault="00416109" w:rsidP="00D1548C">
      <w:pPr>
        <w:spacing w:line="240" w:lineRule="auto"/>
      </w:pPr>
      <w:r>
        <w:separator/>
      </w:r>
    </w:p>
  </w:footnote>
  <w:footnote w:type="continuationSeparator" w:id="0">
    <w:p w14:paraId="136BB7D8" w14:textId="77777777" w:rsidR="00416109" w:rsidRDefault="00416109" w:rsidP="00D1548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770DCE"/>
    <w:multiLevelType w:val="hybridMultilevel"/>
    <w:tmpl w:val="CA420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2"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5"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6"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5"/>
  </w:num>
  <w:num w:numId="2">
    <w:abstractNumId w:val="3"/>
  </w:num>
  <w:num w:numId="3">
    <w:abstractNumId w:val="6"/>
  </w:num>
  <w:num w:numId="4">
    <w:abstractNumId w:val="4"/>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I1NTC2NDM3tTQxMrJQ0lEKTi0uzszPAykwN6sFAIqsglstAAAA"/>
  </w:docVars>
  <w:rsids>
    <w:rsidRoot w:val="00F35A47"/>
    <w:rsid w:val="000022CD"/>
    <w:rsid w:val="000039CC"/>
    <w:rsid w:val="000224C7"/>
    <w:rsid w:val="00023A63"/>
    <w:rsid w:val="00026339"/>
    <w:rsid w:val="00026495"/>
    <w:rsid w:val="00030A61"/>
    <w:rsid w:val="00032700"/>
    <w:rsid w:val="00033647"/>
    <w:rsid w:val="00036629"/>
    <w:rsid w:val="000375C9"/>
    <w:rsid w:val="00040514"/>
    <w:rsid w:val="0004129B"/>
    <w:rsid w:val="00044959"/>
    <w:rsid w:val="00044F13"/>
    <w:rsid w:val="00046D07"/>
    <w:rsid w:val="0005020B"/>
    <w:rsid w:val="00050F00"/>
    <w:rsid w:val="00051605"/>
    <w:rsid w:val="00054B89"/>
    <w:rsid w:val="000639DE"/>
    <w:rsid w:val="00077DAF"/>
    <w:rsid w:val="00080393"/>
    <w:rsid w:val="00085017"/>
    <w:rsid w:val="0009340B"/>
    <w:rsid w:val="00095EA7"/>
    <w:rsid w:val="000A1DA8"/>
    <w:rsid w:val="000A2210"/>
    <w:rsid w:val="000B2C3A"/>
    <w:rsid w:val="000B7076"/>
    <w:rsid w:val="000C10C9"/>
    <w:rsid w:val="000C3B8F"/>
    <w:rsid w:val="000C44AC"/>
    <w:rsid w:val="000C6C98"/>
    <w:rsid w:val="000D08E8"/>
    <w:rsid w:val="000D55CE"/>
    <w:rsid w:val="000E475C"/>
    <w:rsid w:val="000E7559"/>
    <w:rsid w:val="000F0CDF"/>
    <w:rsid w:val="000F3BA0"/>
    <w:rsid w:val="000F60B0"/>
    <w:rsid w:val="00112B73"/>
    <w:rsid w:val="0011566E"/>
    <w:rsid w:val="001157D9"/>
    <w:rsid w:val="00126A33"/>
    <w:rsid w:val="00130857"/>
    <w:rsid w:val="00131D23"/>
    <w:rsid w:val="00131ED5"/>
    <w:rsid w:val="0013599D"/>
    <w:rsid w:val="00154B4A"/>
    <w:rsid w:val="001554FB"/>
    <w:rsid w:val="00157D5A"/>
    <w:rsid w:val="001619AA"/>
    <w:rsid w:val="0016608F"/>
    <w:rsid w:val="0016792D"/>
    <w:rsid w:val="0017407E"/>
    <w:rsid w:val="00174551"/>
    <w:rsid w:val="001865A9"/>
    <w:rsid w:val="0018736D"/>
    <w:rsid w:val="00191511"/>
    <w:rsid w:val="00192345"/>
    <w:rsid w:val="00194967"/>
    <w:rsid w:val="00195BEF"/>
    <w:rsid w:val="00197516"/>
    <w:rsid w:val="001A33EE"/>
    <w:rsid w:val="001A49DA"/>
    <w:rsid w:val="001B0E93"/>
    <w:rsid w:val="001B4B2E"/>
    <w:rsid w:val="001B5612"/>
    <w:rsid w:val="001C27A4"/>
    <w:rsid w:val="001C3A51"/>
    <w:rsid w:val="001D0948"/>
    <w:rsid w:val="001D0C5D"/>
    <w:rsid w:val="001E07E9"/>
    <w:rsid w:val="001E123D"/>
    <w:rsid w:val="001E47F5"/>
    <w:rsid w:val="001F3FFA"/>
    <w:rsid w:val="001F6BF2"/>
    <w:rsid w:val="002139B4"/>
    <w:rsid w:val="002231DD"/>
    <w:rsid w:val="00226C4F"/>
    <w:rsid w:val="002336C2"/>
    <w:rsid w:val="00233FA2"/>
    <w:rsid w:val="002359CA"/>
    <w:rsid w:val="00237110"/>
    <w:rsid w:val="00242221"/>
    <w:rsid w:val="00242ABF"/>
    <w:rsid w:val="00243855"/>
    <w:rsid w:val="00255E66"/>
    <w:rsid w:val="00271E1F"/>
    <w:rsid w:val="00271F5E"/>
    <w:rsid w:val="002740AC"/>
    <w:rsid w:val="00274C59"/>
    <w:rsid w:val="002846E8"/>
    <w:rsid w:val="00284D43"/>
    <w:rsid w:val="0029446A"/>
    <w:rsid w:val="00297433"/>
    <w:rsid w:val="002A0949"/>
    <w:rsid w:val="002A2AD5"/>
    <w:rsid w:val="002A2C88"/>
    <w:rsid w:val="002A3F41"/>
    <w:rsid w:val="002A621C"/>
    <w:rsid w:val="002A7ED0"/>
    <w:rsid w:val="002B31E2"/>
    <w:rsid w:val="002B3CB7"/>
    <w:rsid w:val="002C19C1"/>
    <w:rsid w:val="002C506D"/>
    <w:rsid w:val="002C6198"/>
    <w:rsid w:val="002C6D85"/>
    <w:rsid w:val="002D027C"/>
    <w:rsid w:val="002D0A25"/>
    <w:rsid w:val="002D1DD6"/>
    <w:rsid w:val="002D2BC2"/>
    <w:rsid w:val="002D3C78"/>
    <w:rsid w:val="002D69D9"/>
    <w:rsid w:val="002E75CB"/>
    <w:rsid w:val="002F160A"/>
    <w:rsid w:val="002F313D"/>
    <w:rsid w:val="002F324A"/>
    <w:rsid w:val="002F5885"/>
    <w:rsid w:val="002F7FF4"/>
    <w:rsid w:val="00300A09"/>
    <w:rsid w:val="003110C5"/>
    <w:rsid w:val="00313011"/>
    <w:rsid w:val="0031374E"/>
    <w:rsid w:val="00315114"/>
    <w:rsid w:val="003221A0"/>
    <w:rsid w:val="0032719E"/>
    <w:rsid w:val="00335F70"/>
    <w:rsid w:val="00344B40"/>
    <w:rsid w:val="00364B71"/>
    <w:rsid w:val="00372524"/>
    <w:rsid w:val="00384425"/>
    <w:rsid w:val="0038761C"/>
    <w:rsid w:val="003921C1"/>
    <w:rsid w:val="00392D49"/>
    <w:rsid w:val="003A05B9"/>
    <w:rsid w:val="003B0C69"/>
    <w:rsid w:val="003B2C97"/>
    <w:rsid w:val="003B42B7"/>
    <w:rsid w:val="003B63F9"/>
    <w:rsid w:val="003B66EC"/>
    <w:rsid w:val="003C3766"/>
    <w:rsid w:val="003C4392"/>
    <w:rsid w:val="003C49CC"/>
    <w:rsid w:val="003D72A5"/>
    <w:rsid w:val="003E5A20"/>
    <w:rsid w:val="003F153D"/>
    <w:rsid w:val="003F164B"/>
    <w:rsid w:val="003F1E16"/>
    <w:rsid w:val="003F276E"/>
    <w:rsid w:val="004011D4"/>
    <w:rsid w:val="00416109"/>
    <w:rsid w:val="00417BCA"/>
    <w:rsid w:val="00417DF7"/>
    <w:rsid w:val="00420D93"/>
    <w:rsid w:val="00435254"/>
    <w:rsid w:val="00437370"/>
    <w:rsid w:val="004423D6"/>
    <w:rsid w:val="004428E0"/>
    <w:rsid w:val="00442DE9"/>
    <w:rsid w:val="00445D60"/>
    <w:rsid w:val="00446D57"/>
    <w:rsid w:val="004571F7"/>
    <w:rsid w:val="00457EB7"/>
    <w:rsid w:val="00462856"/>
    <w:rsid w:val="00475836"/>
    <w:rsid w:val="004759DF"/>
    <w:rsid w:val="00475BCD"/>
    <w:rsid w:val="0048092F"/>
    <w:rsid w:val="0048383A"/>
    <w:rsid w:val="00490BBB"/>
    <w:rsid w:val="00492051"/>
    <w:rsid w:val="0049327F"/>
    <w:rsid w:val="00497FC8"/>
    <w:rsid w:val="004A056E"/>
    <w:rsid w:val="004A6A14"/>
    <w:rsid w:val="004A6F94"/>
    <w:rsid w:val="004A7BE3"/>
    <w:rsid w:val="004B0861"/>
    <w:rsid w:val="004B3E39"/>
    <w:rsid w:val="004B7924"/>
    <w:rsid w:val="004C4117"/>
    <w:rsid w:val="004D1FAD"/>
    <w:rsid w:val="004D36A0"/>
    <w:rsid w:val="004E3FCC"/>
    <w:rsid w:val="0050720C"/>
    <w:rsid w:val="00507BE5"/>
    <w:rsid w:val="00511230"/>
    <w:rsid w:val="005124E4"/>
    <w:rsid w:val="00521DE7"/>
    <w:rsid w:val="00526C8B"/>
    <w:rsid w:val="0052794A"/>
    <w:rsid w:val="0054012F"/>
    <w:rsid w:val="005454E4"/>
    <w:rsid w:val="005467F6"/>
    <w:rsid w:val="00550C3E"/>
    <w:rsid w:val="00550F64"/>
    <w:rsid w:val="00557A6A"/>
    <w:rsid w:val="00560459"/>
    <w:rsid w:val="0056269D"/>
    <w:rsid w:val="00562FB2"/>
    <w:rsid w:val="0056476C"/>
    <w:rsid w:val="00567F50"/>
    <w:rsid w:val="0057394F"/>
    <w:rsid w:val="00577AD5"/>
    <w:rsid w:val="0058520C"/>
    <w:rsid w:val="00591AB0"/>
    <w:rsid w:val="005956B5"/>
    <w:rsid w:val="005965FE"/>
    <w:rsid w:val="0059689A"/>
    <w:rsid w:val="005A1377"/>
    <w:rsid w:val="005A1902"/>
    <w:rsid w:val="005A7E2B"/>
    <w:rsid w:val="005A7EAC"/>
    <w:rsid w:val="005B0386"/>
    <w:rsid w:val="005B3D43"/>
    <w:rsid w:val="005B60E3"/>
    <w:rsid w:val="005C1BC8"/>
    <w:rsid w:val="005C388E"/>
    <w:rsid w:val="005C6289"/>
    <w:rsid w:val="005C64DE"/>
    <w:rsid w:val="005D35CF"/>
    <w:rsid w:val="005D7B3F"/>
    <w:rsid w:val="005E327F"/>
    <w:rsid w:val="005F0701"/>
    <w:rsid w:val="005F1E53"/>
    <w:rsid w:val="00600DA0"/>
    <w:rsid w:val="00601164"/>
    <w:rsid w:val="00601B20"/>
    <w:rsid w:val="0060202A"/>
    <w:rsid w:val="006040B6"/>
    <w:rsid w:val="0060476F"/>
    <w:rsid w:val="00605600"/>
    <w:rsid w:val="00606151"/>
    <w:rsid w:val="00611E0D"/>
    <w:rsid w:val="0061242C"/>
    <w:rsid w:val="00617822"/>
    <w:rsid w:val="006228B4"/>
    <w:rsid w:val="00622FD2"/>
    <w:rsid w:val="00624E55"/>
    <w:rsid w:val="00630D5E"/>
    <w:rsid w:val="00631A1B"/>
    <w:rsid w:val="00642601"/>
    <w:rsid w:val="00642AA9"/>
    <w:rsid w:val="00644FD0"/>
    <w:rsid w:val="00650F83"/>
    <w:rsid w:val="00652B62"/>
    <w:rsid w:val="00654E20"/>
    <w:rsid w:val="0066130B"/>
    <w:rsid w:val="00661A79"/>
    <w:rsid w:val="00661B40"/>
    <w:rsid w:val="006628F1"/>
    <w:rsid w:val="00662DC0"/>
    <w:rsid w:val="006667C4"/>
    <w:rsid w:val="00672A16"/>
    <w:rsid w:val="00673FD0"/>
    <w:rsid w:val="00676F8D"/>
    <w:rsid w:val="006858EE"/>
    <w:rsid w:val="006862E1"/>
    <w:rsid w:val="00686D4C"/>
    <w:rsid w:val="00691F14"/>
    <w:rsid w:val="00697909"/>
    <w:rsid w:val="006A79D6"/>
    <w:rsid w:val="006B102E"/>
    <w:rsid w:val="006B48EB"/>
    <w:rsid w:val="006B5DAC"/>
    <w:rsid w:val="006B7E91"/>
    <w:rsid w:val="006C09FF"/>
    <w:rsid w:val="006C1855"/>
    <w:rsid w:val="006C244B"/>
    <w:rsid w:val="006C2690"/>
    <w:rsid w:val="006C4D8E"/>
    <w:rsid w:val="006D5373"/>
    <w:rsid w:val="006D68FE"/>
    <w:rsid w:val="006E4916"/>
    <w:rsid w:val="006E6DA6"/>
    <w:rsid w:val="006F3FDE"/>
    <w:rsid w:val="00707018"/>
    <w:rsid w:val="00712D03"/>
    <w:rsid w:val="007146D7"/>
    <w:rsid w:val="00716FB3"/>
    <w:rsid w:val="007210EE"/>
    <w:rsid w:val="00723107"/>
    <w:rsid w:val="007300C9"/>
    <w:rsid w:val="00731D92"/>
    <w:rsid w:val="007321E6"/>
    <w:rsid w:val="0073288A"/>
    <w:rsid w:val="00732926"/>
    <w:rsid w:val="00737FCA"/>
    <w:rsid w:val="00740790"/>
    <w:rsid w:val="00745B96"/>
    <w:rsid w:val="007623FC"/>
    <w:rsid w:val="007752B8"/>
    <w:rsid w:val="00790994"/>
    <w:rsid w:val="007944FF"/>
    <w:rsid w:val="00794551"/>
    <w:rsid w:val="0079675A"/>
    <w:rsid w:val="007A03BD"/>
    <w:rsid w:val="007A3042"/>
    <w:rsid w:val="007A3CBE"/>
    <w:rsid w:val="007A7A42"/>
    <w:rsid w:val="007B0A0B"/>
    <w:rsid w:val="007B6E87"/>
    <w:rsid w:val="007B7875"/>
    <w:rsid w:val="007C0FF9"/>
    <w:rsid w:val="007C4994"/>
    <w:rsid w:val="007C54FF"/>
    <w:rsid w:val="007C5CF6"/>
    <w:rsid w:val="007C61C4"/>
    <w:rsid w:val="007C6E2A"/>
    <w:rsid w:val="007D1F48"/>
    <w:rsid w:val="007D222D"/>
    <w:rsid w:val="007E54C7"/>
    <w:rsid w:val="007E6A1F"/>
    <w:rsid w:val="007F03A1"/>
    <w:rsid w:val="007F0AB9"/>
    <w:rsid w:val="007F2E05"/>
    <w:rsid w:val="00800555"/>
    <w:rsid w:val="008011B7"/>
    <w:rsid w:val="00804771"/>
    <w:rsid w:val="008109B0"/>
    <w:rsid w:val="0081155C"/>
    <w:rsid w:val="00814668"/>
    <w:rsid w:val="00825339"/>
    <w:rsid w:val="00831C3D"/>
    <w:rsid w:val="00833A05"/>
    <w:rsid w:val="00834D9D"/>
    <w:rsid w:val="00837512"/>
    <w:rsid w:val="00843865"/>
    <w:rsid w:val="0084478E"/>
    <w:rsid w:val="008474C9"/>
    <w:rsid w:val="00853188"/>
    <w:rsid w:val="00863564"/>
    <w:rsid w:val="00863818"/>
    <w:rsid w:val="0086419F"/>
    <w:rsid w:val="00866633"/>
    <w:rsid w:val="00870235"/>
    <w:rsid w:val="00870A09"/>
    <w:rsid w:val="008765F8"/>
    <w:rsid w:val="00877FB9"/>
    <w:rsid w:val="00882691"/>
    <w:rsid w:val="008830FA"/>
    <w:rsid w:val="0088769C"/>
    <w:rsid w:val="00896380"/>
    <w:rsid w:val="008A228B"/>
    <w:rsid w:val="008B4EEF"/>
    <w:rsid w:val="008B5EC4"/>
    <w:rsid w:val="008C2F31"/>
    <w:rsid w:val="008C7170"/>
    <w:rsid w:val="008D0047"/>
    <w:rsid w:val="008D287A"/>
    <w:rsid w:val="008F0F40"/>
    <w:rsid w:val="008F2580"/>
    <w:rsid w:val="008F4D5C"/>
    <w:rsid w:val="009052C7"/>
    <w:rsid w:val="00906D92"/>
    <w:rsid w:val="00911D80"/>
    <w:rsid w:val="00917913"/>
    <w:rsid w:val="009330E4"/>
    <w:rsid w:val="0093475B"/>
    <w:rsid w:val="00937786"/>
    <w:rsid w:val="0094019C"/>
    <w:rsid w:val="009403CC"/>
    <w:rsid w:val="00940D79"/>
    <w:rsid w:val="009414CC"/>
    <w:rsid w:val="00944CCD"/>
    <w:rsid w:val="009452C3"/>
    <w:rsid w:val="00951387"/>
    <w:rsid w:val="009543F4"/>
    <w:rsid w:val="00963CD1"/>
    <w:rsid w:val="009640D3"/>
    <w:rsid w:val="00967ACF"/>
    <w:rsid w:val="00967C18"/>
    <w:rsid w:val="00977A1E"/>
    <w:rsid w:val="009801FA"/>
    <w:rsid w:val="009A371D"/>
    <w:rsid w:val="009A419E"/>
    <w:rsid w:val="009A455C"/>
    <w:rsid w:val="009A557D"/>
    <w:rsid w:val="009B11D0"/>
    <w:rsid w:val="009B2DBE"/>
    <w:rsid w:val="009C1E58"/>
    <w:rsid w:val="009C302A"/>
    <w:rsid w:val="009C747F"/>
    <w:rsid w:val="009D3AC8"/>
    <w:rsid w:val="009D417A"/>
    <w:rsid w:val="009D4DB4"/>
    <w:rsid w:val="009E2C46"/>
    <w:rsid w:val="009E543B"/>
    <w:rsid w:val="009E6A50"/>
    <w:rsid w:val="009F041E"/>
    <w:rsid w:val="009F17CA"/>
    <w:rsid w:val="00A07EF7"/>
    <w:rsid w:val="00A12786"/>
    <w:rsid w:val="00A13AA6"/>
    <w:rsid w:val="00A1457D"/>
    <w:rsid w:val="00A156CE"/>
    <w:rsid w:val="00A24428"/>
    <w:rsid w:val="00A24C1B"/>
    <w:rsid w:val="00A25F27"/>
    <w:rsid w:val="00A31FF6"/>
    <w:rsid w:val="00A343E3"/>
    <w:rsid w:val="00A34623"/>
    <w:rsid w:val="00A3534A"/>
    <w:rsid w:val="00A35364"/>
    <w:rsid w:val="00A378FA"/>
    <w:rsid w:val="00A4058A"/>
    <w:rsid w:val="00A4305A"/>
    <w:rsid w:val="00A46684"/>
    <w:rsid w:val="00A50A8A"/>
    <w:rsid w:val="00A83430"/>
    <w:rsid w:val="00A85C8F"/>
    <w:rsid w:val="00A90A67"/>
    <w:rsid w:val="00A9266F"/>
    <w:rsid w:val="00A95D02"/>
    <w:rsid w:val="00AA5AF0"/>
    <w:rsid w:val="00AB4E3A"/>
    <w:rsid w:val="00AB6258"/>
    <w:rsid w:val="00AB6756"/>
    <w:rsid w:val="00AB7071"/>
    <w:rsid w:val="00AC3B04"/>
    <w:rsid w:val="00AC48F8"/>
    <w:rsid w:val="00AC534F"/>
    <w:rsid w:val="00AC6DB5"/>
    <w:rsid w:val="00AD23EB"/>
    <w:rsid w:val="00AD2718"/>
    <w:rsid w:val="00AD67BA"/>
    <w:rsid w:val="00AE573A"/>
    <w:rsid w:val="00AF057F"/>
    <w:rsid w:val="00AF1E03"/>
    <w:rsid w:val="00AF3BB0"/>
    <w:rsid w:val="00B0010C"/>
    <w:rsid w:val="00B00DDE"/>
    <w:rsid w:val="00B0674F"/>
    <w:rsid w:val="00B12051"/>
    <w:rsid w:val="00B17CB7"/>
    <w:rsid w:val="00B25E87"/>
    <w:rsid w:val="00B3127A"/>
    <w:rsid w:val="00B360B1"/>
    <w:rsid w:val="00B44201"/>
    <w:rsid w:val="00B44F6C"/>
    <w:rsid w:val="00B45B45"/>
    <w:rsid w:val="00B5574F"/>
    <w:rsid w:val="00B56839"/>
    <w:rsid w:val="00B62BFC"/>
    <w:rsid w:val="00B70F64"/>
    <w:rsid w:val="00B779D1"/>
    <w:rsid w:val="00B81CA5"/>
    <w:rsid w:val="00B86EA1"/>
    <w:rsid w:val="00B927C7"/>
    <w:rsid w:val="00B92F51"/>
    <w:rsid w:val="00B940C3"/>
    <w:rsid w:val="00BA0A3B"/>
    <w:rsid w:val="00BA69EC"/>
    <w:rsid w:val="00BA734B"/>
    <w:rsid w:val="00BC048A"/>
    <w:rsid w:val="00BC3D21"/>
    <w:rsid w:val="00BC625B"/>
    <w:rsid w:val="00BD2881"/>
    <w:rsid w:val="00BD4E6F"/>
    <w:rsid w:val="00BE4DE0"/>
    <w:rsid w:val="00BE5219"/>
    <w:rsid w:val="00BF0991"/>
    <w:rsid w:val="00BF2743"/>
    <w:rsid w:val="00C030BE"/>
    <w:rsid w:val="00C12118"/>
    <w:rsid w:val="00C16C0F"/>
    <w:rsid w:val="00C24021"/>
    <w:rsid w:val="00C252A6"/>
    <w:rsid w:val="00C25E56"/>
    <w:rsid w:val="00C40390"/>
    <w:rsid w:val="00C45FC5"/>
    <w:rsid w:val="00C559D3"/>
    <w:rsid w:val="00C608BA"/>
    <w:rsid w:val="00C8149D"/>
    <w:rsid w:val="00C90310"/>
    <w:rsid w:val="00C90738"/>
    <w:rsid w:val="00C93D0B"/>
    <w:rsid w:val="00CA2BDA"/>
    <w:rsid w:val="00CA5A06"/>
    <w:rsid w:val="00CB59E7"/>
    <w:rsid w:val="00CC1CCC"/>
    <w:rsid w:val="00CC7A0E"/>
    <w:rsid w:val="00CD6064"/>
    <w:rsid w:val="00CD6588"/>
    <w:rsid w:val="00CD6C8B"/>
    <w:rsid w:val="00CD73B7"/>
    <w:rsid w:val="00CE3ECE"/>
    <w:rsid w:val="00CE6587"/>
    <w:rsid w:val="00CF6546"/>
    <w:rsid w:val="00CF6E63"/>
    <w:rsid w:val="00D000E0"/>
    <w:rsid w:val="00D12029"/>
    <w:rsid w:val="00D1548C"/>
    <w:rsid w:val="00D20969"/>
    <w:rsid w:val="00D31EB4"/>
    <w:rsid w:val="00D31F0C"/>
    <w:rsid w:val="00D3399A"/>
    <w:rsid w:val="00D36C94"/>
    <w:rsid w:val="00D37C1A"/>
    <w:rsid w:val="00D45E29"/>
    <w:rsid w:val="00D503C2"/>
    <w:rsid w:val="00D53A7C"/>
    <w:rsid w:val="00D53B2B"/>
    <w:rsid w:val="00D56D9A"/>
    <w:rsid w:val="00D5727E"/>
    <w:rsid w:val="00D61733"/>
    <w:rsid w:val="00D71072"/>
    <w:rsid w:val="00D84820"/>
    <w:rsid w:val="00D90EE1"/>
    <w:rsid w:val="00D97B4B"/>
    <w:rsid w:val="00DA1859"/>
    <w:rsid w:val="00DA54E3"/>
    <w:rsid w:val="00DA6709"/>
    <w:rsid w:val="00DB2CD6"/>
    <w:rsid w:val="00DC4E3A"/>
    <w:rsid w:val="00DC4F9C"/>
    <w:rsid w:val="00DC6E97"/>
    <w:rsid w:val="00DC759C"/>
    <w:rsid w:val="00DC7F8C"/>
    <w:rsid w:val="00DD0821"/>
    <w:rsid w:val="00DD30DB"/>
    <w:rsid w:val="00DD4187"/>
    <w:rsid w:val="00DE2934"/>
    <w:rsid w:val="00DE626F"/>
    <w:rsid w:val="00DE6CD6"/>
    <w:rsid w:val="00E02CA1"/>
    <w:rsid w:val="00E0400D"/>
    <w:rsid w:val="00E043ED"/>
    <w:rsid w:val="00E06A97"/>
    <w:rsid w:val="00E07155"/>
    <w:rsid w:val="00E1108B"/>
    <w:rsid w:val="00E22222"/>
    <w:rsid w:val="00E26AB9"/>
    <w:rsid w:val="00E304D5"/>
    <w:rsid w:val="00E31406"/>
    <w:rsid w:val="00E314E3"/>
    <w:rsid w:val="00E33369"/>
    <w:rsid w:val="00E354E5"/>
    <w:rsid w:val="00E35552"/>
    <w:rsid w:val="00E434FA"/>
    <w:rsid w:val="00E5528F"/>
    <w:rsid w:val="00E61500"/>
    <w:rsid w:val="00E86AE7"/>
    <w:rsid w:val="00E87722"/>
    <w:rsid w:val="00E90653"/>
    <w:rsid w:val="00E92909"/>
    <w:rsid w:val="00E96979"/>
    <w:rsid w:val="00E96DE1"/>
    <w:rsid w:val="00EA1221"/>
    <w:rsid w:val="00EA46D9"/>
    <w:rsid w:val="00EB4E34"/>
    <w:rsid w:val="00EC0B05"/>
    <w:rsid w:val="00EC4528"/>
    <w:rsid w:val="00ED1AC3"/>
    <w:rsid w:val="00ED2A51"/>
    <w:rsid w:val="00ED2BB9"/>
    <w:rsid w:val="00ED5F29"/>
    <w:rsid w:val="00EE15CE"/>
    <w:rsid w:val="00EE1880"/>
    <w:rsid w:val="00EF42A8"/>
    <w:rsid w:val="00EF6BCD"/>
    <w:rsid w:val="00F11939"/>
    <w:rsid w:val="00F11AA2"/>
    <w:rsid w:val="00F11E30"/>
    <w:rsid w:val="00F12180"/>
    <w:rsid w:val="00F16B36"/>
    <w:rsid w:val="00F20111"/>
    <w:rsid w:val="00F20F7F"/>
    <w:rsid w:val="00F24AF8"/>
    <w:rsid w:val="00F35A47"/>
    <w:rsid w:val="00F61690"/>
    <w:rsid w:val="00F65A99"/>
    <w:rsid w:val="00F75548"/>
    <w:rsid w:val="00F776BE"/>
    <w:rsid w:val="00F91FED"/>
    <w:rsid w:val="00FA0118"/>
    <w:rsid w:val="00FA10C6"/>
    <w:rsid w:val="00FA5831"/>
    <w:rsid w:val="00FA6C71"/>
    <w:rsid w:val="00FB0AFA"/>
    <w:rsid w:val="00FB1A3D"/>
    <w:rsid w:val="00FB2EC5"/>
    <w:rsid w:val="00FC1F6B"/>
    <w:rsid w:val="00FC3A61"/>
    <w:rsid w:val="00FD2610"/>
    <w:rsid w:val="00FE23EF"/>
    <w:rsid w:val="00FE2E9B"/>
    <w:rsid w:val="00FE36C3"/>
    <w:rsid w:val="00FF12DC"/>
    <w:rsid w:val="00FF23D3"/>
    <w:rsid w:val="00FF3B1C"/>
    <w:rsid w:val="00FF3D9A"/>
    <w:rsid w:val="00FF58D2"/>
    <w:rsid w:val="6EC064C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F67E70"/>
  <w15:chartTrackingRefBased/>
  <w15:docId w15:val="{E3B35DD2-4A66-4568-A66C-6AB56B73E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Thesis"/>
    <w:qFormat/>
    <w:rsid w:val="000D55CE"/>
    <w:pPr>
      <w:spacing w:after="0" w:line="360" w:lineRule="auto"/>
      <w:jc w:val="both"/>
    </w:pPr>
    <w:rPr>
      <w:rFonts w:ascii="Times New Roman" w:eastAsia="Times New Roman" w:hAnsi="Times New Roman"/>
      <w:sz w:val="24"/>
    </w:rPr>
  </w:style>
  <w:style w:type="paragraph" w:styleId="Heading1">
    <w:name w:val="heading 1"/>
    <w:aliases w:val="Head-1"/>
    <w:basedOn w:val="Normal"/>
    <w:next w:val="Normal"/>
    <w:link w:val="Heading1Char"/>
    <w:qFormat/>
    <w:rsid w:val="00A34623"/>
    <w:pPr>
      <w:keepNext/>
      <w:keepLines/>
      <w:spacing w:before="340" w:after="330" w:line="578" w:lineRule="auto"/>
      <w:outlineLvl w:val="0"/>
    </w:pPr>
    <w:rPr>
      <w:b/>
      <w:bCs/>
      <w:kern w:val="44"/>
      <w:sz w:val="44"/>
      <w:szCs w:val="44"/>
    </w:rPr>
  </w:style>
  <w:style w:type="paragraph" w:styleId="Heading2">
    <w:name w:val="heading 2"/>
    <w:aliases w:val="Head-2"/>
    <w:basedOn w:val="Normal"/>
    <w:next w:val="Normal"/>
    <w:link w:val="Heading2Char"/>
    <w:unhideWhenUsed/>
    <w:qFormat/>
    <w:rsid w:val="00ED2BB9"/>
    <w:pPr>
      <w:keepNext/>
      <w:keepLines/>
      <w:spacing w:after="120"/>
      <w:jc w:val="center"/>
      <w:outlineLvl w:val="1"/>
    </w:pPr>
    <w:rPr>
      <w:rFonts w:eastAsiaTheme="majorEastAsia" w:cstheme="majorBidi"/>
      <w:b/>
      <w:bCs/>
      <w:szCs w:val="26"/>
    </w:rPr>
  </w:style>
  <w:style w:type="paragraph" w:styleId="Heading3">
    <w:name w:val="heading 3"/>
    <w:aliases w:val="HEAD-3"/>
    <w:basedOn w:val="Normal"/>
    <w:next w:val="Normal"/>
    <w:link w:val="Heading3Char"/>
    <w:unhideWhenUsed/>
    <w:qFormat/>
    <w:rsid w:val="00ED2BB9"/>
    <w:pPr>
      <w:keepNext/>
      <w:keepLines/>
      <w:spacing w:before="40"/>
      <w:outlineLvl w:val="2"/>
    </w:pPr>
    <w:rPr>
      <w:rFonts w:eastAsiaTheme="majorEastAsia" w:cstheme="majorBidi"/>
      <w:b/>
      <w:color w:val="000000" w:themeColor="text1"/>
      <w:szCs w:val="24"/>
    </w:rPr>
  </w:style>
  <w:style w:type="paragraph" w:styleId="Heading4">
    <w:name w:val="heading 4"/>
    <w:basedOn w:val="Normal"/>
    <w:next w:val="Normal"/>
    <w:link w:val="Heading4Char"/>
    <w:uiPriority w:val="9"/>
    <w:semiHidden/>
    <w:unhideWhenUsed/>
    <w:qFormat/>
    <w:rsid w:val="00A34623"/>
    <w:pPr>
      <w:keepNext/>
      <w:keepLines/>
      <w:widowControl w:val="0"/>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Fig,figure"/>
    <w:uiPriority w:val="1"/>
    <w:qFormat/>
    <w:rsid w:val="00843865"/>
    <w:pPr>
      <w:spacing w:line="360" w:lineRule="auto"/>
    </w:pPr>
    <w:rPr>
      <w:rFonts w:ascii="Times New Roman" w:eastAsia="Times New Roman" w:hAnsi="Times New Roman"/>
    </w:rPr>
  </w:style>
  <w:style w:type="character" w:customStyle="1" w:styleId="Heading2Char">
    <w:name w:val="Heading 2 Char"/>
    <w:aliases w:val="Head-2 Char"/>
    <w:basedOn w:val="DefaultParagraphFont"/>
    <w:link w:val="Heading2"/>
    <w:rsid w:val="00ED2BB9"/>
    <w:rPr>
      <w:rFonts w:ascii="Times New Roman" w:eastAsiaTheme="majorEastAsia" w:hAnsi="Times New Roman" w:cstheme="majorBidi"/>
      <w:b/>
      <w:bCs/>
      <w:sz w:val="24"/>
      <w:szCs w:val="26"/>
    </w:rPr>
  </w:style>
  <w:style w:type="character" w:customStyle="1" w:styleId="Heading3Char">
    <w:name w:val="Heading 3 Char"/>
    <w:aliases w:val="HEAD-3 Char"/>
    <w:basedOn w:val="DefaultParagraphFont"/>
    <w:link w:val="Heading3"/>
    <w:rsid w:val="00ED2BB9"/>
    <w:rPr>
      <w:rFonts w:ascii="Times New Roman" w:eastAsiaTheme="majorEastAsia" w:hAnsi="Times New Roman" w:cstheme="majorBidi"/>
      <w:b/>
      <w:color w:val="000000" w:themeColor="text1"/>
      <w:sz w:val="24"/>
      <w:szCs w:val="24"/>
    </w:rPr>
  </w:style>
  <w:style w:type="character" w:customStyle="1" w:styleId="fontstyle01">
    <w:name w:val="fontstyle01"/>
    <w:basedOn w:val="DefaultParagraphFont"/>
    <w:rsid w:val="000D55CE"/>
    <w:rPr>
      <w:rFonts w:ascii="AdvOT51c1769e" w:hAnsi="AdvOT51c1769e" w:hint="default"/>
      <w:b w:val="0"/>
      <w:bCs w:val="0"/>
      <w:i w:val="0"/>
      <w:iCs w:val="0"/>
      <w:color w:val="000000"/>
      <w:sz w:val="18"/>
      <w:szCs w:val="18"/>
    </w:rPr>
  </w:style>
  <w:style w:type="character" w:customStyle="1" w:styleId="fontstyle21">
    <w:name w:val="fontstyle21"/>
    <w:basedOn w:val="DefaultParagraphFont"/>
    <w:rsid w:val="000D55CE"/>
    <w:rPr>
      <w:rFonts w:ascii="AdvOT2e364b11" w:hAnsi="AdvOT2e364b11" w:hint="default"/>
      <w:b w:val="0"/>
      <w:bCs w:val="0"/>
      <w:i w:val="0"/>
      <w:iCs w:val="0"/>
      <w:color w:val="000000"/>
      <w:sz w:val="18"/>
      <w:szCs w:val="18"/>
    </w:rPr>
  </w:style>
  <w:style w:type="paragraph" w:styleId="Title">
    <w:name w:val="Title"/>
    <w:aliases w:val="Fig."/>
    <w:basedOn w:val="Normal"/>
    <w:next w:val="Normal"/>
    <w:link w:val="TitleChar"/>
    <w:uiPriority w:val="10"/>
    <w:qFormat/>
    <w:rsid w:val="00ED2BB9"/>
    <w:pPr>
      <w:widowControl w:val="0"/>
      <w:outlineLvl w:val="5"/>
    </w:pPr>
    <w:rPr>
      <w:rFonts w:cstheme="majorBidi"/>
      <w:bCs/>
      <w:sz w:val="21"/>
      <w:szCs w:val="32"/>
    </w:rPr>
  </w:style>
  <w:style w:type="character" w:customStyle="1" w:styleId="TitleChar">
    <w:name w:val="Title Char"/>
    <w:aliases w:val="Fig. Char"/>
    <w:basedOn w:val="DefaultParagraphFont"/>
    <w:link w:val="Title"/>
    <w:uiPriority w:val="10"/>
    <w:rsid w:val="00ED2BB9"/>
    <w:rPr>
      <w:rFonts w:ascii="Times New Roman" w:eastAsia="Times New Roman" w:hAnsi="Times New Roman" w:cstheme="majorBidi"/>
      <w:bCs/>
      <w:sz w:val="21"/>
      <w:szCs w:val="32"/>
    </w:rPr>
  </w:style>
  <w:style w:type="paragraph" w:styleId="ListParagraph">
    <w:name w:val="List Paragraph"/>
    <w:basedOn w:val="Normal"/>
    <w:uiPriority w:val="34"/>
    <w:qFormat/>
    <w:rsid w:val="000D55CE"/>
    <w:pPr>
      <w:widowControl w:val="0"/>
      <w:spacing w:line="259" w:lineRule="auto"/>
      <w:ind w:left="720"/>
      <w:contextualSpacing/>
      <w:jc w:val="left"/>
    </w:pPr>
    <w:rPr>
      <w:rFonts w:asciiTheme="minorHAnsi" w:hAnsiTheme="minorHAnsi"/>
      <w:sz w:val="22"/>
    </w:rPr>
  </w:style>
  <w:style w:type="paragraph" w:customStyle="1" w:styleId="BCAuthorAddress">
    <w:name w:val="BC_Author_Address"/>
    <w:basedOn w:val="Normal"/>
    <w:next w:val="Normal"/>
    <w:autoRedefine/>
    <w:rsid w:val="000D55CE"/>
    <w:pPr>
      <w:spacing w:after="60"/>
      <w:jc w:val="left"/>
    </w:pPr>
    <w:rPr>
      <w:rFonts w:eastAsiaTheme="minorEastAsia" w:cs="Times New Roman"/>
      <w:kern w:val="22"/>
      <w:sz w:val="22"/>
      <w:lang w:val="en-US" w:eastAsia="en-US"/>
    </w:rPr>
  </w:style>
  <w:style w:type="paragraph" w:styleId="Header">
    <w:name w:val="header"/>
    <w:basedOn w:val="Normal"/>
    <w:link w:val="HeaderChar"/>
    <w:uiPriority w:val="99"/>
    <w:unhideWhenUsed/>
    <w:rsid w:val="00D1548C"/>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D1548C"/>
    <w:rPr>
      <w:rFonts w:ascii="Times New Roman" w:eastAsia="Times New Roman" w:hAnsi="Times New Roman"/>
      <w:sz w:val="18"/>
      <w:szCs w:val="18"/>
    </w:rPr>
  </w:style>
  <w:style w:type="paragraph" w:styleId="Footer">
    <w:name w:val="footer"/>
    <w:basedOn w:val="Normal"/>
    <w:link w:val="FooterChar"/>
    <w:uiPriority w:val="99"/>
    <w:unhideWhenUsed/>
    <w:rsid w:val="00D1548C"/>
    <w:pPr>
      <w:tabs>
        <w:tab w:val="center" w:pos="4153"/>
        <w:tab w:val="right" w:pos="8306"/>
      </w:tabs>
      <w:snapToGrid w:val="0"/>
      <w:spacing w:line="240" w:lineRule="auto"/>
      <w:jc w:val="left"/>
    </w:pPr>
    <w:rPr>
      <w:sz w:val="18"/>
      <w:szCs w:val="18"/>
    </w:rPr>
  </w:style>
  <w:style w:type="character" w:customStyle="1" w:styleId="FooterChar">
    <w:name w:val="Footer Char"/>
    <w:basedOn w:val="DefaultParagraphFont"/>
    <w:link w:val="Footer"/>
    <w:uiPriority w:val="99"/>
    <w:rsid w:val="00D1548C"/>
    <w:rPr>
      <w:rFonts w:ascii="Times New Roman" w:eastAsia="Times New Roman" w:hAnsi="Times New Roman"/>
      <w:sz w:val="18"/>
      <w:szCs w:val="18"/>
    </w:rPr>
  </w:style>
  <w:style w:type="character" w:customStyle="1" w:styleId="Heading1Char">
    <w:name w:val="Heading 1 Char"/>
    <w:aliases w:val="Head-1 Char"/>
    <w:basedOn w:val="DefaultParagraphFont"/>
    <w:link w:val="Heading1"/>
    <w:rsid w:val="00A34623"/>
    <w:rPr>
      <w:rFonts w:ascii="Times New Roman" w:eastAsia="Times New Roman" w:hAnsi="Times New Roman"/>
      <w:b/>
      <w:bCs/>
      <w:kern w:val="44"/>
      <w:sz w:val="44"/>
      <w:szCs w:val="44"/>
    </w:rPr>
  </w:style>
  <w:style w:type="character" w:customStyle="1" w:styleId="Heading4Char">
    <w:name w:val="Heading 4 Char"/>
    <w:basedOn w:val="DefaultParagraphFont"/>
    <w:link w:val="Heading4"/>
    <w:uiPriority w:val="9"/>
    <w:semiHidden/>
    <w:rsid w:val="00A34623"/>
    <w:rPr>
      <w:rFonts w:asciiTheme="majorHAnsi" w:eastAsiaTheme="majorEastAsia" w:hAnsiTheme="majorHAnsi" w:cstheme="majorBidi"/>
      <w:i/>
      <w:iCs/>
      <w:color w:val="2F5496" w:themeColor="accent1" w:themeShade="BF"/>
      <w:sz w:val="24"/>
    </w:rPr>
  </w:style>
  <w:style w:type="character" w:styleId="PlaceholderText">
    <w:name w:val="Placeholder Text"/>
    <w:basedOn w:val="DefaultParagraphFont"/>
    <w:uiPriority w:val="99"/>
    <w:semiHidden/>
    <w:rsid w:val="00A34623"/>
    <w:rPr>
      <w:color w:val="808080"/>
    </w:rPr>
  </w:style>
  <w:style w:type="character" w:styleId="FollowedHyperlink">
    <w:name w:val="FollowedHyperlink"/>
    <w:rsid w:val="00A34623"/>
    <w:rPr>
      <w:color w:val="800080"/>
      <w:u w:val="single"/>
    </w:rPr>
  </w:style>
  <w:style w:type="paragraph" w:styleId="BodyText">
    <w:name w:val="Body Text"/>
    <w:basedOn w:val="Normal"/>
    <w:link w:val="BodyTextChar"/>
    <w:rsid w:val="00A34623"/>
    <w:pPr>
      <w:widowControl w:val="0"/>
      <w:spacing w:after="200" w:line="240" w:lineRule="auto"/>
      <w:jc w:val="center"/>
    </w:pPr>
    <w:rPr>
      <w:rFonts w:ascii="Times" w:eastAsiaTheme="minorEastAsia" w:hAnsi="Times" w:cs="Times New Roman"/>
      <w:b/>
      <w:sz w:val="40"/>
      <w:szCs w:val="20"/>
      <w:lang w:val="en-US" w:eastAsia="en-US"/>
    </w:rPr>
  </w:style>
  <w:style w:type="character" w:customStyle="1" w:styleId="BodyTextChar">
    <w:name w:val="Body Text Char"/>
    <w:basedOn w:val="DefaultParagraphFont"/>
    <w:link w:val="BodyText"/>
    <w:rsid w:val="00A34623"/>
    <w:rPr>
      <w:rFonts w:ascii="Times" w:hAnsi="Times" w:cs="Times New Roman"/>
      <w:b/>
      <w:sz w:val="40"/>
      <w:szCs w:val="20"/>
      <w:lang w:val="en-US" w:eastAsia="en-US"/>
    </w:rPr>
  </w:style>
  <w:style w:type="paragraph" w:styleId="FootnoteText">
    <w:name w:val="footnote text"/>
    <w:basedOn w:val="Normal"/>
    <w:next w:val="TFReferencesSection"/>
    <w:link w:val="FootnoteTextChar"/>
    <w:semiHidden/>
    <w:rsid w:val="00A34623"/>
    <w:pPr>
      <w:widowControl w:val="0"/>
      <w:spacing w:after="200" w:line="240" w:lineRule="auto"/>
    </w:pPr>
    <w:rPr>
      <w:rFonts w:ascii="Times" w:eastAsiaTheme="minorEastAsia" w:hAnsi="Times" w:cs="Times New Roman"/>
      <w:szCs w:val="20"/>
      <w:lang w:val="en-US" w:eastAsia="en-US"/>
    </w:rPr>
  </w:style>
  <w:style w:type="character" w:customStyle="1" w:styleId="FootnoteTextChar">
    <w:name w:val="Footnote Text Char"/>
    <w:basedOn w:val="DefaultParagraphFont"/>
    <w:link w:val="FootnoteText"/>
    <w:semiHidden/>
    <w:rsid w:val="00A34623"/>
    <w:rPr>
      <w:rFonts w:ascii="Times" w:hAnsi="Times" w:cs="Times New Roman"/>
      <w:sz w:val="24"/>
      <w:szCs w:val="20"/>
      <w:lang w:val="en-US" w:eastAsia="en-US"/>
    </w:rPr>
  </w:style>
  <w:style w:type="paragraph" w:customStyle="1" w:styleId="TFReferencesSection">
    <w:name w:val="TF_References_Section"/>
    <w:basedOn w:val="Normal"/>
    <w:next w:val="Normal"/>
    <w:autoRedefine/>
    <w:rsid w:val="00A34623"/>
    <w:pPr>
      <w:widowControl w:val="0"/>
      <w:spacing w:line="240" w:lineRule="auto"/>
      <w:ind w:firstLine="187"/>
    </w:pPr>
    <w:rPr>
      <w:rFonts w:ascii="Arno Pro" w:eastAsiaTheme="minorEastAsia" w:hAnsi="Arno Pro" w:cs="Times New Roman"/>
      <w:kern w:val="19"/>
      <w:sz w:val="17"/>
      <w:szCs w:val="14"/>
      <w:lang w:val="en-US" w:eastAsia="en-US"/>
    </w:rPr>
  </w:style>
  <w:style w:type="paragraph" w:customStyle="1" w:styleId="TAMainText">
    <w:name w:val="TA_Main_Text"/>
    <w:basedOn w:val="Normal"/>
    <w:autoRedefine/>
    <w:rsid w:val="00A34623"/>
    <w:pPr>
      <w:widowControl w:val="0"/>
      <w:spacing w:after="60" w:line="240" w:lineRule="auto"/>
      <w:ind w:firstLine="180"/>
    </w:pPr>
    <w:rPr>
      <w:rFonts w:ascii="Arno Pro" w:eastAsiaTheme="minorEastAsia" w:hAnsi="Arno Pro" w:cs="Times New Roman"/>
      <w:kern w:val="21"/>
      <w:sz w:val="19"/>
      <w:szCs w:val="20"/>
      <w:lang w:val="en-US" w:eastAsia="en-US"/>
    </w:rPr>
  </w:style>
  <w:style w:type="paragraph" w:customStyle="1" w:styleId="BATitle">
    <w:name w:val="BA_Title"/>
    <w:basedOn w:val="Normal"/>
    <w:next w:val="BBAuthorName"/>
    <w:autoRedefine/>
    <w:rsid w:val="00A34623"/>
    <w:pPr>
      <w:widowControl w:val="0"/>
      <w:spacing w:before="1400" w:after="180"/>
      <w:jc w:val="center"/>
    </w:pPr>
    <w:rPr>
      <w:rFonts w:eastAsiaTheme="minorEastAsia" w:cs="Times New Roman"/>
      <w:kern w:val="36"/>
      <w:sz w:val="34"/>
      <w:szCs w:val="20"/>
      <w:lang w:val="en-US" w:eastAsia="en-US"/>
    </w:rPr>
  </w:style>
  <w:style w:type="paragraph" w:customStyle="1" w:styleId="BBAuthorName">
    <w:name w:val="BB_Author_Name"/>
    <w:basedOn w:val="Normal"/>
    <w:next w:val="BCAuthorAddress"/>
    <w:autoRedefine/>
    <w:rsid w:val="00A34623"/>
    <w:pPr>
      <w:widowControl w:val="0"/>
      <w:spacing w:after="180" w:line="240" w:lineRule="auto"/>
      <w:jc w:val="left"/>
    </w:pPr>
    <w:rPr>
      <w:rFonts w:ascii="Arno Pro" w:eastAsiaTheme="minorEastAsia" w:hAnsi="Arno Pro" w:cs="Times New Roman"/>
      <w:kern w:val="26"/>
      <w:szCs w:val="20"/>
      <w:lang w:val="en-US" w:eastAsia="en-US"/>
    </w:rPr>
  </w:style>
  <w:style w:type="paragraph" w:customStyle="1" w:styleId="BIEmailAddress">
    <w:name w:val="BI_Email_Address"/>
    <w:basedOn w:val="Normal"/>
    <w:next w:val="AIReceivedDate"/>
    <w:autoRedefine/>
    <w:rsid w:val="00A34623"/>
    <w:pPr>
      <w:widowControl w:val="0"/>
      <w:spacing w:after="100" w:line="240" w:lineRule="auto"/>
      <w:jc w:val="left"/>
    </w:pPr>
    <w:rPr>
      <w:rFonts w:ascii="Arno Pro" w:eastAsiaTheme="minorEastAsia" w:hAnsi="Arno Pro" w:cs="Times New Roman"/>
      <w:sz w:val="18"/>
      <w:szCs w:val="20"/>
      <w:lang w:val="en-US" w:eastAsia="en-US"/>
    </w:rPr>
  </w:style>
  <w:style w:type="paragraph" w:customStyle="1" w:styleId="AIReceivedDate">
    <w:name w:val="AI_Received_Date"/>
    <w:basedOn w:val="Normal"/>
    <w:next w:val="Normal"/>
    <w:autoRedefine/>
    <w:rsid w:val="00A34623"/>
    <w:pPr>
      <w:widowControl w:val="0"/>
      <w:spacing w:after="100" w:line="240" w:lineRule="auto"/>
      <w:jc w:val="left"/>
    </w:pPr>
    <w:rPr>
      <w:rFonts w:ascii="Arno Pro" w:eastAsiaTheme="minorEastAsia" w:hAnsi="Arno Pro" w:cs="Times New Roman"/>
      <w:sz w:val="18"/>
      <w:szCs w:val="20"/>
      <w:lang w:val="en-US" w:eastAsia="en-US"/>
    </w:rPr>
  </w:style>
  <w:style w:type="paragraph" w:customStyle="1" w:styleId="BDAbstract">
    <w:name w:val="BD_Abstract"/>
    <w:basedOn w:val="Normal"/>
    <w:next w:val="TAMainText"/>
    <w:link w:val="BDAbstractChar"/>
    <w:autoRedefine/>
    <w:rsid w:val="00A34623"/>
    <w:pPr>
      <w:widowControl w:val="0"/>
      <w:pBdr>
        <w:top w:val="single" w:sz="4" w:space="1" w:color="auto"/>
        <w:bottom w:val="single" w:sz="4" w:space="1" w:color="auto"/>
      </w:pBdr>
      <w:spacing w:before="100" w:after="600" w:line="240" w:lineRule="auto"/>
    </w:pPr>
    <w:rPr>
      <w:rFonts w:ascii="Arno Pro" w:eastAsiaTheme="minorEastAsia" w:hAnsi="Arno Pro" w:cs="Times New Roman"/>
      <w:kern w:val="21"/>
      <w:sz w:val="19"/>
      <w:szCs w:val="20"/>
      <w:lang w:val="en-US" w:eastAsia="en-US"/>
    </w:rPr>
  </w:style>
  <w:style w:type="paragraph" w:customStyle="1" w:styleId="TDAcknowledgments">
    <w:name w:val="TD_Acknowledgments"/>
    <w:basedOn w:val="Normal"/>
    <w:next w:val="Normal"/>
    <w:link w:val="TDAcknowledgmentsChar"/>
    <w:autoRedefine/>
    <w:rsid w:val="00A34623"/>
    <w:pPr>
      <w:widowControl w:val="0"/>
      <w:spacing w:line="240" w:lineRule="auto"/>
    </w:pPr>
    <w:rPr>
      <w:rFonts w:ascii="Arno Pro" w:eastAsiaTheme="minorEastAsia" w:hAnsi="Arno Pro" w:cs="Times New Roman"/>
      <w:kern w:val="20"/>
      <w:sz w:val="18"/>
      <w:szCs w:val="20"/>
      <w:lang w:val="en-US" w:eastAsia="en-US"/>
    </w:rPr>
  </w:style>
  <w:style w:type="paragraph" w:customStyle="1" w:styleId="TESupportingInformation">
    <w:name w:val="TE_Supporting_Information"/>
    <w:basedOn w:val="Normal"/>
    <w:next w:val="Normal"/>
    <w:autoRedefine/>
    <w:rsid w:val="00A34623"/>
    <w:pPr>
      <w:widowControl w:val="0"/>
      <w:spacing w:line="240" w:lineRule="auto"/>
    </w:pPr>
    <w:rPr>
      <w:rFonts w:ascii="Arno Pro" w:eastAsiaTheme="minorEastAsia" w:hAnsi="Arno Pro" w:cs="Times New Roman"/>
      <w:kern w:val="20"/>
      <w:sz w:val="18"/>
      <w:szCs w:val="20"/>
      <w:lang w:val="en-US" w:eastAsia="en-US"/>
    </w:rPr>
  </w:style>
  <w:style w:type="paragraph" w:customStyle="1" w:styleId="VCSchemeTitle">
    <w:name w:val="VC_Scheme_Title"/>
    <w:basedOn w:val="Normal"/>
    <w:next w:val="Normal"/>
    <w:autoRedefine/>
    <w:rsid w:val="00A34623"/>
    <w:pPr>
      <w:widowControl w:val="0"/>
      <w:spacing w:after="180" w:line="240" w:lineRule="auto"/>
    </w:pPr>
    <w:rPr>
      <w:rFonts w:ascii="Arno Pro" w:eastAsiaTheme="minorEastAsia" w:hAnsi="Arno Pro" w:cs="Times New Roman"/>
      <w:b/>
      <w:kern w:val="21"/>
      <w:sz w:val="19"/>
      <w:szCs w:val="20"/>
      <w:lang w:val="en-US" w:eastAsia="en-US"/>
    </w:rPr>
  </w:style>
  <w:style w:type="paragraph" w:customStyle="1" w:styleId="VDTableTitle">
    <w:name w:val="VD_Table_Title"/>
    <w:basedOn w:val="Normal"/>
    <w:next w:val="Normal"/>
    <w:autoRedefine/>
    <w:rsid w:val="00A34623"/>
    <w:pPr>
      <w:widowControl w:val="0"/>
      <w:spacing w:after="180" w:line="240" w:lineRule="auto"/>
    </w:pPr>
    <w:rPr>
      <w:rFonts w:ascii="Arno Pro" w:eastAsiaTheme="minorEastAsia" w:hAnsi="Arno Pro" w:cs="Times New Roman"/>
      <w:b/>
      <w:kern w:val="21"/>
      <w:sz w:val="19"/>
      <w:szCs w:val="19"/>
      <w:lang w:val="en-US" w:eastAsia="en-US"/>
    </w:rPr>
  </w:style>
  <w:style w:type="paragraph" w:customStyle="1" w:styleId="VAFigureCaption">
    <w:name w:val="VA_Figure_Caption"/>
    <w:basedOn w:val="Normal"/>
    <w:next w:val="Normal"/>
    <w:autoRedefine/>
    <w:rsid w:val="00A34623"/>
    <w:pPr>
      <w:widowControl w:val="0"/>
      <w:spacing w:before="200" w:after="120" w:line="240" w:lineRule="auto"/>
    </w:pPr>
    <w:rPr>
      <w:rFonts w:ascii="Arno Pro" w:eastAsiaTheme="minorEastAsia" w:hAnsi="Arno Pro" w:cs="Times New Roman"/>
      <w:kern w:val="20"/>
      <w:sz w:val="18"/>
      <w:szCs w:val="20"/>
      <w:lang w:val="en-US" w:eastAsia="en-US"/>
    </w:rPr>
  </w:style>
  <w:style w:type="paragraph" w:customStyle="1" w:styleId="VBChartTitle">
    <w:name w:val="VB_Chart_Title"/>
    <w:basedOn w:val="Normal"/>
    <w:next w:val="Normal"/>
    <w:autoRedefine/>
    <w:rsid w:val="00A34623"/>
    <w:pPr>
      <w:widowControl w:val="0"/>
      <w:spacing w:after="180" w:line="240" w:lineRule="auto"/>
    </w:pPr>
    <w:rPr>
      <w:rFonts w:ascii="Arno Pro" w:eastAsiaTheme="minorEastAsia" w:hAnsi="Arno Pro" w:cs="Times New Roman"/>
      <w:b/>
      <w:kern w:val="21"/>
      <w:sz w:val="19"/>
      <w:szCs w:val="20"/>
      <w:lang w:val="en-US" w:eastAsia="en-US"/>
    </w:rPr>
  </w:style>
  <w:style w:type="paragraph" w:customStyle="1" w:styleId="FETableFootnote">
    <w:name w:val="FE_Table_Footnote"/>
    <w:basedOn w:val="Normal"/>
    <w:next w:val="Normal"/>
    <w:autoRedefine/>
    <w:rsid w:val="00A34623"/>
    <w:pPr>
      <w:widowControl w:val="0"/>
      <w:spacing w:before="60" w:after="120" w:line="240" w:lineRule="auto"/>
      <w:ind w:firstLine="187"/>
    </w:pPr>
    <w:rPr>
      <w:rFonts w:ascii="Arno Pro" w:eastAsiaTheme="minorEastAsia" w:hAnsi="Arno Pro" w:cs="Times New Roman"/>
      <w:sz w:val="18"/>
      <w:szCs w:val="20"/>
      <w:lang w:val="en-US" w:eastAsia="en-US"/>
    </w:rPr>
  </w:style>
  <w:style w:type="paragraph" w:customStyle="1" w:styleId="FCChartFootnote">
    <w:name w:val="FC_Chart_Footnote"/>
    <w:basedOn w:val="Normal"/>
    <w:next w:val="Normal"/>
    <w:autoRedefine/>
    <w:rsid w:val="00A34623"/>
    <w:pPr>
      <w:widowControl w:val="0"/>
      <w:spacing w:before="60" w:after="120" w:line="240" w:lineRule="auto"/>
      <w:ind w:firstLine="187"/>
    </w:pPr>
    <w:rPr>
      <w:rFonts w:ascii="Arno Pro" w:eastAsiaTheme="minorEastAsia" w:hAnsi="Arno Pro" w:cs="Times New Roman"/>
      <w:sz w:val="18"/>
      <w:szCs w:val="20"/>
      <w:lang w:val="en-US" w:eastAsia="en-US"/>
    </w:rPr>
  </w:style>
  <w:style w:type="paragraph" w:customStyle="1" w:styleId="FDSchemeFootnote">
    <w:name w:val="FD_Scheme_Footnote"/>
    <w:basedOn w:val="Normal"/>
    <w:next w:val="Normal"/>
    <w:autoRedefine/>
    <w:rsid w:val="00A34623"/>
    <w:pPr>
      <w:widowControl w:val="0"/>
      <w:spacing w:before="60" w:after="120" w:line="240" w:lineRule="auto"/>
      <w:ind w:firstLine="187"/>
    </w:pPr>
    <w:rPr>
      <w:rFonts w:ascii="Arno Pro" w:eastAsiaTheme="minorEastAsia" w:hAnsi="Arno Pro" w:cs="Times New Roman"/>
      <w:sz w:val="18"/>
      <w:szCs w:val="20"/>
      <w:lang w:val="en-US" w:eastAsia="en-US"/>
    </w:rPr>
  </w:style>
  <w:style w:type="paragraph" w:customStyle="1" w:styleId="TCTableBody">
    <w:name w:val="TC_Table_Body"/>
    <w:basedOn w:val="Normal"/>
    <w:next w:val="Normal"/>
    <w:link w:val="TCTableBodyChar"/>
    <w:autoRedefine/>
    <w:rsid w:val="00A34623"/>
    <w:pPr>
      <w:widowControl w:val="0"/>
      <w:spacing w:before="20" w:after="60" w:line="240" w:lineRule="auto"/>
    </w:pPr>
    <w:rPr>
      <w:rFonts w:ascii="Arno Pro" w:eastAsiaTheme="minorEastAsia" w:hAnsi="Arno Pro" w:cs="Times New Roman"/>
      <w:kern w:val="20"/>
      <w:sz w:val="18"/>
      <w:szCs w:val="20"/>
      <w:lang w:val="en-US" w:eastAsia="en-US"/>
    </w:rPr>
  </w:style>
  <w:style w:type="paragraph" w:customStyle="1" w:styleId="StyleFACorrespondingAuthorFootnote7pt">
    <w:name w:val="Style FA_Corresponding_Author_Footnote + 7 pt"/>
    <w:basedOn w:val="Normal"/>
    <w:next w:val="BGKeywords"/>
    <w:link w:val="StyleFACorrespondingAuthorFootnote7ptChar"/>
    <w:autoRedefine/>
    <w:rsid w:val="00A34623"/>
    <w:pPr>
      <w:widowControl w:val="0"/>
      <w:spacing w:line="240" w:lineRule="auto"/>
      <w:jc w:val="left"/>
    </w:pPr>
    <w:rPr>
      <w:rFonts w:ascii="Arno Pro" w:eastAsiaTheme="minorEastAsia" w:hAnsi="Arno Pro" w:cs="Times New Roman"/>
      <w:kern w:val="20"/>
      <w:sz w:val="18"/>
      <w:szCs w:val="20"/>
      <w:lang w:val="en-US" w:eastAsia="en-US"/>
    </w:rPr>
  </w:style>
  <w:style w:type="paragraph" w:customStyle="1" w:styleId="BEAuthorBiography">
    <w:name w:val="BE_Author_Biography"/>
    <w:basedOn w:val="Normal"/>
    <w:autoRedefine/>
    <w:rsid w:val="00A34623"/>
    <w:pPr>
      <w:widowControl w:val="0"/>
      <w:spacing w:after="200" w:line="240" w:lineRule="auto"/>
    </w:pPr>
    <w:rPr>
      <w:rFonts w:ascii="Arno Pro" w:eastAsiaTheme="minorEastAsia" w:hAnsi="Arno Pro" w:cs="Times New Roman"/>
      <w:sz w:val="22"/>
      <w:szCs w:val="20"/>
      <w:lang w:val="en-US" w:eastAsia="en-US"/>
    </w:rPr>
  </w:style>
  <w:style w:type="paragraph" w:customStyle="1" w:styleId="StyleBIEmailAddress95pt">
    <w:name w:val="Style BI_Email_Address + 9.5 pt"/>
    <w:basedOn w:val="BIEmailAddress"/>
    <w:rsid w:val="00A34623"/>
    <w:pPr>
      <w:spacing w:after="60"/>
    </w:pPr>
    <w:rPr>
      <w:sz w:val="19"/>
    </w:rPr>
  </w:style>
  <w:style w:type="paragraph" w:customStyle="1" w:styleId="SNSynopsisTOC">
    <w:name w:val="SN_Synopsis_TOC"/>
    <w:basedOn w:val="Normal"/>
    <w:next w:val="Normal"/>
    <w:autoRedefine/>
    <w:rsid w:val="00A34623"/>
    <w:pPr>
      <w:widowControl w:val="0"/>
      <w:spacing w:after="60" w:line="240" w:lineRule="auto"/>
    </w:pPr>
    <w:rPr>
      <w:rFonts w:ascii="Arno Pro" w:eastAsiaTheme="minorEastAsia" w:hAnsi="Arno Pro" w:cs="Times New Roman"/>
      <w:kern w:val="22"/>
      <w:sz w:val="20"/>
      <w:szCs w:val="20"/>
      <w:lang w:val="en-US" w:eastAsia="en-US"/>
    </w:rPr>
  </w:style>
  <w:style w:type="character" w:styleId="Hyperlink">
    <w:name w:val="Hyperlink"/>
    <w:uiPriority w:val="99"/>
    <w:rsid w:val="00A34623"/>
    <w:rPr>
      <w:color w:val="0000FF"/>
      <w:u w:val="single"/>
    </w:rPr>
  </w:style>
  <w:style w:type="paragraph" w:customStyle="1" w:styleId="BGKeywords">
    <w:name w:val="BG_Keywords"/>
    <w:basedOn w:val="Normal"/>
    <w:next w:val="BHBriefs"/>
    <w:autoRedefine/>
    <w:rsid w:val="00A34623"/>
    <w:pPr>
      <w:widowControl w:val="0"/>
      <w:spacing w:after="220" w:line="240" w:lineRule="auto"/>
      <w:jc w:val="left"/>
    </w:pPr>
    <w:rPr>
      <w:rFonts w:ascii="Arno Pro" w:eastAsiaTheme="minorEastAsia" w:hAnsi="Arno Pro" w:cs="Times New Roman"/>
      <w:i/>
      <w:kern w:val="22"/>
      <w:sz w:val="20"/>
      <w:szCs w:val="20"/>
      <w:lang w:val="en-US" w:eastAsia="en-US"/>
    </w:rPr>
  </w:style>
  <w:style w:type="paragraph" w:customStyle="1" w:styleId="BHBriefs">
    <w:name w:val="BH_Briefs"/>
    <w:basedOn w:val="Normal"/>
    <w:next w:val="BDAbstract"/>
    <w:autoRedefine/>
    <w:rsid w:val="00A34623"/>
    <w:pPr>
      <w:widowControl w:val="0"/>
      <w:spacing w:before="180" w:after="60" w:line="240" w:lineRule="auto"/>
      <w:jc w:val="left"/>
    </w:pPr>
    <w:rPr>
      <w:rFonts w:ascii="Arno Pro" w:eastAsiaTheme="minorEastAsia" w:hAnsi="Arno Pro" w:cs="Times New Roman"/>
      <w:kern w:val="22"/>
      <w:sz w:val="20"/>
      <w:szCs w:val="20"/>
      <w:lang w:val="en-US" w:eastAsia="en-US"/>
    </w:rPr>
  </w:style>
  <w:style w:type="character" w:styleId="PageNumber">
    <w:name w:val="page number"/>
    <w:basedOn w:val="DefaultParagraphFont"/>
    <w:rsid w:val="00A34623"/>
  </w:style>
  <w:style w:type="paragraph" w:styleId="BalloonText">
    <w:name w:val="Balloon Text"/>
    <w:basedOn w:val="Normal"/>
    <w:link w:val="BalloonTextChar"/>
    <w:semiHidden/>
    <w:rsid w:val="00A34623"/>
    <w:pPr>
      <w:widowControl w:val="0"/>
      <w:spacing w:after="200" w:line="240" w:lineRule="auto"/>
    </w:pPr>
    <w:rPr>
      <w:rFonts w:ascii="Tahoma" w:eastAsiaTheme="minorEastAsia" w:hAnsi="Tahoma" w:cs="Tahoma"/>
      <w:sz w:val="16"/>
      <w:szCs w:val="16"/>
      <w:lang w:val="en-US" w:eastAsia="en-US"/>
    </w:rPr>
  </w:style>
  <w:style w:type="character" w:customStyle="1" w:styleId="BalloonTextChar">
    <w:name w:val="Balloon Text Char"/>
    <w:basedOn w:val="DefaultParagraphFont"/>
    <w:link w:val="BalloonText"/>
    <w:semiHidden/>
    <w:rsid w:val="00A34623"/>
    <w:rPr>
      <w:rFonts w:ascii="Tahoma" w:hAnsi="Tahoma" w:cs="Tahoma"/>
      <w:sz w:val="16"/>
      <w:szCs w:val="16"/>
      <w:lang w:val="en-US" w:eastAsia="en-US"/>
    </w:rPr>
  </w:style>
  <w:style w:type="character" w:styleId="EndnoteReference">
    <w:name w:val="endnote reference"/>
    <w:semiHidden/>
    <w:rsid w:val="00A34623"/>
    <w:rPr>
      <w:rFonts w:ascii="Times" w:hAnsi="Times"/>
      <w:sz w:val="18"/>
      <w:vertAlign w:val="superscript"/>
    </w:rPr>
  </w:style>
  <w:style w:type="paragraph" w:customStyle="1" w:styleId="StyleTCTableBodyBold">
    <w:name w:val="Style TC_Table_Body + Bold"/>
    <w:basedOn w:val="TCTableBody"/>
    <w:link w:val="StyleTCTableBodyBoldChar"/>
    <w:rsid w:val="00A34623"/>
    <w:rPr>
      <w:b/>
      <w:bCs/>
      <w:kern w:val="22"/>
      <w:sz w:val="15"/>
    </w:rPr>
  </w:style>
  <w:style w:type="character" w:customStyle="1" w:styleId="StyleFACorrespondingAuthorFootnote7ptChar">
    <w:name w:val="Style FA_Corresponding_Author_Footnote + 7 pt Char"/>
    <w:link w:val="StyleFACorrespondingAuthorFootnote7pt"/>
    <w:rsid w:val="00A34623"/>
    <w:rPr>
      <w:rFonts w:ascii="Arno Pro" w:hAnsi="Arno Pro" w:cs="Times New Roman"/>
      <w:kern w:val="20"/>
      <w:sz w:val="18"/>
      <w:szCs w:val="20"/>
      <w:lang w:val="en-US" w:eastAsia="en-US"/>
    </w:rPr>
  </w:style>
  <w:style w:type="paragraph" w:customStyle="1" w:styleId="BDAbstractTitle">
    <w:name w:val="BD_Abstract_Title"/>
    <w:basedOn w:val="BDAbstract"/>
    <w:link w:val="BDAbstractTitleChar"/>
    <w:rsid w:val="00A34623"/>
    <w:rPr>
      <w:b/>
    </w:rPr>
  </w:style>
  <w:style w:type="character" w:customStyle="1" w:styleId="BDAbstractChar">
    <w:name w:val="BD_Abstract Char"/>
    <w:link w:val="BDAbstract"/>
    <w:rsid w:val="00A34623"/>
    <w:rPr>
      <w:rFonts w:ascii="Arno Pro" w:hAnsi="Arno Pro" w:cs="Times New Roman"/>
      <w:kern w:val="21"/>
      <w:sz w:val="19"/>
      <w:szCs w:val="20"/>
      <w:lang w:val="en-US" w:eastAsia="en-US"/>
    </w:rPr>
  </w:style>
  <w:style w:type="character" w:customStyle="1" w:styleId="BDAbstractTitleChar">
    <w:name w:val="BD_Abstract_Title Char"/>
    <w:link w:val="BDAbstractTitle"/>
    <w:rsid w:val="00A34623"/>
    <w:rPr>
      <w:rFonts w:ascii="Arno Pro" w:hAnsi="Arno Pro" w:cs="Times New Roman"/>
      <w:b/>
      <w:kern w:val="21"/>
      <w:sz w:val="19"/>
      <w:szCs w:val="20"/>
      <w:lang w:val="en-US" w:eastAsia="en-US"/>
    </w:rPr>
  </w:style>
  <w:style w:type="paragraph" w:customStyle="1" w:styleId="TDAckTitle">
    <w:name w:val="TD_Ack_Title"/>
    <w:basedOn w:val="TDAcknowledgments"/>
    <w:link w:val="TDAckTitleChar"/>
    <w:rsid w:val="00A34623"/>
    <w:pPr>
      <w:spacing w:before="180" w:after="60"/>
    </w:pPr>
    <w:rPr>
      <w:rFonts w:ascii="Myriad Pro Light" w:hAnsi="Myriad Pro Light"/>
      <w:b/>
      <w:kern w:val="23"/>
      <w:sz w:val="21"/>
    </w:rPr>
  </w:style>
  <w:style w:type="character" w:customStyle="1" w:styleId="TDAcknowledgmentsChar">
    <w:name w:val="TD_Acknowledgments Char"/>
    <w:link w:val="TDAcknowledgments"/>
    <w:rsid w:val="00A34623"/>
    <w:rPr>
      <w:rFonts w:ascii="Arno Pro" w:hAnsi="Arno Pro" w:cs="Times New Roman"/>
      <w:kern w:val="20"/>
      <w:sz w:val="18"/>
      <w:szCs w:val="20"/>
      <w:lang w:val="en-US" w:eastAsia="en-US"/>
    </w:rPr>
  </w:style>
  <w:style w:type="character" w:customStyle="1" w:styleId="TDAckTitleChar">
    <w:name w:val="TD_Ack_Title Char"/>
    <w:link w:val="TDAckTitle"/>
    <w:rsid w:val="00A34623"/>
    <w:rPr>
      <w:rFonts w:ascii="Myriad Pro Light" w:hAnsi="Myriad Pro Light" w:cs="Times New Roman"/>
      <w:b/>
      <w:kern w:val="23"/>
      <w:sz w:val="21"/>
      <w:szCs w:val="20"/>
      <w:lang w:val="en-US" w:eastAsia="en-US"/>
    </w:rPr>
  </w:style>
  <w:style w:type="paragraph" w:customStyle="1" w:styleId="TESupportingInfoTitle">
    <w:name w:val="TE_Supporting_Info_Title"/>
    <w:basedOn w:val="TESupportingInformation"/>
    <w:autoRedefine/>
    <w:rsid w:val="00A34623"/>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34623"/>
  </w:style>
  <w:style w:type="paragraph" w:customStyle="1" w:styleId="FAAuthorInfoSubtitle">
    <w:name w:val="FA_Author_Info_Subtitle"/>
    <w:basedOn w:val="Normal"/>
    <w:link w:val="FAAuthorInfoSubtitleChar"/>
    <w:autoRedefine/>
    <w:rsid w:val="00A34623"/>
    <w:pPr>
      <w:widowControl w:val="0"/>
      <w:spacing w:before="120" w:after="60" w:line="240" w:lineRule="auto"/>
      <w:jc w:val="left"/>
    </w:pPr>
    <w:rPr>
      <w:rFonts w:ascii="Myriad Pro Light" w:eastAsiaTheme="minorEastAsia" w:hAnsi="Myriad Pro Light" w:cs="Times New Roman"/>
      <w:b/>
      <w:kern w:val="21"/>
      <w:sz w:val="19"/>
      <w:szCs w:val="14"/>
      <w:lang w:val="en-US" w:eastAsia="en-US"/>
    </w:rPr>
  </w:style>
  <w:style w:type="character" w:customStyle="1" w:styleId="FAAuthorInfoSubtitleChar">
    <w:name w:val="FA_Author_Info_Subtitle Char"/>
    <w:link w:val="FAAuthorInfoSubtitle"/>
    <w:rsid w:val="00A34623"/>
    <w:rPr>
      <w:rFonts w:ascii="Myriad Pro Light" w:hAnsi="Myriad Pro Light" w:cs="Times New Roman"/>
      <w:b/>
      <w:kern w:val="21"/>
      <w:sz w:val="19"/>
      <w:szCs w:val="14"/>
      <w:lang w:val="en-US" w:eastAsia="en-US"/>
    </w:rPr>
  </w:style>
  <w:style w:type="character" w:customStyle="1" w:styleId="TCTableBodyChar">
    <w:name w:val="TC_Table_Body Char"/>
    <w:link w:val="TCTableBody"/>
    <w:rsid w:val="00A34623"/>
    <w:rPr>
      <w:rFonts w:ascii="Arno Pro" w:hAnsi="Arno Pro" w:cs="Times New Roman"/>
      <w:kern w:val="20"/>
      <w:sz w:val="18"/>
      <w:szCs w:val="20"/>
      <w:lang w:val="en-US" w:eastAsia="en-US"/>
    </w:rPr>
  </w:style>
  <w:style w:type="character" w:customStyle="1" w:styleId="StyleTCTableBodyBoldChar">
    <w:name w:val="Style TC_Table_Body + Bold Char"/>
    <w:link w:val="StyleTCTableBodyBold"/>
    <w:rsid w:val="00A34623"/>
    <w:rPr>
      <w:rFonts w:ascii="Arno Pro" w:hAnsi="Arno Pro" w:cs="Times New Roman"/>
      <w:b/>
      <w:bCs/>
      <w:kern w:val="22"/>
      <w:sz w:val="15"/>
      <w:szCs w:val="20"/>
      <w:lang w:val="en-US" w:eastAsia="en-US"/>
    </w:rPr>
  </w:style>
  <w:style w:type="character" w:styleId="CommentReference">
    <w:name w:val="annotation reference"/>
    <w:basedOn w:val="DefaultParagraphFont"/>
    <w:uiPriority w:val="99"/>
    <w:semiHidden/>
    <w:unhideWhenUsed/>
    <w:rsid w:val="00A34623"/>
    <w:rPr>
      <w:sz w:val="16"/>
      <w:szCs w:val="16"/>
    </w:rPr>
  </w:style>
  <w:style w:type="paragraph" w:styleId="CommentText">
    <w:name w:val="annotation text"/>
    <w:basedOn w:val="Normal"/>
    <w:link w:val="CommentTextChar"/>
    <w:uiPriority w:val="99"/>
    <w:unhideWhenUsed/>
    <w:rsid w:val="00A34623"/>
    <w:pPr>
      <w:widowControl w:val="0"/>
      <w:spacing w:line="240" w:lineRule="auto"/>
    </w:pPr>
    <w:rPr>
      <w:rFonts w:ascii="DengXian" w:eastAsia="DengXian" w:hAnsi="DengXian" w:cs="Arial"/>
      <w:kern w:val="2"/>
      <w:sz w:val="20"/>
      <w:szCs w:val="20"/>
      <w:lang w:val="en-US"/>
    </w:rPr>
  </w:style>
  <w:style w:type="character" w:customStyle="1" w:styleId="CommentTextChar">
    <w:name w:val="Comment Text Char"/>
    <w:basedOn w:val="DefaultParagraphFont"/>
    <w:link w:val="CommentText"/>
    <w:uiPriority w:val="99"/>
    <w:rsid w:val="00A34623"/>
    <w:rPr>
      <w:rFonts w:ascii="DengXian" w:eastAsia="DengXian" w:hAnsi="DengXian" w:cs="Arial"/>
      <w:kern w:val="2"/>
      <w:sz w:val="20"/>
      <w:szCs w:val="20"/>
      <w:lang w:val="en-US"/>
    </w:rPr>
  </w:style>
  <w:style w:type="character" w:customStyle="1" w:styleId="nlmyear">
    <w:name w:val="nlm_year"/>
    <w:basedOn w:val="DefaultParagraphFont"/>
    <w:rsid w:val="00A34623"/>
  </w:style>
  <w:style w:type="character" w:customStyle="1" w:styleId="nlmvolume">
    <w:name w:val="nlm_volume"/>
    <w:basedOn w:val="DefaultParagraphFont"/>
    <w:rsid w:val="00A34623"/>
  </w:style>
  <w:style w:type="character" w:customStyle="1" w:styleId="nlmfpage">
    <w:name w:val="nlm_fpage"/>
    <w:basedOn w:val="DefaultParagraphFont"/>
    <w:rsid w:val="00A34623"/>
  </w:style>
  <w:style w:type="character" w:customStyle="1" w:styleId="nlmlpage">
    <w:name w:val="nlm_lpage"/>
    <w:basedOn w:val="DefaultParagraphFont"/>
    <w:rsid w:val="00A34623"/>
  </w:style>
  <w:style w:type="paragraph" w:styleId="CommentSubject">
    <w:name w:val="annotation subject"/>
    <w:basedOn w:val="CommentText"/>
    <w:next w:val="CommentText"/>
    <w:link w:val="CommentSubjectChar"/>
    <w:semiHidden/>
    <w:unhideWhenUsed/>
    <w:rsid w:val="00A34623"/>
    <w:pPr>
      <w:widowControl/>
      <w:spacing w:after="200"/>
    </w:pPr>
    <w:rPr>
      <w:rFonts w:ascii="Times" w:eastAsia="Times New Roman" w:hAnsi="Times" w:cs="Times New Roman"/>
      <w:b/>
      <w:bCs/>
      <w:kern w:val="0"/>
      <w:lang w:eastAsia="en-US"/>
    </w:rPr>
  </w:style>
  <w:style w:type="character" w:customStyle="1" w:styleId="CommentSubjectChar">
    <w:name w:val="Comment Subject Char"/>
    <w:basedOn w:val="CommentTextChar"/>
    <w:link w:val="CommentSubject"/>
    <w:semiHidden/>
    <w:rsid w:val="00A34623"/>
    <w:rPr>
      <w:rFonts w:ascii="Times" w:eastAsia="Times New Roman" w:hAnsi="Times" w:cs="Times New Roman"/>
      <w:b/>
      <w:bCs/>
      <w:kern w:val="2"/>
      <w:sz w:val="20"/>
      <w:szCs w:val="20"/>
      <w:lang w:val="en-US" w:eastAsia="en-US"/>
    </w:rPr>
  </w:style>
  <w:style w:type="character" w:customStyle="1" w:styleId="UnresolvedMention1">
    <w:name w:val="Unresolved Mention1"/>
    <w:basedOn w:val="DefaultParagraphFont"/>
    <w:uiPriority w:val="99"/>
    <w:semiHidden/>
    <w:unhideWhenUsed/>
    <w:rsid w:val="00A34623"/>
    <w:rPr>
      <w:color w:val="605E5C"/>
      <w:shd w:val="clear" w:color="auto" w:fill="E1DFDD"/>
    </w:rPr>
  </w:style>
  <w:style w:type="paragraph" w:styleId="Revision">
    <w:name w:val="Revision"/>
    <w:hidden/>
    <w:uiPriority w:val="99"/>
    <w:semiHidden/>
    <w:rsid w:val="00A34623"/>
    <w:pPr>
      <w:spacing w:after="0" w:line="240" w:lineRule="auto"/>
    </w:pPr>
    <w:rPr>
      <w:rFonts w:ascii="Times" w:hAnsi="Times" w:cs="Times New Roman"/>
      <w:sz w:val="24"/>
      <w:szCs w:val="20"/>
      <w:lang w:val="en-US" w:eastAsia="en-US"/>
    </w:rPr>
  </w:style>
  <w:style w:type="table" w:styleId="TableGrid">
    <w:name w:val="Table Grid"/>
    <w:basedOn w:val="TableNormal"/>
    <w:uiPriority w:val="39"/>
    <w:rsid w:val="00A34623"/>
    <w:pPr>
      <w:widowControl w:val="0"/>
      <w:spacing w:after="0" w:line="240" w:lineRule="auto"/>
      <w:jc w:val="both"/>
    </w:pPr>
    <w:rPr>
      <w:kern w:val="2"/>
      <w:sz w:val="21"/>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1">
    <w:name w:val="fontstyle31"/>
    <w:rsid w:val="00A34623"/>
    <w:rPr>
      <w:rFonts w:ascii="TimesNewRomanPS-ItalicMT" w:hAnsi="TimesNewRomanPS-ItalicMT" w:hint="default"/>
      <w:b w:val="0"/>
      <w:bCs w:val="0"/>
      <w:i/>
      <w:iCs/>
      <w:color w:val="000000"/>
      <w:sz w:val="22"/>
      <w:szCs w:val="22"/>
    </w:rPr>
  </w:style>
  <w:style w:type="character" w:customStyle="1" w:styleId="cf01">
    <w:name w:val="cf01"/>
    <w:basedOn w:val="DefaultParagraphFont"/>
    <w:rsid w:val="00A34623"/>
    <w:rPr>
      <w:rFonts w:ascii="Microsoft YaHei UI" w:eastAsia="Microsoft YaHei UI" w:hAnsi="Microsoft YaHei UI" w:hint="eastAsia"/>
      <w:sz w:val="18"/>
      <w:szCs w:val="18"/>
    </w:rPr>
  </w:style>
  <w:style w:type="paragraph" w:styleId="Caption">
    <w:name w:val="caption"/>
    <w:basedOn w:val="Normal"/>
    <w:next w:val="Normal"/>
    <w:uiPriority w:val="35"/>
    <w:unhideWhenUsed/>
    <w:qFormat/>
    <w:rsid w:val="007A03BD"/>
    <w:rPr>
      <w:rFonts w:asciiTheme="majorHAnsi" w:hAnsiTheme="majorHAnsi" w:cstheme="majorBidi"/>
      <w:sz w:val="20"/>
      <w:szCs w:val="20"/>
    </w:rPr>
  </w:style>
  <w:style w:type="paragraph" w:styleId="TOC1">
    <w:name w:val="toc 1"/>
    <w:basedOn w:val="Normal"/>
    <w:next w:val="Normal"/>
    <w:autoRedefine/>
    <w:uiPriority w:val="39"/>
    <w:unhideWhenUsed/>
    <w:rsid w:val="00ED2BB9"/>
    <w:pPr>
      <w:spacing w:after="100"/>
    </w:pPr>
  </w:style>
  <w:style w:type="paragraph" w:styleId="TOC2">
    <w:name w:val="toc 2"/>
    <w:basedOn w:val="Normal"/>
    <w:next w:val="Normal"/>
    <w:autoRedefine/>
    <w:uiPriority w:val="39"/>
    <w:unhideWhenUsed/>
    <w:rsid w:val="00490BBB"/>
    <w:pPr>
      <w:spacing w:after="100"/>
      <w:ind w:left="240"/>
    </w:pPr>
  </w:style>
  <w:style w:type="paragraph" w:styleId="Date">
    <w:name w:val="Date"/>
    <w:basedOn w:val="Normal"/>
    <w:next w:val="Normal"/>
    <w:link w:val="DateChar"/>
    <w:uiPriority w:val="99"/>
    <w:semiHidden/>
    <w:unhideWhenUsed/>
    <w:rsid w:val="0048092F"/>
  </w:style>
  <w:style w:type="character" w:customStyle="1" w:styleId="DateChar">
    <w:name w:val="Date Char"/>
    <w:basedOn w:val="DefaultParagraphFont"/>
    <w:link w:val="Date"/>
    <w:uiPriority w:val="99"/>
    <w:semiHidden/>
    <w:rsid w:val="0048092F"/>
    <w:rPr>
      <w:rFonts w:ascii="Times New Roman" w:eastAsia="Times New Roman" w:hAnsi="Times New Roman"/>
      <w:sz w:val="24"/>
    </w:rPr>
  </w:style>
  <w:style w:type="character" w:styleId="UnresolvedMention">
    <w:name w:val="Unresolved Mention"/>
    <w:basedOn w:val="DefaultParagraphFont"/>
    <w:uiPriority w:val="99"/>
    <w:semiHidden/>
    <w:unhideWhenUsed/>
    <w:rsid w:val="001D0C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61366">
      <w:bodyDiv w:val="1"/>
      <w:marLeft w:val="0"/>
      <w:marRight w:val="0"/>
      <w:marTop w:val="0"/>
      <w:marBottom w:val="0"/>
      <w:divBdr>
        <w:top w:val="none" w:sz="0" w:space="0" w:color="auto"/>
        <w:left w:val="none" w:sz="0" w:space="0" w:color="auto"/>
        <w:bottom w:val="none" w:sz="0" w:space="0" w:color="auto"/>
        <w:right w:val="none" w:sz="0" w:space="0" w:color="auto"/>
      </w:divBdr>
    </w:div>
    <w:div w:id="73356645">
      <w:bodyDiv w:val="1"/>
      <w:marLeft w:val="0"/>
      <w:marRight w:val="0"/>
      <w:marTop w:val="0"/>
      <w:marBottom w:val="0"/>
      <w:divBdr>
        <w:top w:val="none" w:sz="0" w:space="0" w:color="auto"/>
        <w:left w:val="none" w:sz="0" w:space="0" w:color="auto"/>
        <w:bottom w:val="none" w:sz="0" w:space="0" w:color="auto"/>
        <w:right w:val="none" w:sz="0" w:space="0" w:color="auto"/>
      </w:divBdr>
    </w:div>
    <w:div w:id="264577189">
      <w:bodyDiv w:val="1"/>
      <w:marLeft w:val="0"/>
      <w:marRight w:val="0"/>
      <w:marTop w:val="0"/>
      <w:marBottom w:val="0"/>
      <w:divBdr>
        <w:top w:val="none" w:sz="0" w:space="0" w:color="auto"/>
        <w:left w:val="none" w:sz="0" w:space="0" w:color="auto"/>
        <w:bottom w:val="none" w:sz="0" w:space="0" w:color="auto"/>
        <w:right w:val="none" w:sz="0" w:space="0" w:color="auto"/>
      </w:divBdr>
    </w:div>
    <w:div w:id="349840235">
      <w:bodyDiv w:val="1"/>
      <w:marLeft w:val="0"/>
      <w:marRight w:val="0"/>
      <w:marTop w:val="0"/>
      <w:marBottom w:val="0"/>
      <w:divBdr>
        <w:top w:val="none" w:sz="0" w:space="0" w:color="auto"/>
        <w:left w:val="none" w:sz="0" w:space="0" w:color="auto"/>
        <w:bottom w:val="none" w:sz="0" w:space="0" w:color="auto"/>
        <w:right w:val="none" w:sz="0" w:space="0" w:color="auto"/>
      </w:divBdr>
    </w:div>
    <w:div w:id="375197822">
      <w:bodyDiv w:val="1"/>
      <w:marLeft w:val="0"/>
      <w:marRight w:val="0"/>
      <w:marTop w:val="0"/>
      <w:marBottom w:val="0"/>
      <w:divBdr>
        <w:top w:val="none" w:sz="0" w:space="0" w:color="auto"/>
        <w:left w:val="none" w:sz="0" w:space="0" w:color="auto"/>
        <w:bottom w:val="none" w:sz="0" w:space="0" w:color="auto"/>
        <w:right w:val="none" w:sz="0" w:space="0" w:color="auto"/>
      </w:divBdr>
    </w:div>
    <w:div w:id="448357522">
      <w:bodyDiv w:val="1"/>
      <w:marLeft w:val="0"/>
      <w:marRight w:val="0"/>
      <w:marTop w:val="0"/>
      <w:marBottom w:val="0"/>
      <w:divBdr>
        <w:top w:val="none" w:sz="0" w:space="0" w:color="auto"/>
        <w:left w:val="none" w:sz="0" w:space="0" w:color="auto"/>
        <w:bottom w:val="none" w:sz="0" w:space="0" w:color="auto"/>
        <w:right w:val="none" w:sz="0" w:space="0" w:color="auto"/>
      </w:divBdr>
    </w:div>
    <w:div w:id="544491058">
      <w:bodyDiv w:val="1"/>
      <w:marLeft w:val="0"/>
      <w:marRight w:val="0"/>
      <w:marTop w:val="0"/>
      <w:marBottom w:val="0"/>
      <w:divBdr>
        <w:top w:val="none" w:sz="0" w:space="0" w:color="auto"/>
        <w:left w:val="none" w:sz="0" w:space="0" w:color="auto"/>
        <w:bottom w:val="none" w:sz="0" w:space="0" w:color="auto"/>
        <w:right w:val="none" w:sz="0" w:space="0" w:color="auto"/>
      </w:divBdr>
    </w:div>
    <w:div w:id="602496364">
      <w:bodyDiv w:val="1"/>
      <w:marLeft w:val="0"/>
      <w:marRight w:val="0"/>
      <w:marTop w:val="0"/>
      <w:marBottom w:val="0"/>
      <w:divBdr>
        <w:top w:val="none" w:sz="0" w:space="0" w:color="auto"/>
        <w:left w:val="none" w:sz="0" w:space="0" w:color="auto"/>
        <w:bottom w:val="none" w:sz="0" w:space="0" w:color="auto"/>
        <w:right w:val="none" w:sz="0" w:space="0" w:color="auto"/>
      </w:divBdr>
    </w:div>
    <w:div w:id="688798468">
      <w:bodyDiv w:val="1"/>
      <w:marLeft w:val="0"/>
      <w:marRight w:val="0"/>
      <w:marTop w:val="0"/>
      <w:marBottom w:val="0"/>
      <w:divBdr>
        <w:top w:val="none" w:sz="0" w:space="0" w:color="auto"/>
        <w:left w:val="none" w:sz="0" w:space="0" w:color="auto"/>
        <w:bottom w:val="none" w:sz="0" w:space="0" w:color="auto"/>
        <w:right w:val="none" w:sz="0" w:space="0" w:color="auto"/>
      </w:divBdr>
    </w:div>
    <w:div w:id="791635653">
      <w:bodyDiv w:val="1"/>
      <w:marLeft w:val="0"/>
      <w:marRight w:val="0"/>
      <w:marTop w:val="0"/>
      <w:marBottom w:val="0"/>
      <w:divBdr>
        <w:top w:val="none" w:sz="0" w:space="0" w:color="auto"/>
        <w:left w:val="none" w:sz="0" w:space="0" w:color="auto"/>
        <w:bottom w:val="none" w:sz="0" w:space="0" w:color="auto"/>
        <w:right w:val="none" w:sz="0" w:space="0" w:color="auto"/>
      </w:divBdr>
    </w:div>
    <w:div w:id="848102177">
      <w:bodyDiv w:val="1"/>
      <w:marLeft w:val="0"/>
      <w:marRight w:val="0"/>
      <w:marTop w:val="0"/>
      <w:marBottom w:val="0"/>
      <w:divBdr>
        <w:top w:val="none" w:sz="0" w:space="0" w:color="auto"/>
        <w:left w:val="none" w:sz="0" w:space="0" w:color="auto"/>
        <w:bottom w:val="none" w:sz="0" w:space="0" w:color="auto"/>
        <w:right w:val="none" w:sz="0" w:space="0" w:color="auto"/>
      </w:divBdr>
    </w:div>
    <w:div w:id="869299907">
      <w:bodyDiv w:val="1"/>
      <w:marLeft w:val="0"/>
      <w:marRight w:val="0"/>
      <w:marTop w:val="0"/>
      <w:marBottom w:val="0"/>
      <w:divBdr>
        <w:top w:val="none" w:sz="0" w:space="0" w:color="auto"/>
        <w:left w:val="none" w:sz="0" w:space="0" w:color="auto"/>
        <w:bottom w:val="none" w:sz="0" w:space="0" w:color="auto"/>
        <w:right w:val="none" w:sz="0" w:space="0" w:color="auto"/>
      </w:divBdr>
    </w:div>
    <w:div w:id="917981071">
      <w:bodyDiv w:val="1"/>
      <w:marLeft w:val="0"/>
      <w:marRight w:val="0"/>
      <w:marTop w:val="0"/>
      <w:marBottom w:val="0"/>
      <w:divBdr>
        <w:top w:val="none" w:sz="0" w:space="0" w:color="auto"/>
        <w:left w:val="none" w:sz="0" w:space="0" w:color="auto"/>
        <w:bottom w:val="none" w:sz="0" w:space="0" w:color="auto"/>
        <w:right w:val="none" w:sz="0" w:space="0" w:color="auto"/>
      </w:divBdr>
    </w:div>
    <w:div w:id="971440999">
      <w:bodyDiv w:val="1"/>
      <w:marLeft w:val="0"/>
      <w:marRight w:val="0"/>
      <w:marTop w:val="0"/>
      <w:marBottom w:val="0"/>
      <w:divBdr>
        <w:top w:val="none" w:sz="0" w:space="0" w:color="auto"/>
        <w:left w:val="none" w:sz="0" w:space="0" w:color="auto"/>
        <w:bottom w:val="none" w:sz="0" w:space="0" w:color="auto"/>
        <w:right w:val="none" w:sz="0" w:space="0" w:color="auto"/>
      </w:divBdr>
    </w:div>
    <w:div w:id="992026667">
      <w:bodyDiv w:val="1"/>
      <w:marLeft w:val="0"/>
      <w:marRight w:val="0"/>
      <w:marTop w:val="0"/>
      <w:marBottom w:val="0"/>
      <w:divBdr>
        <w:top w:val="none" w:sz="0" w:space="0" w:color="auto"/>
        <w:left w:val="none" w:sz="0" w:space="0" w:color="auto"/>
        <w:bottom w:val="none" w:sz="0" w:space="0" w:color="auto"/>
        <w:right w:val="none" w:sz="0" w:space="0" w:color="auto"/>
      </w:divBdr>
    </w:div>
    <w:div w:id="995451543">
      <w:bodyDiv w:val="1"/>
      <w:marLeft w:val="0"/>
      <w:marRight w:val="0"/>
      <w:marTop w:val="0"/>
      <w:marBottom w:val="0"/>
      <w:divBdr>
        <w:top w:val="none" w:sz="0" w:space="0" w:color="auto"/>
        <w:left w:val="none" w:sz="0" w:space="0" w:color="auto"/>
        <w:bottom w:val="none" w:sz="0" w:space="0" w:color="auto"/>
        <w:right w:val="none" w:sz="0" w:space="0" w:color="auto"/>
      </w:divBdr>
    </w:div>
    <w:div w:id="1070538344">
      <w:bodyDiv w:val="1"/>
      <w:marLeft w:val="0"/>
      <w:marRight w:val="0"/>
      <w:marTop w:val="0"/>
      <w:marBottom w:val="0"/>
      <w:divBdr>
        <w:top w:val="none" w:sz="0" w:space="0" w:color="auto"/>
        <w:left w:val="none" w:sz="0" w:space="0" w:color="auto"/>
        <w:bottom w:val="none" w:sz="0" w:space="0" w:color="auto"/>
        <w:right w:val="none" w:sz="0" w:space="0" w:color="auto"/>
      </w:divBdr>
    </w:div>
    <w:div w:id="1183594908">
      <w:bodyDiv w:val="1"/>
      <w:marLeft w:val="0"/>
      <w:marRight w:val="0"/>
      <w:marTop w:val="0"/>
      <w:marBottom w:val="0"/>
      <w:divBdr>
        <w:top w:val="none" w:sz="0" w:space="0" w:color="auto"/>
        <w:left w:val="none" w:sz="0" w:space="0" w:color="auto"/>
        <w:bottom w:val="none" w:sz="0" w:space="0" w:color="auto"/>
        <w:right w:val="none" w:sz="0" w:space="0" w:color="auto"/>
      </w:divBdr>
    </w:div>
    <w:div w:id="1207137639">
      <w:bodyDiv w:val="1"/>
      <w:marLeft w:val="0"/>
      <w:marRight w:val="0"/>
      <w:marTop w:val="0"/>
      <w:marBottom w:val="0"/>
      <w:divBdr>
        <w:top w:val="none" w:sz="0" w:space="0" w:color="auto"/>
        <w:left w:val="none" w:sz="0" w:space="0" w:color="auto"/>
        <w:bottom w:val="none" w:sz="0" w:space="0" w:color="auto"/>
        <w:right w:val="none" w:sz="0" w:space="0" w:color="auto"/>
      </w:divBdr>
    </w:div>
    <w:div w:id="1211186502">
      <w:bodyDiv w:val="1"/>
      <w:marLeft w:val="0"/>
      <w:marRight w:val="0"/>
      <w:marTop w:val="0"/>
      <w:marBottom w:val="0"/>
      <w:divBdr>
        <w:top w:val="none" w:sz="0" w:space="0" w:color="auto"/>
        <w:left w:val="none" w:sz="0" w:space="0" w:color="auto"/>
        <w:bottom w:val="none" w:sz="0" w:space="0" w:color="auto"/>
        <w:right w:val="none" w:sz="0" w:space="0" w:color="auto"/>
      </w:divBdr>
    </w:div>
    <w:div w:id="1212572478">
      <w:bodyDiv w:val="1"/>
      <w:marLeft w:val="0"/>
      <w:marRight w:val="0"/>
      <w:marTop w:val="0"/>
      <w:marBottom w:val="0"/>
      <w:divBdr>
        <w:top w:val="none" w:sz="0" w:space="0" w:color="auto"/>
        <w:left w:val="none" w:sz="0" w:space="0" w:color="auto"/>
        <w:bottom w:val="none" w:sz="0" w:space="0" w:color="auto"/>
        <w:right w:val="none" w:sz="0" w:space="0" w:color="auto"/>
      </w:divBdr>
    </w:div>
    <w:div w:id="1226454887">
      <w:bodyDiv w:val="1"/>
      <w:marLeft w:val="0"/>
      <w:marRight w:val="0"/>
      <w:marTop w:val="0"/>
      <w:marBottom w:val="0"/>
      <w:divBdr>
        <w:top w:val="none" w:sz="0" w:space="0" w:color="auto"/>
        <w:left w:val="none" w:sz="0" w:space="0" w:color="auto"/>
        <w:bottom w:val="none" w:sz="0" w:space="0" w:color="auto"/>
        <w:right w:val="none" w:sz="0" w:space="0" w:color="auto"/>
      </w:divBdr>
    </w:div>
    <w:div w:id="1288463506">
      <w:bodyDiv w:val="1"/>
      <w:marLeft w:val="0"/>
      <w:marRight w:val="0"/>
      <w:marTop w:val="0"/>
      <w:marBottom w:val="0"/>
      <w:divBdr>
        <w:top w:val="none" w:sz="0" w:space="0" w:color="auto"/>
        <w:left w:val="none" w:sz="0" w:space="0" w:color="auto"/>
        <w:bottom w:val="none" w:sz="0" w:space="0" w:color="auto"/>
        <w:right w:val="none" w:sz="0" w:space="0" w:color="auto"/>
      </w:divBdr>
    </w:div>
    <w:div w:id="1600989256">
      <w:bodyDiv w:val="1"/>
      <w:marLeft w:val="0"/>
      <w:marRight w:val="0"/>
      <w:marTop w:val="0"/>
      <w:marBottom w:val="0"/>
      <w:divBdr>
        <w:top w:val="none" w:sz="0" w:space="0" w:color="auto"/>
        <w:left w:val="none" w:sz="0" w:space="0" w:color="auto"/>
        <w:bottom w:val="none" w:sz="0" w:space="0" w:color="auto"/>
        <w:right w:val="none" w:sz="0" w:space="0" w:color="auto"/>
      </w:divBdr>
    </w:div>
    <w:div w:id="1622806267">
      <w:bodyDiv w:val="1"/>
      <w:marLeft w:val="0"/>
      <w:marRight w:val="0"/>
      <w:marTop w:val="0"/>
      <w:marBottom w:val="0"/>
      <w:divBdr>
        <w:top w:val="none" w:sz="0" w:space="0" w:color="auto"/>
        <w:left w:val="none" w:sz="0" w:space="0" w:color="auto"/>
        <w:bottom w:val="none" w:sz="0" w:space="0" w:color="auto"/>
        <w:right w:val="none" w:sz="0" w:space="0" w:color="auto"/>
      </w:divBdr>
    </w:div>
    <w:div w:id="1669820965">
      <w:bodyDiv w:val="1"/>
      <w:marLeft w:val="0"/>
      <w:marRight w:val="0"/>
      <w:marTop w:val="0"/>
      <w:marBottom w:val="0"/>
      <w:divBdr>
        <w:top w:val="none" w:sz="0" w:space="0" w:color="auto"/>
        <w:left w:val="none" w:sz="0" w:space="0" w:color="auto"/>
        <w:bottom w:val="none" w:sz="0" w:space="0" w:color="auto"/>
        <w:right w:val="none" w:sz="0" w:space="0" w:color="auto"/>
      </w:divBdr>
    </w:div>
    <w:div w:id="1748500940">
      <w:bodyDiv w:val="1"/>
      <w:marLeft w:val="0"/>
      <w:marRight w:val="0"/>
      <w:marTop w:val="0"/>
      <w:marBottom w:val="0"/>
      <w:divBdr>
        <w:top w:val="none" w:sz="0" w:space="0" w:color="auto"/>
        <w:left w:val="none" w:sz="0" w:space="0" w:color="auto"/>
        <w:bottom w:val="none" w:sz="0" w:space="0" w:color="auto"/>
        <w:right w:val="none" w:sz="0" w:space="0" w:color="auto"/>
      </w:divBdr>
    </w:div>
    <w:div w:id="1826629402">
      <w:bodyDiv w:val="1"/>
      <w:marLeft w:val="0"/>
      <w:marRight w:val="0"/>
      <w:marTop w:val="0"/>
      <w:marBottom w:val="0"/>
      <w:divBdr>
        <w:top w:val="none" w:sz="0" w:space="0" w:color="auto"/>
        <w:left w:val="none" w:sz="0" w:space="0" w:color="auto"/>
        <w:bottom w:val="none" w:sz="0" w:space="0" w:color="auto"/>
        <w:right w:val="none" w:sz="0" w:space="0" w:color="auto"/>
      </w:divBdr>
    </w:div>
    <w:div w:id="1947157488">
      <w:bodyDiv w:val="1"/>
      <w:marLeft w:val="0"/>
      <w:marRight w:val="0"/>
      <w:marTop w:val="0"/>
      <w:marBottom w:val="0"/>
      <w:divBdr>
        <w:top w:val="none" w:sz="0" w:space="0" w:color="auto"/>
        <w:left w:val="none" w:sz="0" w:space="0" w:color="auto"/>
        <w:bottom w:val="none" w:sz="0" w:space="0" w:color="auto"/>
        <w:right w:val="none" w:sz="0" w:space="0" w:color="auto"/>
      </w:divBdr>
    </w:div>
    <w:div w:id="2015254172">
      <w:bodyDiv w:val="1"/>
      <w:marLeft w:val="0"/>
      <w:marRight w:val="0"/>
      <w:marTop w:val="0"/>
      <w:marBottom w:val="0"/>
      <w:divBdr>
        <w:top w:val="none" w:sz="0" w:space="0" w:color="auto"/>
        <w:left w:val="none" w:sz="0" w:space="0" w:color="auto"/>
        <w:bottom w:val="none" w:sz="0" w:space="0" w:color="auto"/>
        <w:right w:val="none" w:sz="0" w:space="0" w:color="auto"/>
      </w:divBdr>
    </w:div>
    <w:div w:id="2018384979">
      <w:bodyDiv w:val="1"/>
      <w:marLeft w:val="0"/>
      <w:marRight w:val="0"/>
      <w:marTop w:val="0"/>
      <w:marBottom w:val="0"/>
      <w:divBdr>
        <w:top w:val="none" w:sz="0" w:space="0" w:color="auto"/>
        <w:left w:val="none" w:sz="0" w:space="0" w:color="auto"/>
        <w:bottom w:val="none" w:sz="0" w:space="0" w:color="auto"/>
        <w:right w:val="none" w:sz="0" w:space="0" w:color="auto"/>
      </w:divBdr>
    </w:div>
    <w:div w:id="2021546770">
      <w:bodyDiv w:val="1"/>
      <w:marLeft w:val="0"/>
      <w:marRight w:val="0"/>
      <w:marTop w:val="0"/>
      <w:marBottom w:val="0"/>
      <w:divBdr>
        <w:top w:val="none" w:sz="0" w:space="0" w:color="auto"/>
        <w:left w:val="none" w:sz="0" w:space="0" w:color="auto"/>
        <w:bottom w:val="none" w:sz="0" w:space="0" w:color="auto"/>
        <w:right w:val="none" w:sz="0" w:space="0" w:color="auto"/>
      </w:divBdr>
    </w:div>
    <w:div w:id="2032757261">
      <w:bodyDiv w:val="1"/>
      <w:marLeft w:val="0"/>
      <w:marRight w:val="0"/>
      <w:marTop w:val="0"/>
      <w:marBottom w:val="0"/>
      <w:divBdr>
        <w:top w:val="none" w:sz="0" w:space="0" w:color="auto"/>
        <w:left w:val="none" w:sz="0" w:space="0" w:color="auto"/>
        <w:bottom w:val="none" w:sz="0" w:space="0" w:color="auto"/>
        <w:right w:val="none" w:sz="0" w:space="0" w:color="auto"/>
      </w:divBdr>
    </w:div>
    <w:div w:id="2103261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oleObject" Target="embeddings/oleObject3.bin"/><Relationship Id="rId26" Type="http://schemas.openxmlformats.org/officeDocument/2006/relationships/image" Target="media/image12.emf"/><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5.emf"/><Relationship Id="rId25" Type="http://schemas.openxmlformats.org/officeDocument/2006/relationships/oleObject" Target="embeddings/oleObject4.bin"/><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image" Target="media/image11.emf"/><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0.png"/><Relationship Id="rId28" Type="http://schemas.openxmlformats.org/officeDocument/2006/relationships/image" Target="media/image13.png"/><Relationship Id="rId10" Type="http://schemas.openxmlformats.org/officeDocument/2006/relationships/endnotes" Target="endnotes.xml"/><Relationship Id="rId19" Type="http://schemas.openxmlformats.org/officeDocument/2006/relationships/image" Target="media/image6.png"/><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2.bin"/><Relationship Id="rId22" Type="http://schemas.openxmlformats.org/officeDocument/2006/relationships/image" Target="media/image9.png"/><Relationship Id="rId27" Type="http://schemas.openxmlformats.org/officeDocument/2006/relationships/oleObject" Target="embeddings/oleObject5.bin"/><Relationship Id="rId30" Type="http://schemas.openxmlformats.org/officeDocument/2006/relationships/image" Target="media/image15.png"/><Relationship Id="rId8"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9D959B2D8FA5C4980890EF71530081A" ma:contentTypeVersion="15" ma:contentTypeDescription="Create a new document." ma:contentTypeScope="" ma:versionID="4e5d9cabe4d6125910c87545ccded773">
  <xsd:schema xmlns:xsd="http://www.w3.org/2001/XMLSchema" xmlns:xs="http://www.w3.org/2001/XMLSchema" xmlns:p="http://schemas.microsoft.com/office/2006/metadata/properties" xmlns:ns3="1ff86b73-d2ed-45d1-9e31-5b4a0d263f49" xmlns:ns4="917767b3-d7cc-4621-8ad9-27e46fe3c43e" targetNamespace="http://schemas.microsoft.com/office/2006/metadata/properties" ma:root="true" ma:fieldsID="cddad573523b583d64c49a68255887a8" ns3:_="" ns4:_="">
    <xsd:import namespace="1ff86b73-d2ed-45d1-9e31-5b4a0d263f49"/>
    <xsd:import namespace="917767b3-d7cc-4621-8ad9-27e46fe3c43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f86b73-d2ed-45d1-9e31-5b4a0d263f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7767b3-d7cc-4621-8ad9-27e46fe3c43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1ff86b73-d2ed-45d1-9e31-5b4a0d263f4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E18EE5-5A4F-4959-96F4-DED298A3AB7B}">
  <ds:schemaRefs>
    <ds:schemaRef ds:uri="http://schemas.microsoft.com/sharepoint/v3/contenttype/forms"/>
  </ds:schemaRefs>
</ds:datastoreItem>
</file>

<file path=customXml/itemProps2.xml><?xml version="1.0" encoding="utf-8"?>
<ds:datastoreItem xmlns:ds="http://schemas.openxmlformats.org/officeDocument/2006/customXml" ds:itemID="{163D08C4-1603-45E5-AB6F-34DB7993D8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f86b73-d2ed-45d1-9e31-5b4a0d263f49"/>
    <ds:schemaRef ds:uri="917767b3-d7cc-4621-8ad9-27e46fe3c4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622590-496C-4A26-A1E1-5D052773D671}">
  <ds:schemaRefs>
    <ds:schemaRef ds:uri="http://schemas.microsoft.com/office/2006/metadata/properties"/>
    <ds:schemaRef ds:uri="http://schemas.microsoft.com/office/infopath/2007/PartnerControls"/>
    <ds:schemaRef ds:uri="1ff86b73-d2ed-45d1-9e31-5b4a0d263f49"/>
  </ds:schemaRefs>
</ds:datastoreItem>
</file>

<file path=customXml/itemProps4.xml><?xml version="1.0" encoding="utf-8"?>
<ds:datastoreItem xmlns:ds="http://schemas.openxmlformats.org/officeDocument/2006/customXml" ds:itemID="{4172D8DF-47ED-4B06-B5E5-9C86EE0BE7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18</Pages>
  <Words>2188</Words>
  <Characters>11599</Characters>
  <Application>Microsoft Office Word</Application>
  <DocSecurity>0</DocSecurity>
  <Lines>459</Lines>
  <Paragraphs>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Qiang</dc:creator>
  <cp:keywords/>
  <dc:description/>
  <cp:lastModifiedBy>Zhu, Qiang [zhuq2020]</cp:lastModifiedBy>
  <cp:revision>16</cp:revision>
  <cp:lastPrinted>2023-08-24T08:00:00Z</cp:lastPrinted>
  <dcterms:created xsi:type="dcterms:W3CDTF">2023-10-25T09:27:00Z</dcterms:created>
  <dcterms:modified xsi:type="dcterms:W3CDTF">2023-10-25T17:28:00Z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http://www.zotero.org/styles/nature</vt:lpwstr>
  </property>
  <property fmtid="{D5CDD505-2E9C-101B-9397-08002B2CF9AE}" pid="4" name="Mendeley Unique User Id_1">
    <vt:lpwstr>3c094be4-43f7-30e4-bf75-a2445680e0fc</vt:lpwstr>
  </property>
  <property fmtid="{D5CDD505-2E9C-101B-9397-08002B2CF9AE}" pid="5" name="Mendeley Recent Style Id 0_1">
    <vt:lpwstr>http://csl.mendeley.com/styles/625789841/ACS-QIANG-2</vt:lpwstr>
  </property>
  <property fmtid="{D5CDD505-2E9C-101B-9397-08002B2CF9AE}" pid="6" name="Mendeley Recent Style Name 0_1">
    <vt:lpwstr>American Chemical Society - QIANG  ZHU</vt:lpwstr>
  </property>
  <property fmtid="{D5CDD505-2E9C-101B-9397-08002B2CF9AE}" pid="7" name="Mendeley Recent Style Id 1_1">
    <vt:lpwstr>http://csl.mendeley.com/styles/643298541/american-chemical-society-2</vt:lpwstr>
  </property>
  <property fmtid="{D5CDD505-2E9C-101B-9397-08002B2CF9AE}" pid="8" name="Mendeley Recent Style Name 1_1">
    <vt:lpwstr>American Chemical Society - qiang zhu</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12th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9th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GrammarlyDocumentId">
    <vt:lpwstr>a2c77275d39793098a9b386ff788bce7964019f5f521c8d266d93770cf87514c</vt:lpwstr>
  </property>
  <property fmtid="{D5CDD505-2E9C-101B-9397-08002B2CF9AE}" pid="26" name="ContentTypeId">
    <vt:lpwstr>0x010100D9D959B2D8FA5C4980890EF71530081A</vt:lpwstr>
  </property>
</Properties>
</file>