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4AF9C5" w14:textId="77777777" w:rsidR="00236257" w:rsidRDefault="00236257" w:rsidP="00236257">
      <w:pPr>
        <w:pStyle w:val="Title"/>
      </w:pPr>
      <w:r>
        <w:t>Supplemental Information</w:t>
      </w:r>
    </w:p>
    <w:p w14:paraId="1F5CF620" w14:textId="77777777" w:rsidR="00236257" w:rsidRDefault="00236257" w:rsidP="00236257">
      <w:pPr>
        <w:pStyle w:val="Heading1"/>
      </w:pPr>
      <w:r>
        <w:t>Supplemental Methods</w:t>
      </w:r>
    </w:p>
    <w:p w14:paraId="4C5AF142" w14:textId="77777777" w:rsidR="00236257" w:rsidRDefault="00236257" w:rsidP="00236257">
      <w:pPr>
        <w:pStyle w:val="Heading2"/>
        <w:rPr>
          <w:rStyle w:val="Heading1Char"/>
          <w:b w:val="0"/>
          <w:bCs w:val="0"/>
          <w:lang w:val="en-GB"/>
        </w:rPr>
      </w:pPr>
      <w:r>
        <w:rPr>
          <w:rStyle w:val="Heading1Char"/>
          <w:lang w:val="en-GB"/>
        </w:rPr>
        <w:t>Animal keeping and phenotype measurements</w:t>
      </w:r>
    </w:p>
    <w:p w14:paraId="57E63D54" w14:textId="77777777" w:rsidR="00236257" w:rsidRDefault="00236257" w:rsidP="00236257">
      <w:pPr>
        <w:rPr>
          <w:rStyle w:val="Heading1Char"/>
          <w:b w:val="0"/>
          <w:bCs w:val="0"/>
          <w:lang w:val="en-GB"/>
        </w:rPr>
      </w:pPr>
      <w:r>
        <w:rPr>
          <w:rStyle w:val="Heading1Char"/>
          <w:lang w:val="en-GB"/>
        </w:rPr>
        <w:t xml:space="preserve">Male and female C57BL/6NTac mice (transferred to the Institute for Laboratory Animal Breeding, Leipzig, Germany, in 2007) were purchased from Taconic (Taconic, Denmark). This inbred stock is characterized by a black appearance, and high success of diet induced obesity. Mice were maintained under specific pathogen-free conditions in the closed barrier facility of the Institute in Leipzig at 23 °C, 50% humidity and with a 12 h light/dark cycle (lights on at 6 AM). All animals had free access to their specific rodent diet and water </w:t>
      </w:r>
      <w:r>
        <w:rPr>
          <w:rStyle w:val="Heading1Char"/>
          <w:iCs/>
          <w:lang w:val="en-GB"/>
        </w:rPr>
        <w:t>ad libitum</w:t>
      </w:r>
      <w:r>
        <w:rPr>
          <w:rStyle w:val="Heading1Char"/>
          <w:lang w:val="en-GB"/>
        </w:rPr>
        <w:t>.</w:t>
      </w:r>
    </w:p>
    <w:p w14:paraId="36CB9CE1" w14:textId="77777777" w:rsidR="00236257" w:rsidRDefault="00236257" w:rsidP="00236257">
      <w:pPr>
        <w:pStyle w:val="Heading2"/>
        <w:rPr>
          <w:lang w:val="en-GB"/>
        </w:rPr>
      </w:pPr>
      <w:r>
        <w:rPr>
          <w:rStyle w:val="Heading1Char"/>
          <w:lang w:val="en-GB"/>
        </w:rPr>
        <w:t>Transcriptome data acquisition</w:t>
      </w:r>
    </w:p>
    <w:p w14:paraId="3C4E23A7" w14:textId="77777777" w:rsidR="00236257" w:rsidRDefault="00236257" w:rsidP="00236257">
      <w:pPr>
        <w:rPr>
          <w:lang w:val="en-GB"/>
        </w:rPr>
      </w:pPr>
      <w:r>
        <w:rPr>
          <w:rStyle w:val="Heading1Char"/>
          <w:lang w:val="en-GB"/>
        </w:rPr>
        <w:t xml:space="preserve">We isolated </w:t>
      </w:r>
      <w:r>
        <w:rPr>
          <w:lang w:val="en-GB"/>
        </w:rPr>
        <w:t xml:space="preserve">total RNA from frozen tissue using </w:t>
      </w:r>
      <w:r w:rsidRPr="00555F8D">
        <w:rPr>
          <w:lang w:val="en-GB"/>
        </w:rPr>
        <w:t>guanidinium thiocyanate</w:t>
      </w:r>
      <w:r>
        <w:rPr>
          <w:lang w:val="en-GB"/>
        </w:rPr>
        <w:t xml:space="preserve"> and phenol</w:t>
      </w:r>
      <w:r w:rsidRPr="00555F8D">
        <w:rPr>
          <w:lang w:val="en-GB"/>
        </w:rPr>
        <w:t xml:space="preserve"> </w:t>
      </w:r>
      <w:r>
        <w:rPr>
          <w:lang w:val="en-GB"/>
        </w:rPr>
        <w:t>(TRIzol, Life Technologies, Grand Island, NY, USA) according to the manufacturer’s instructions. E</w:t>
      </w:r>
      <w:r>
        <w:rPr>
          <w:rFonts w:eastAsiaTheme="minorEastAsia"/>
          <w:lang w:val="en-GB"/>
        </w:rPr>
        <w:t>xpression levels of over 20</w:t>
      </w:r>
      <w:r>
        <w:rPr>
          <w:lang w:val="en-GB"/>
        </w:rPr>
        <w:t> </w:t>
      </w:r>
      <w:r>
        <w:rPr>
          <w:rFonts w:eastAsiaTheme="minorEastAsia"/>
          <w:lang w:val="en-GB"/>
        </w:rPr>
        <w:t>000 genes we</w:t>
      </w:r>
      <w:r>
        <w:rPr>
          <w:lang w:val="en-GB"/>
        </w:rPr>
        <w:t>re then assessed in transcriptome-wide gene-level expression profiling using</w:t>
      </w:r>
      <w:r>
        <w:rPr>
          <w:rFonts w:eastAsiaTheme="minorEastAsia"/>
          <w:lang w:val="en-GB"/>
        </w:rPr>
        <w:t xml:space="preserve"> Clariom S mouse assays (Applied Biosystems, Thermo Fisher Scientific, Waltham, MS, USA).</w:t>
      </w:r>
      <w:r>
        <w:rPr>
          <w:rFonts w:ascii="Times" w:hAnsi="Times"/>
          <w:bCs/>
          <w:i/>
          <w:iCs/>
          <w:spacing w:val="5"/>
          <w:szCs w:val="36"/>
          <w:lang w:val="en-GB"/>
        </w:rPr>
        <w:t xml:space="preserve"> </w:t>
      </w:r>
      <w:r>
        <w:rPr>
          <w:rFonts w:ascii="Times" w:hAnsi="Times"/>
          <w:bCs/>
          <w:spacing w:val="5"/>
          <w:szCs w:val="36"/>
          <w:lang w:val="en-GB"/>
        </w:rPr>
        <w:t xml:space="preserve">After sequencing, </w:t>
      </w:r>
      <w:r>
        <w:rPr>
          <w:lang w:val="en-GB"/>
        </w:rPr>
        <w:t xml:space="preserve">we background-corrected and quantile-normalized expression data using the Robust Multichip Average provided by R package </w:t>
      </w:r>
      <w:r w:rsidRPr="00961587">
        <w:rPr>
          <w:i/>
          <w:iCs/>
          <w:lang w:val="en-GB"/>
        </w:rPr>
        <w:t>oligo</w:t>
      </w:r>
      <w:r>
        <w:rPr>
          <w:lang w:val="en-GB"/>
        </w:rPr>
        <w:t xml:space="preserve"> </w:t>
      </w:r>
      <w:r>
        <w:rPr>
          <w:rFonts w:eastAsiaTheme="minorEastAsia"/>
          <w:lang w:val="en-GB"/>
        </w:rPr>
        <w:t>(v1.60.0)</w:t>
      </w:r>
      <w:r>
        <w:rPr>
          <w:rFonts w:eastAsiaTheme="minorEastAsia"/>
          <w:lang w:val="en-GB"/>
        </w:rPr>
        <w:fldChar w:fldCharType="begin"/>
      </w:r>
      <w:r>
        <w:rPr>
          <w:rFonts w:eastAsiaTheme="minorEastAsia"/>
          <w:lang w:val="en-GB"/>
        </w:rPr>
        <w:instrText xml:space="preserve"> ADDIN ZOTERO_ITEM CSL_CITATION {"citationID":"BntpGD91","properties":{"formattedCitation":"\\super 24,25\\nosupersub{}","plainCitation":"24,25","noteIndex":0},"citationItems":[{"id":11554,"uris":["http://zotero.org/users/8308691/items/UIGHEZAZ"],"itemData":{"id":11554,"type":"article-journal","abstract":"In this paper we report exploratory analyses of high‐density oligonucleotide array data from the Affymetrix GeneChip® system with the objective of improving upon currently used measures of gene expression. Our analyses make use of three data sets: a small experimental study consisting of five MGU74A mouse GeneChip® arrays, part of the data from an extensive spike‐in study conducted by Gene Logic and Wyeth's Genetics Institute involving 95 HG‐U95A human GeneChip® arrays; and part of a dilution study conducted by Gene Logic involving 75 HG‐U95A GeneChip® arrays. We display some familiar features of the perfect match and mismatch probe (PM and MM) values of these data, and examine the variance–mean relationship with probe‐level data from probes believed to be defective, and so delivering noise only. We explain why we need to normalize the arrays to one another using probe level intensities. We then examine the behavior of the PM and MM using spike‐in data and assess three commonly used summary measures: Affymetrix's (i) average difference (AvDiff) and (ii) MAS 5.0 signal, and (iii) the Li and Wong multiplicative model‐based expression index (MBEI). The exploratory data analyses of the probe level data motivate a new summary measure that is a robust multi‐array average (RMA) of background‐adjusted, normalized, and log‐transformed PM values. We evaluate the four expression summary measures using the dilution study data, assessing their behavior in terms of bias, variance and (for MBEI and RMA) model fit. Finally, we evaluate the algorithms in terms of their ability to detect known levels of differential expression using the spike‐in data. We conclude that there is no obvious downside to using RMA and attaching a standard error (SE) to this quantity using a linear model which removes probe‐specific affinities.","container-title":"Biostatistics","DOI":"10.1093/biostatistics/4.2.249","ISSN":"1465-4644","issue":"2","journalAbbreviation":"Biostatistics","page":"249-264","source":"Silverchair","title":"Exploration, normalization, and summaries of high density oligonucleotide array probe level data","volume":"4","author":[{"family":"Irizarry","given":"Rafael A."},{"family":"Hobbs","given":"Bridget"},{"family":"Collin","given":"Francois"},{"family":"Beazer‐Barclay","given":"Yasmin D."},{"family":"Antonellis","given":"Kristen J."},{"family":"Scherf","given":"Uwe"},{"family":"Speed","given":"Terence P."}],"issued":{"date-parts":[["2003",4,1]]},"citation-key":"irizarryExplorationNormalizationSummaries2003"}},{"id":11551,"uris":["http://zotero.org/users/8308691/items/D7IV2QK4"],"itemData":{"id":11551,"type":"article-journal","abstract":"Motivation: The availability of flexible open source software for the analysis of gene expression raw level data has greatly facilitated the development of widely used preprocessing methods for these technologies. However, the expansion of microarray applications has exposed the limitation of existing tools.Results: We developed the oligo package to provide a more general solution that supports a wide range of applications. The package is based on the BioConductor principles of transparency, reproducibility and efficiency of development. It extends the existing tools and leverages existing code for visualization, accessing data and widely used preprocessing routines. The oligo package implements a unified paradigm for preprocessing data and interfaces with other BioConductor tools for downstream analysis. Our infrastructure is general and can be used by other BioConductor packages.Availability: The oligo package is freely available through BioConductor, http://www.bioconductor.org.Contact:  benilton.carvalho@cancer.org.uk; rafa@jhu.eduSupplementary information:  Supplementary data are available at Bioinformatics online.","container-title":"Bioinformatics","DOI":"10.1093/bioinformatics/btq431","ISSN":"1367-4803","issue":"19","journalAbbreviation":"Bioinformatics","page":"2363-2367","source":"Silverchair","title":"A framework for oligonucleotide microarray preprocessing","volume":"26","author":[{"family":"Carvalho","given":"Benilton S."},{"family":"Irizarry","given":"Rafael A."}],"issued":{"date-parts":[["2010",10,1]]},"citation-key":"carvalhoFrameworkOligonucleotideMicroarray2010"}}],"schema":"https://github.com/citation-style-language/schema/raw/master/csl-citation.json"} </w:instrText>
      </w:r>
      <w:r>
        <w:rPr>
          <w:rFonts w:eastAsiaTheme="minorEastAsia"/>
          <w:lang w:val="en-GB"/>
        </w:rPr>
        <w:fldChar w:fldCharType="separate"/>
      </w:r>
      <w:r w:rsidRPr="00DB5CF1">
        <w:rPr>
          <w:rFonts w:cs="Times New Roman"/>
          <w:vertAlign w:val="superscript"/>
          <w:lang w:val="en-GB"/>
        </w:rPr>
        <w:t>24,25</w:t>
      </w:r>
      <w:r>
        <w:rPr>
          <w:rFonts w:eastAsiaTheme="minorEastAsia"/>
          <w:lang w:val="en-GB"/>
        </w:rPr>
        <w:fldChar w:fldCharType="end"/>
      </w:r>
      <w:r>
        <w:rPr>
          <w:lang w:val="en-GB"/>
        </w:rPr>
        <w:t>. Control samples were removed, and genes expressed below a threshold of four in at least as many arrays as the smallest experimental group, based on their transcript median intensities, were excluded from the normalized data</w:t>
      </w:r>
      <w:r>
        <w:rPr>
          <w:lang w:val="en-GB"/>
        </w:rPr>
        <w:fldChar w:fldCharType="begin"/>
      </w:r>
      <w:r>
        <w:rPr>
          <w:lang w:val="en-GB"/>
        </w:rPr>
        <w:instrText xml:space="preserve"> ADDIN ZOTERO_ITEM CSL_CITATION {"citationID":"C18R8ujr","properties":{"formattedCitation":"\\super 71\\nosupersub{}","plainCitation":"71","noteIndex":0},"citationItems":[{"id":11557,"uris":["http://zotero.org/users/8308691/items/GAMJ2IQZ"],"itemData":{"id":11557,"type":"report","abstract":"In this article, we walk through an end-to-end Affymetrix microarray differential expression workflow using Bioconductor packages. This workflow is directly applicable to current &amp;quot;Gene'' type arrays, e.g.the HuGene or MoGene arrays, but can easily be adapted to similar platforms. The data analyzed here is a typical clinical microarray data set that compares inflamed and non-inflamed colon tissue in two disease subtypes. For each disease, the differential gene expression between inflamed- and non-inflamed colon tissue was analyzed. We will start from the raw data CEL files, show how to import them into a Bioconductor ExpressionSet, perform quality control and normalization and finally differential gene expression (DE) analysis, followed by some enrichment analysis.","language":"en","license":"http://creativecommons.org/licenses/by/4.0/","note":"DOI: 10.12688/f1000research.8967.2\ntype: article","number":"5:1384","publisher":"F1000Research","source":"f1000research.com","title":"An end to end workflow for differential gene expression using Affymetrix microarrays","URL":"https://f1000research.com/articles/5-1384","author":[{"family":"Klaus","given":"Bernd"},{"family":"Reisenauer","given":"Stefanie"}],"accessed":{"date-parts":[["2023",5,24]]},"issued":{"date-parts":[["2018",7,3]]},"citation-key":"klausEndEndWorkflow2018"}}],"schema":"https://github.com/citation-style-language/schema/raw/master/csl-citation.json"} </w:instrText>
      </w:r>
      <w:r>
        <w:rPr>
          <w:lang w:val="en-GB"/>
        </w:rPr>
        <w:fldChar w:fldCharType="separate"/>
      </w:r>
      <w:r w:rsidRPr="00BE7E84">
        <w:rPr>
          <w:rFonts w:cs="Times New Roman"/>
          <w:vertAlign w:val="superscript"/>
          <w:lang w:val="en-GB"/>
        </w:rPr>
        <w:t>71</w:t>
      </w:r>
      <w:r>
        <w:rPr>
          <w:lang w:val="en-GB"/>
        </w:rPr>
        <w:fldChar w:fldCharType="end"/>
      </w:r>
      <w:r>
        <w:rPr>
          <w:lang w:val="en-GB"/>
        </w:rPr>
        <w:t xml:space="preserve">. Packages </w:t>
      </w:r>
      <w:r w:rsidRPr="00961587">
        <w:rPr>
          <w:i/>
          <w:iCs/>
          <w:lang w:val="en-GB"/>
        </w:rPr>
        <w:t>Biobase</w:t>
      </w:r>
      <w:r>
        <w:rPr>
          <w:lang w:val="en-GB"/>
        </w:rPr>
        <w:t xml:space="preserve"> (v2.56.0)</w:t>
      </w:r>
      <w:r>
        <w:rPr>
          <w:lang w:val="en-GB"/>
        </w:rPr>
        <w:fldChar w:fldCharType="begin"/>
      </w:r>
      <w:r>
        <w:rPr>
          <w:lang w:val="en-GB"/>
        </w:rPr>
        <w:instrText xml:space="preserve"> ADDIN ZOTERO_ITEM CSL_CITATION {"citationID":"DogEOd9g","properties":{"formattedCitation":"\\super 26\\nosupersub{}","plainCitation":"26","noteIndex":0},"citationItems":[{"id":11559,"uris":["http://zotero.org/users/8308691/items/KN6DZ787"],"itemData":{"id":11559,"type":"software","abstract":"Functions that are needed by many other packages or which replace R functions.","license":"Artistic-2.0","note":"DOI: 10.18129/B9.bioc.Biobase","publisher":"Bioconductor version: Release (3.17)","source":"Bioconductor","title":"Biobase: Biobase: Base functions for Bioconductor","title-short":"Biobase","URL":"https://bioconductor.org/packages/Biobase/","version":"2.60.0","author":[{"family":"Gentleman","given":"R."},{"family":"Carey","given":"V."},{"family":"Morgan","given":"M."},{"family":"Falcon","given":"S."},{"family":"Khan","given":"Haleema"},{"family":"Maintainer","given":"Bioconductor Package"}],"accessed":{"date-parts":[["2023",5,24]]},"issued":{"date-parts":[["2023"]]},"citation-key":"gentlemanBiobaseBiobaseBase2023"}}],"schema":"https://github.com/citation-style-language/schema/raw/master/csl-citation.json"} </w:instrText>
      </w:r>
      <w:r>
        <w:rPr>
          <w:lang w:val="en-GB"/>
        </w:rPr>
        <w:fldChar w:fldCharType="separate"/>
      </w:r>
      <w:r w:rsidRPr="00BE7E84">
        <w:rPr>
          <w:rFonts w:cs="Times New Roman"/>
          <w:vertAlign w:val="superscript"/>
          <w:lang w:val="en-GB"/>
        </w:rPr>
        <w:t>26</w:t>
      </w:r>
      <w:r>
        <w:rPr>
          <w:lang w:val="en-GB"/>
        </w:rPr>
        <w:fldChar w:fldCharType="end"/>
      </w:r>
      <w:r>
        <w:rPr>
          <w:lang w:val="en-GB"/>
        </w:rPr>
        <w:t xml:space="preserve">, oligo  and </w:t>
      </w:r>
      <w:r w:rsidRPr="00961587">
        <w:rPr>
          <w:i/>
          <w:iCs/>
          <w:lang w:val="en-GB"/>
        </w:rPr>
        <w:t>arrayQualityMetrics</w:t>
      </w:r>
      <w:r>
        <w:rPr>
          <w:lang w:val="en-GB"/>
        </w:rPr>
        <w:t xml:space="preserve"> (v3.52.0)</w:t>
      </w:r>
      <w:r>
        <w:rPr>
          <w:lang w:val="en-GB"/>
        </w:rPr>
        <w:fldChar w:fldCharType="begin"/>
      </w:r>
      <w:r>
        <w:rPr>
          <w:lang w:val="en-GB"/>
        </w:rPr>
        <w:instrText xml:space="preserve"> ADDIN ZOTERO_ITEM CSL_CITATION {"citationID":"oVjCIPdR","properties":{"formattedCitation":"\\super 27\\nosupersub{}","plainCitation":"27","noteIndex":0},"citationItems":[{"id":11561,"uris":["http://zotero.org/users/8308691/items/65LZAKZ8"],"itemData":{"id":11561,"type":"software","abstract":"This package generates microarray quality metrics reports for data in Bioconductor microarray data containers (ExpressionSet, NChannelSet, AffyBatch). One and two color array platforms are supported.","license":"LGPL (&gt;= 2)","note":"DOI: 10.18129/B9.bioc.arrayQualityMetrics","publisher":"Bioconductor version: Release (3.17)","source":"Bioconductor","title":"arrayQualityMetrics: Quality metrics report for microarray data sets","title-short":"arrayQualityMetrics","URL":"https://bioconductor.org/packages/arrayQualityMetrics/","version":"3.56.0","author":[{"family":"Kauffmann","given":"Audrey"},{"family":"Huber","given":"Wolfgang"}],"accessed":{"date-parts":[["2023",5,24]]},"issued":{"date-parts":[["2023"]]},"citation-key":"kauffmannArrayQualityMetricsQualityMetrics2023"}}],"schema":"https://github.com/citation-style-language/schema/raw/master/csl-citation.json"} </w:instrText>
      </w:r>
      <w:r>
        <w:rPr>
          <w:lang w:val="en-GB"/>
        </w:rPr>
        <w:fldChar w:fldCharType="separate"/>
      </w:r>
      <w:r w:rsidRPr="00BE7E84">
        <w:rPr>
          <w:rFonts w:cs="Times New Roman"/>
          <w:vertAlign w:val="superscript"/>
          <w:lang w:val="en-GB"/>
        </w:rPr>
        <w:t>27</w:t>
      </w:r>
      <w:r>
        <w:rPr>
          <w:lang w:val="en-GB"/>
        </w:rPr>
        <w:fldChar w:fldCharType="end"/>
      </w:r>
      <w:r>
        <w:rPr>
          <w:lang w:val="en-GB"/>
        </w:rPr>
        <w:t xml:space="preserve"> were used for quality control of raw and normalized data.</w:t>
      </w:r>
    </w:p>
    <w:p w14:paraId="1CBA9530" w14:textId="77777777" w:rsidR="00236257" w:rsidRDefault="00236257" w:rsidP="00236257">
      <w:pPr>
        <w:pStyle w:val="Heading2"/>
        <w:rPr>
          <w:rStyle w:val="Heading1Char"/>
          <w:b w:val="0"/>
          <w:bCs w:val="0"/>
          <w:lang w:val="en-GB"/>
        </w:rPr>
      </w:pPr>
      <w:r>
        <w:rPr>
          <w:rStyle w:val="Heading1Char"/>
          <w:lang w:val="en-GB"/>
        </w:rPr>
        <w:t xml:space="preserve">Phenotype changes and obesity </w:t>
      </w:r>
    </w:p>
    <w:p w14:paraId="3CFA0BE8" w14:textId="77777777" w:rsidR="00236257" w:rsidRDefault="00236257" w:rsidP="00236257">
      <w:pPr>
        <w:rPr>
          <w:rStyle w:val="Heading1Char"/>
          <w:b w:val="0"/>
          <w:bCs w:val="0"/>
          <w:lang w:val="en-GB"/>
        </w:rPr>
      </w:pPr>
      <w:r>
        <w:rPr>
          <w:rStyle w:val="Heading1Char"/>
          <w:lang w:val="en-GB"/>
        </w:rPr>
        <w:t xml:space="preserve">To define obesity among F0 and F1 female mice and F1 male mice, we initially modelled body-weight-over-time-trajectories using second order polynomials to obtain growth curves. Subsequently, we calculated the second derivatives of the obtained growth curves across all weight measurement time points. We then used the sum of those derivatives to determine of growth curve steepness – the higher the sum the steeper upward the growth curve of a particular individual. Next, we plotted the distribution of these “steepness values” for each F0 and F1, and split F0 and F1 animals in high and low weight gain individuals based on being above or below 0 </w:t>
      </w:r>
      <w:r>
        <w:rPr>
          <w:rStyle w:val="Heading1Char"/>
          <w:lang w:val="en-GB"/>
        </w:rPr>
        <w:lastRenderedPageBreak/>
        <w:t>across collective steepness values (sums of all second derivatives of weight gain curves per individual). Among the F0 we then considered all animals obese which exhibited a high weight gain (Fig. 2 main text), which were all F0 females fed on HFD. Furthermore, among the F0 we considered all males fed with HFD obese, since weight data wasn’t available. Among the F1 we considered all animals, regardless of sex, regardless of diet (all F0 fed with CD) to have had a high weight gain, when their growth curve trajectories were as steep as observed among F0 females, and among those individuals all those with high weight gain would have been considered obese (see SI Fig.1). Among the data describing the F1 generation, we the noted the F1 individuals’ obesity status as a factor (obese or not obese), alongside its parent’s obesity status as a factor (mother obese, father obese, both parents obese, no obese parents). We used these two obesity-related variables (i.e., parental obesity encoded by four-factor variables – mother, father obese, both parents obese, no parent obese; and own obesity encoded by a two-factor variable – true or false) among the F1 for all subsequent analysis.</w:t>
      </w:r>
    </w:p>
    <w:p w14:paraId="5FA7A955" w14:textId="77777777" w:rsidR="00236257" w:rsidRDefault="00236257" w:rsidP="00236257">
      <w:pPr>
        <w:rPr>
          <w:rStyle w:val="Heading1Char"/>
          <w:b w:val="0"/>
          <w:bCs w:val="0"/>
          <w:lang w:val="en-GB"/>
        </w:rPr>
      </w:pPr>
      <w:r>
        <w:rPr>
          <w:rStyle w:val="Heading1Char"/>
          <w:lang w:val="en-GB"/>
        </w:rPr>
        <w:t xml:space="preserve">For guidance on logistic regression and general additive modelling (GAM) and we consulted </w:t>
      </w:r>
      <w:r>
        <w:rPr>
          <w:rStyle w:val="Heading1Char"/>
          <w:b w:val="0"/>
          <w:bCs w:val="0"/>
          <w:lang w:val="en-GB"/>
        </w:rPr>
        <w:fldChar w:fldCharType="begin"/>
      </w:r>
      <w:r>
        <w:rPr>
          <w:rStyle w:val="Heading1Char"/>
          <w:lang w:val="en-GB"/>
        </w:rPr>
        <w:instrText xml:space="preserve"> ADDIN ZOTERO_ITEM CSL_CITATION {"citationID":"8OXHsTyp","properties":{"formattedCitation":"(Wieling 2018; Pedersen et al. 2019)","plainCitation":"(Wieling 2018; Pedersen et al. 2019)","dontUpdate":true,"noteIndex":0},"citationItems":[{"id":9504,"uris":["http://zotero.org/users/8308691/items/SLEX29TB"],"itemData":{"id":9504,"type":"article-journal","abstract":"In phonetics, many datasets are encountered which deal with dynamic data collected over time. Examples include diphthongal formant trajectories and articulator trajectories observed using electromagnetic articulography. Traditional approaches for analyzing this type of data generally aggregate data over a certain timespan, or only include measurements at a fixed time point (e.g., formant measurements at the midpoint of a vowel). This paper discusses generalized additive modeling, a non-linear regression method which does not require aggregation or the pre-selection of a fixed time point. Instead, the method is able to identify general patterns over dynamically varying data, while simultaneously accounting for subject and item-related variability. An advantage of this approach is that patterns may be discovered which are hidden when data is aggregated or when a single time point is selected. A corresponding disadvantage is that these analyses are generally more time consuming and complex. This tutorial aims to overcome this disadvantage by providing a hands-on introduction to generalized additive modeling using articulatory trajectories from L1 and L2 speakers of English within the freely available R environment. All data and R code is made available to reproduce the analysis presented in this paper.","container-title":"Journal of Phonetics","DOI":"10.1016/j.wocn.2018.03.002","ISSN":"0095-4470","journalAbbreviation":"Journal of Phonetics","language":"en","page":"86-116","source":"ScienceDirect","title":"Analyzing dynamic phonetic data using generalized additive mixed modeling: A tutorial focusing on articulatory differences between L1 and L2 speakers of English","title-short":"Analyzing dynamic phonetic data using generalized additive mixed modeling","volume":"70","author":[{"family":"Wieling","given":"Martijn"}],"issued":{"date-parts":[["2018",9,1]]},"citation-key":"wielingAnalyzingDynamicPhonetic2018"}},{"id":9506,"uris":["http://zotero.org/users/8308691/items/9SM5XXT6"],"itemData":{"id":9506,"type":"article-journal","abstract":"In this paper, we discuss an extension to two popular approaches to modeling complex structures in ecological data: the generalized additive model (GAM) and the hierarchical model (HGLM). The hierarchical GAM (HGAM), allows modeling of nonlinear functional relationships between covariates and outcomes where the shape of the function itself varies between different grouping levels. We describe the theoretical connection between HGAMs, HGLMs, and GAMs, explain how to model different assumptions about the degree of intergroup variability in functional response, and show how HGAMs can be readily fitted using existing GAM software, the mgcv package in R. We also discuss computational and statistical issues with fitting these models, and demonstrate how to fit HGAMs on example data. All code and data used to generate this paper are available at: github.com/eric-pedersen/mixed-effect-gams.","container-title":"PeerJ","DOI":"10.7717/peerj.6876","ISSN":"2167-8359","journalAbbreviation":"PeerJ","language":"en","note":"publisher: PeerJ Inc.","page":"e6876","source":"peerj.com","title":"Hierarchical generalized additive models in ecology: an introduction with mgcv","title-short":"Hierarchical generalized additive models in ecology","volume":"7","author":[{"family":"Pedersen","given":"Eric J."},{"family":"Miller","given":"David L."},{"family":"Simpson","given":"Gavin L."},{"family":"Ross","given":"Noam"}],"issued":{"date-parts":[["2019",5,27]]},"citation-key":"pedersenHierarchicalGeneralizedAdditive2019"}}],"schema":"https://github.com/citation-style-language/schema/raw/master/csl-citation.json"} </w:instrText>
      </w:r>
      <w:r>
        <w:rPr>
          <w:rStyle w:val="Heading1Char"/>
          <w:b w:val="0"/>
          <w:bCs w:val="0"/>
          <w:lang w:val="en-GB"/>
        </w:rPr>
        <w:fldChar w:fldCharType="separate"/>
      </w:r>
      <w:r>
        <w:rPr>
          <w:rStyle w:val="Heading1Char"/>
          <w:noProof/>
          <w:lang w:val="en-GB"/>
        </w:rPr>
        <w:t>Wieling (2018), Pedersen et al. (2019)</w:t>
      </w:r>
      <w:r>
        <w:rPr>
          <w:rStyle w:val="Heading1Char"/>
          <w:b w:val="0"/>
          <w:bCs w:val="0"/>
          <w:lang w:val="en-GB"/>
        </w:rPr>
        <w:fldChar w:fldCharType="end"/>
      </w:r>
      <w:r>
        <w:rPr>
          <w:rStyle w:val="Heading1Char"/>
          <w:lang w:val="en-GB"/>
        </w:rPr>
        <w:t xml:space="preserve">, and </w:t>
      </w:r>
      <w:r>
        <w:rPr>
          <w:rStyle w:val="Heading1Char"/>
          <w:b w:val="0"/>
          <w:bCs w:val="0"/>
          <w:lang w:val="en-GB"/>
        </w:rPr>
        <w:fldChar w:fldCharType="begin"/>
      </w:r>
      <w:r>
        <w:rPr>
          <w:rStyle w:val="Heading1Char"/>
          <w:lang w:val="en-GB"/>
        </w:rPr>
        <w:instrText xml:space="preserve"> ADDIN ZOTERO_ITEM CSL_CITATION {"citationID":"MSVPf61t","properties":{"formattedCitation":"(Zuur et al. 2009)","plainCitation":"(Zuur et al. 2009)","dontUpdate":true,"noteIndex":0},"citationItems":[{"id":9059,"uris":["http://zotero.org/users/8308691/items/QSZRXQX7"],"itemData":{"id":9059,"type":"book","collection-title":"Statistics for Biology and Health","event-place":"New York, NY","ISBN":"978-0-387-87457-9","language":"en","note":"DOI: 10.1007/978-0-387-87458-6","publisher":"Springer","publisher-place":"New York, NY","source":"DOI.org (Crossref)","title":"Mixed effects models and extensions in ecology with R","URL":"http://link.springer.com/10.1007/978-0-387-87458-6","author":[{"family":"Zuur","given":"Alain F."},{"family":"Ieno","given":"Elena N."},{"family":"Walker","given":"Neil"},{"family":"Saveliev","given":"Anatoly A."},{"family":"Smith","given":"Graham M."}],"accessed":{"date-parts":[["2023",1,9]]},"issued":{"date-parts":[["2009"]]},"citation-key":"zuurMixedEffectsModels2009"}}],"schema":"https://github.com/citation-style-language/schema/raw/master/csl-citation.json"} </w:instrText>
      </w:r>
      <w:r>
        <w:rPr>
          <w:rStyle w:val="Heading1Char"/>
          <w:b w:val="0"/>
          <w:bCs w:val="0"/>
          <w:lang w:val="en-GB"/>
        </w:rPr>
        <w:fldChar w:fldCharType="separate"/>
      </w:r>
      <w:r>
        <w:rPr>
          <w:rStyle w:val="Heading1Char"/>
          <w:noProof/>
          <w:lang w:val="en-GB"/>
        </w:rPr>
        <w:t>Zuur et al. (2009)</w:t>
      </w:r>
      <w:r>
        <w:rPr>
          <w:rStyle w:val="Heading1Char"/>
          <w:b w:val="0"/>
          <w:bCs w:val="0"/>
          <w:lang w:val="en-GB"/>
        </w:rPr>
        <w:fldChar w:fldCharType="end"/>
      </w:r>
      <w:r>
        <w:rPr>
          <w:rStyle w:val="Heading1Char"/>
          <w:b w:val="0"/>
          <w:bCs w:val="0"/>
          <w:lang w:val="en-GB"/>
        </w:rPr>
        <w:fldChar w:fldCharType="begin"/>
      </w:r>
      <w:r>
        <w:rPr>
          <w:rStyle w:val="Heading1Char"/>
          <w:lang w:val="en-GB"/>
        </w:rPr>
        <w:instrText xml:space="preserve"> ADDIN ZOTERO_ITEM CSL_CITATION {"citationID":"D5SqwCg4","properties":{"formattedCitation":"\\super 72\\uc0\\u8211{}74\\nosupersub{}","plainCitation":"72–74","noteIndex":0},"citationItems":[{"id":9504,"uris":["http://zotero.org/users/8308691/items/SLEX29TB"],"itemData":{"id":9504,"type":"article-journal","abstract":"In phonetics, many datasets are encountered which deal with dynamic data collected over time. Examples include diphthongal formant trajectories and articulator trajectories observed using electromagnetic articulography. Traditional approaches for analyzing this type of data generally aggregate data over a certain timespan, or only include measurements at a fixed time point (e.g., formant measurements at the midpoint of a vowel). This paper discusses generalized additive modeling, a non-linear regression method which does not require aggregation or the pre-selection of a fixed time point. Instead, the method is able to identify general patterns over dynamically varying data, while simultaneously accounting for subject and item-related variability. An advantage of this approach is that patterns may be discovered which are hidden when data is aggregated or when a single time point is selected. A corresponding disadvantage is that these analyses are generally more time consuming and complex. This tutorial aims to overcome this disadvantage by providing a hands-on introduction to generalized additive modeling using articulatory trajectories from L1 and L2 speakers of English within the freely available R environment. All data and R code is made available to reproduce the analysis presented in this paper.","container-title":"Journal of Phonetics","DOI":"10.1016/j.wocn.2018.03.002","ISSN":"0095-4470","journalAbbreviation":"Journal of Phonetics","language":"en","page":"86-116","source":"ScienceDirect","title":"Analyzing dynamic phonetic data using generalized additive mixed modeling: A tutorial focusing on articulatory differences between L1 and L2 speakers of English","title-short":"Analyzing dynamic phonetic data using generalized additive mixed modeling","volume":"70","author":[{"family":"Wieling","given":"Martijn"}],"issued":{"date-parts":[["2018",9,1]]},"citation-key":"wielingAnalyzingDynamicPhonetic2018"}},{"id":9506,"uris":["http://zotero.org/users/8308691/items/9SM5XXT6"],"itemData":{"id":9506,"type":"article-journal","abstract":"In this paper, we discuss an extension to two popular approaches to modeling complex structures in ecological data: the generalized additive model (GAM) and the hierarchical model (HGLM). The hierarchical GAM (HGAM), allows modeling of nonlinear functional relationships between covariates and outcomes where the shape of the function itself varies between different grouping levels. We describe the theoretical connection between HGAMs, HGLMs, and GAMs, explain how to model different assumptions about the degree of intergroup variability in functional response, and show how HGAMs can be readily fitted using existing GAM software, the mgcv package in R. We also discuss computational and statistical issues with fitting these models, and demonstrate how to fit HGAMs on example data. All code and data used to generate this paper are available at: github.com/eric-pedersen/mixed-effect-gams.","container-title":"PeerJ","DOI":"10.7717/peerj.6876","ISSN":"2167-8359","journalAbbreviation":"PeerJ","language":"en","note":"publisher: PeerJ Inc.","page":"e6876","source":"peerj.com","title":"Hierarchical generalized additive models in ecology: an introduction with mgcv","title-short":"Hierarchical generalized additive models in ecology","volume":"7","author":[{"family":"Pedersen","given":"Eric J."},{"family":"Miller","given":"David L."},{"family":"Simpson","given":"Gavin L."},{"family":"Ross","given":"Noam"}],"issued":{"date-parts":[["2019",5,27]]},"citation-key":"pedersenHierarchicalGeneralizedAdditive2019"}},{"id":9059,"uris":["http://zotero.org/users/8308691/items/QSZRXQX7"],"itemData":{"id":9059,"type":"book","collection-title":"Statistics for Biology and Health","event-place":"New York, NY","ISBN":"978-0-387-87457-9","language":"en","note":"DOI: 10.1007/978-0-387-87458-6","publisher":"Springer","publisher-place":"New York, NY","source":"DOI.org (Crossref)","title":"Mixed effects models and extensions in ecology with R","URL":"http://link.springer.com/10.1007/978-0-387-87458-6","author":[{"family":"Zuur","given":"Alain F."},{"family":"Ieno","given":"Elena N."},{"family":"Walker","given":"Neil"},{"family":"Saveliev","given":"Anatoly A."},{"family":"Smith","given":"Graham M."}],"accessed":{"date-parts":[["2023",1,9]]},"issued":{"date-parts":[["2009"]]},"citation-key":"zuurMixedEffectsModels2009"}}],"schema":"https://github.com/citation-style-language/schema/raw/master/csl-citation.json"} </w:instrText>
      </w:r>
      <w:r>
        <w:rPr>
          <w:rStyle w:val="Heading1Char"/>
          <w:b w:val="0"/>
          <w:bCs w:val="0"/>
          <w:lang w:val="en-GB"/>
        </w:rPr>
        <w:fldChar w:fldCharType="separate"/>
      </w:r>
      <w:r w:rsidRPr="00DB5CF1">
        <w:rPr>
          <w:rFonts w:ascii="Times" w:hAnsi="Times" w:cs="Times"/>
          <w:vertAlign w:val="superscript"/>
          <w:lang w:val="en-GB"/>
        </w:rPr>
        <w:t>72–74</w:t>
      </w:r>
      <w:r>
        <w:rPr>
          <w:rStyle w:val="Heading1Char"/>
          <w:b w:val="0"/>
          <w:bCs w:val="0"/>
          <w:lang w:val="en-GB"/>
        </w:rPr>
        <w:fldChar w:fldCharType="end"/>
      </w:r>
      <w:r>
        <w:rPr>
          <w:rStyle w:val="Heading1Char"/>
          <w:lang w:val="en-GB"/>
        </w:rPr>
        <w:t xml:space="preserve">. In each modelling case we determined significance of relevant model coefficients by comparison to adequate null models. We assessed model qualities using the conditional AIC, plotted model predictions, evaluated confidence intervals, and used R package </w:t>
      </w:r>
      <w:r>
        <w:rPr>
          <w:rStyle w:val="Heading1Char"/>
          <w:iCs/>
          <w:lang w:val="en-GB"/>
        </w:rPr>
        <w:t>gratia</w:t>
      </w:r>
      <w:r>
        <w:rPr>
          <w:rStyle w:val="Heading1Char"/>
          <w:b w:val="0"/>
          <w:bCs w:val="0"/>
          <w:lang w:val="en-GB"/>
        </w:rPr>
        <w:fldChar w:fldCharType="begin"/>
      </w:r>
      <w:r>
        <w:rPr>
          <w:rStyle w:val="Heading1Char"/>
          <w:lang w:val="en-GB"/>
        </w:rPr>
        <w:instrText xml:space="preserve"> ADDIN ZOTERO_ITEM CSL_CITATION {"citationID":"DJOr114f","properties":{"formattedCitation":"\\super 75\\nosupersub{}","plainCitation":"75","noteIndex":0},"citationItems":[{"id":9382,"uris":["http://zotero.org/users/8308691/items/QFPLY4ME"],"itemData":{"id":9382,"type":"software","abstract":"Graceful 'ggplot'-based graphics and utility functions for working with generalized additive models (GAMs) fitted using the 'mgcv' package. Provides a reimplementation of the plot() method for GAMs that 'mgcv' provides, as well as 'tidyverse' compatible representations of estimated smooths.","license":"MIT + file LICENSE","source":"R-Packages","title":"gratia: Graceful 'ggplot'-Based Graphics and Other Functions for GAMs Fitted Using 'mgcv'","title-short":"gratia","URL":"https://CRAN.R-project.org/package=gratia","version":"0.7.3","author":[{"family":"Simpson","given":"Gavin L."},{"family":"Singmann","given":"Henrik"}],"accessed":{"date-parts":[["2023",1,30]]},"issued":{"date-parts":[["2022",5,9]]},"citation-key":"simpsonGratiaGracefulGgplot2022"}}],"schema":"https://github.com/citation-style-language/schema/raw/master/csl-citation.json"} </w:instrText>
      </w:r>
      <w:r>
        <w:rPr>
          <w:rStyle w:val="Heading1Char"/>
          <w:b w:val="0"/>
          <w:bCs w:val="0"/>
          <w:lang w:val="en-GB"/>
        </w:rPr>
        <w:fldChar w:fldCharType="separate"/>
      </w:r>
      <w:r w:rsidRPr="00BE7E84">
        <w:rPr>
          <w:rFonts w:ascii="Times" w:hAnsi="Times" w:cs="Times"/>
          <w:vertAlign w:val="superscript"/>
          <w:lang w:val="en-GB"/>
        </w:rPr>
        <w:t>75</w:t>
      </w:r>
      <w:r>
        <w:rPr>
          <w:rStyle w:val="Heading1Char"/>
          <w:b w:val="0"/>
          <w:bCs w:val="0"/>
          <w:lang w:val="en-GB"/>
        </w:rPr>
        <w:fldChar w:fldCharType="end"/>
      </w:r>
      <w:r>
        <w:rPr>
          <w:rStyle w:val="Heading1Char"/>
          <w:lang w:val="en-GB"/>
        </w:rPr>
        <w:t xml:space="preserve"> for model evaluation. If any of the F1 would have been obese, as tested during analysis design, in logistic regression we would have tested for a phenotypical effect indicating inheritance of obesity from F0 to F1. Likewise, we would have tested whether any or both parents’ obesity affected the obesity status of offspring regardless of their sex. Furthermore, using logistic regression, we would have tested for a sex-specific effect among the parents in passing on obesity to their offspring regardless of the sex of the offspring. While implementing logistic regression with test data, we did not apply them to the analysis presented here, as none of the offspring were defined as obese by our final growth curve analysis, and consequently no F1 offspring was considered obese by a factor variable. To move beyond analysis of factor variables and logistic regression, we additionally investigated whether an offspring-specific sex effect of inheriting obesity could be detected using general additive modelling, during which we minded F1’s weight gain </w:t>
      </w:r>
      <w:r>
        <w:rPr>
          <w:rStyle w:val="Heading1Char"/>
          <w:lang w:val="en-GB"/>
        </w:rPr>
        <w:lastRenderedPageBreak/>
        <w:t>trajectories over time, rather than encoding obesity as a logical factor. Model formulae, modelling results and encoding of input factors are available in the supplemental online materials (SOM).</w:t>
      </w:r>
    </w:p>
    <w:p w14:paraId="3E180ADB" w14:textId="77777777" w:rsidR="00236257" w:rsidRDefault="00236257" w:rsidP="00236257">
      <w:pPr>
        <w:pStyle w:val="Heading2"/>
        <w:rPr>
          <w:lang w:val="en-GB"/>
        </w:rPr>
      </w:pPr>
      <w:r>
        <w:rPr>
          <w:rStyle w:val="Heading1Char"/>
          <w:lang w:val="en-GB"/>
        </w:rPr>
        <w:t>Transcriptome changes and obesity</w:t>
      </w:r>
    </w:p>
    <w:p w14:paraId="3B653964" w14:textId="77777777" w:rsidR="00236257" w:rsidRDefault="00236257" w:rsidP="00236257">
      <w:pPr>
        <w:rPr>
          <w:rFonts w:eastAsiaTheme="minorEastAsia"/>
          <w:lang w:val="en-GB"/>
        </w:rPr>
      </w:pPr>
      <w:r>
        <w:rPr>
          <w:rFonts w:eastAsiaTheme="minorEastAsia"/>
          <w:lang w:val="en-GB"/>
        </w:rPr>
        <w:t xml:space="preserve">To increase signal-to-noise ratios we considered array weights in </w:t>
      </w:r>
      <w:r>
        <w:rPr>
          <w:rFonts w:eastAsiaTheme="minorEastAsia"/>
          <w:i/>
          <w:iCs/>
          <w:lang w:val="en-GB"/>
        </w:rPr>
        <w:t>limma</w:t>
      </w:r>
      <w:r>
        <w:rPr>
          <w:rFonts w:eastAsiaTheme="minorEastAsia"/>
          <w:lang w:val="en-GB"/>
        </w:rPr>
        <w:t xml:space="preserve">’s linear models. Thresholds for identification of differentially expressed genes (DEGs) were parametrized with a false discovery rate (FDR, </w:t>
      </w:r>
      <w:r>
        <w:rPr>
          <w:rFonts w:eastAsiaTheme="minorEastAsia"/>
          <w:lang w:val="en-GB"/>
        </w:rPr>
        <w:fldChar w:fldCharType="begin"/>
      </w:r>
      <w:r>
        <w:rPr>
          <w:rFonts w:eastAsiaTheme="minorEastAsia"/>
          <w:lang w:val="en-GB"/>
        </w:rPr>
        <w:instrText xml:space="preserve"> ADDIN ZOTERO_ITEM CSL_CITATION {"citationID":"jKXwO3Nj","properties":{"formattedCitation":"(Benjamini and Hochberg, 1995)","plainCitation":"(Benjamini and Hochberg, 1995)","dontUpdate":true,"noteIndex":0},"citationItems":[{"id":12153,"uris":["http://zotero.org/users/8308691/items/8IZX6AU9"],"itemData":{"id":12153,"type":"article-journal","abstract":"SUMMARY\n            The common approach to the multiplicity problem calls for controlling the familywise error rate (FWER). This approach, though, has faults, and we point out a few. A different approach to problems of multiple significance testing is presented. It calls for controlling the expected proportion of falsely rejected hypotheses — the false discovery rate. This error rate is equivalent to the FWER when all hypotheses are true but is smaller otherwise. Therefore, in problems where the control of the false discovery rate rather than that of the FWER is desired, there is potential for a gain in power. A simple sequential Bonferronitype procedure is proved to control the false discovery rate for independent test statistics, and a simulation study shows that the gain in power is substantial. The use of the new procedure and the appropriateness of the criterion are illustrated with examples.","container-title":"Journal of the Royal Statistical Society: Series B (Methodological)","DOI":"10.1111/j.2517-6161.1995.tb02031.x","ISSN":"0035-9246, 2517-6161","issue":"1","journalAbbreviation":"Journal of the Royal Statistical Society: Series B (Methodological)","language":"en","page":"289-300","source":"DOI.org (Crossref)","title":"Controlling the False Discovery Rate: A Practical and Powerful Approach to Multiple Testing","title-short":"Controlling the False Discovery Rate","volume":"57","author":[{"family":"Benjamini","given":"Yoav"},{"family":"Hochberg","given":"Yosef"}],"issued":{"date-parts":[["1995",1]]},"citation-key":"benjaminiControllingFalseDiscovery1995"}}],"schema":"https://github.com/citation-style-language/schema/raw/master/csl-citation.json"} </w:instrText>
      </w:r>
      <w:r>
        <w:rPr>
          <w:rFonts w:eastAsiaTheme="minorEastAsia"/>
          <w:lang w:val="en-GB"/>
        </w:rPr>
        <w:fldChar w:fldCharType="separate"/>
      </w:r>
      <w:r>
        <w:rPr>
          <w:rFonts w:eastAsiaTheme="minorEastAsia"/>
          <w:noProof/>
          <w:lang w:val="en-GB"/>
        </w:rPr>
        <w:t>Benjamini and Hochberg, 1995</w:t>
      </w:r>
      <w:r>
        <w:rPr>
          <w:rFonts w:eastAsiaTheme="minorEastAsia"/>
          <w:lang w:val="en-GB"/>
        </w:rPr>
        <w:fldChar w:fldCharType="end"/>
      </w:r>
      <w:r>
        <w:rPr>
          <w:rFonts w:eastAsiaTheme="minorEastAsia"/>
          <w:lang w:val="en-GB"/>
        </w:rPr>
        <w:t>) &lt; 0.05 and a |log</w:t>
      </w:r>
      <w:r>
        <w:rPr>
          <w:rFonts w:eastAsiaTheme="minorEastAsia"/>
          <w:vertAlign w:val="subscript"/>
          <w:lang w:val="en-GB"/>
        </w:rPr>
        <w:t>2</w:t>
      </w:r>
      <w:r>
        <w:rPr>
          <w:rFonts w:eastAsiaTheme="minorEastAsia"/>
          <w:lang w:val="en-GB"/>
        </w:rPr>
        <w:t xml:space="preserve">-fold change (FC) | ≥ 1. </w:t>
      </w:r>
    </w:p>
    <w:p w14:paraId="35579642" w14:textId="77777777" w:rsidR="00236257" w:rsidRDefault="00236257" w:rsidP="00236257">
      <w:pPr>
        <w:jc w:val="left"/>
        <w:rPr>
          <w:rFonts w:eastAsiaTheme="minorEastAsia"/>
          <w:lang w:val="en-GB"/>
        </w:rPr>
      </w:pPr>
      <w:r>
        <w:rPr>
          <w:rFonts w:eastAsiaTheme="minorEastAsia"/>
          <w:lang w:val="en-GB"/>
        </w:rPr>
        <w:t xml:space="preserve">The evaluated 18 contrasts described among methods included </w:t>
      </w:r>
      <w:r>
        <w:rPr>
          <w:rFonts w:eastAsiaTheme="minorEastAsia"/>
          <w:i/>
          <w:iCs/>
          <w:lang w:val="en-GB"/>
        </w:rPr>
        <w:t xml:space="preserve">“MotherFatherObese versus MotherObese”, “MotherFatherObese versus FatherObese”, “MotherFatherObese versus FatherObese and MotherObese”, “MotherFatherObese versus MotherFatherNotObese", “MotherFatherObese versus MotherFatherNotObese and MotherObese”, “MotherFatherObese versus MotherFatherNotObese and FatherObese”, “MotherFatherObese versus MotherFatherNotObese and FatherObese and MotherObese”, “MotherFatherNotObese versus MotherObese”, “MotherFatherNotObese versus FatherObese", “MotherFatherNotObese versus FatherObese and MotherObese”, “MotherFatherNotObese versus MotherFatherObese and MotherObese”, “MotherFatherNotObese versus MotherFatherObese and FatherObese”, “MotherFatherNotObese versus MotherFatherObese and FatherObese and MotherObese”, “FatherObese versus MotherObese”, “MotherObese versus MotherFatherNotObese and FatherObese”, “FatherObese versus MotherFatherObese and MotherObese”, “FatherObese versus MotherFatherNotObese and MotherFatherObese”, </w:t>
      </w:r>
      <w:r>
        <w:rPr>
          <w:rFonts w:eastAsiaTheme="minorEastAsia"/>
          <w:lang w:val="en-GB"/>
        </w:rPr>
        <w:t>and</w:t>
      </w:r>
      <w:r>
        <w:rPr>
          <w:rFonts w:eastAsiaTheme="minorEastAsia"/>
          <w:i/>
          <w:iCs/>
          <w:lang w:val="en-GB"/>
        </w:rPr>
        <w:t xml:space="preserve"> “MotherObese versus MotherFatherNotObese and MotherFatherObese”</w:t>
      </w:r>
      <w:r>
        <w:rPr>
          <w:rFonts w:eastAsiaTheme="minorEastAsia"/>
          <w:lang w:val="en-GB"/>
        </w:rPr>
        <w:t>.</w:t>
      </w:r>
    </w:p>
    <w:p w14:paraId="7C2C2F26" w14:textId="77777777" w:rsidR="00236257" w:rsidRDefault="00236257" w:rsidP="00236257">
      <w:pPr>
        <w:pStyle w:val="Heading1"/>
      </w:pPr>
      <w:r>
        <w:t>Supplemental Results</w:t>
      </w:r>
    </w:p>
    <w:p w14:paraId="4619C874" w14:textId="77777777" w:rsidR="00236257" w:rsidRDefault="00236257" w:rsidP="00236257">
      <w:pPr>
        <w:pStyle w:val="Heading2"/>
        <w:rPr>
          <w:rStyle w:val="Heading1Char"/>
          <w:b w:val="0"/>
          <w:bCs w:val="0"/>
          <w:lang w:val="en-GB"/>
        </w:rPr>
      </w:pPr>
      <w:r>
        <w:rPr>
          <w:rStyle w:val="Heading1Char"/>
          <w:lang w:val="en-GB"/>
        </w:rPr>
        <w:t>Animal rearing and data acquisition</w:t>
      </w:r>
    </w:p>
    <w:p w14:paraId="662BE986" w14:textId="77777777" w:rsidR="00236257" w:rsidRDefault="00236257" w:rsidP="00236257">
      <w:pPr>
        <w:rPr>
          <w:rStyle w:val="Heading1Char"/>
          <w:b w:val="0"/>
          <w:bCs w:val="0"/>
          <w:lang w:val="en-GB"/>
        </w:rPr>
      </w:pPr>
      <w:r>
        <w:rPr>
          <w:rStyle w:val="Heading1Char"/>
          <w:lang w:val="en-GB"/>
        </w:rPr>
        <w:t>SI Table 1: Individuals used for RNA sequencing, including grouping variables for feeding, and derived obesity status from modelling.</w:t>
      </w:r>
    </w:p>
    <w:tbl>
      <w:tblPr>
        <w:tblStyle w:val="TableGrid"/>
        <w:tblW w:w="10065"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3"/>
        <w:gridCol w:w="709"/>
        <w:gridCol w:w="1559"/>
        <w:gridCol w:w="2410"/>
        <w:gridCol w:w="992"/>
        <w:gridCol w:w="993"/>
        <w:gridCol w:w="1275"/>
        <w:gridCol w:w="1134"/>
      </w:tblGrid>
      <w:tr w:rsidR="00236257" w14:paraId="2610B91C" w14:textId="77777777" w:rsidTr="00886E99">
        <w:trPr>
          <w:trHeight w:val="875"/>
        </w:trPr>
        <w:tc>
          <w:tcPr>
            <w:tcW w:w="993" w:type="dxa"/>
            <w:tcBorders>
              <w:bottom w:val="single" w:sz="4" w:space="0" w:color="auto"/>
            </w:tcBorders>
          </w:tcPr>
          <w:p w14:paraId="3DAA9C49" w14:textId="77777777" w:rsidR="00236257" w:rsidRDefault="00236257" w:rsidP="00886E99">
            <w:pPr>
              <w:spacing w:line="240" w:lineRule="auto"/>
              <w:rPr>
                <w:rStyle w:val="Heading1Char"/>
                <w:sz w:val="22"/>
                <w:szCs w:val="22"/>
                <w:lang w:val="en-GB"/>
              </w:rPr>
            </w:pPr>
            <w:r>
              <w:rPr>
                <w:rStyle w:val="Heading1Char"/>
                <w:sz w:val="22"/>
                <w:szCs w:val="22"/>
                <w:lang w:val="en-GB"/>
              </w:rPr>
              <w:t xml:space="preserve">Animal </w:t>
            </w:r>
          </w:p>
        </w:tc>
        <w:tc>
          <w:tcPr>
            <w:tcW w:w="709" w:type="dxa"/>
            <w:tcBorders>
              <w:bottom w:val="single" w:sz="4" w:space="0" w:color="auto"/>
            </w:tcBorders>
          </w:tcPr>
          <w:p w14:paraId="553A77DB" w14:textId="77777777" w:rsidR="00236257" w:rsidRDefault="00236257" w:rsidP="00886E99">
            <w:pPr>
              <w:spacing w:line="240" w:lineRule="auto"/>
              <w:rPr>
                <w:rStyle w:val="Heading1Char"/>
                <w:sz w:val="22"/>
                <w:szCs w:val="22"/>
                <w:lang w:val="en-GB"/>
              </w:rPr>
            </w:pPr>
            <w:r>
              <w:rPr>
                <w:rStyle w:val="Heading1Char"/>
                <w:sz w:val="22"/>
                <w:szCs w:val="22"/>
                <w:lang w:val="en-GB"/>
              </w:rPr>
              <w:t>Sex</w:t>
            </w:r>
          </w:p>
        </w:tc>
        <w:tc>
          <w:tcPr>
            <w:tcW w:w="1559" w:type="dxa"/>
            <w:tcBorders>
              <w:bottom w:val="single" w:sz="4" w:space="0" w:color="auto"/>
            </w:tcBorders>
          </w:tcPr>
          <w:p w14:paraId="3F14F682" w14:textId="77777777" w:rsidR="00236257" w:rsidRDefault="00236257" w:rsidP="00886E99">
            <w:pPr>
              <w:spacing w:line="240" w:lineRule="auto"/>
              <w:rPr>
                <w:rStyle w:val="Heading1Char"/>
                <w:sz w:val="22"/>
                <w:szCs w:val="22"/>
                <w:lang w:val="en-GB"/>
              </w:rPr>
            </w:pPr>
            <w:r>
              <w:rPr>
                <w:rStyle w:val="Heading1Char"/>
                <w:sz w:val="22"/>
                <w:szCs w:val="22"/>
                <w:lang w:val="en-GB"/>
              </w:rPr>
              <w:t>ObesityLgcl</w:t>
            </w:r>
          </w:p>
        </w:tc>
        <w:tc>
          <w:tcPr>
            <w:tcW w:w="2410" w:type="dxa"/>
            <w:tcBorders>
              <w:bottom w:val="single" w:sz="4" w:space="0" w:color="auto"/>
            </w:tcBorders>
          </w:tcPr>
          <w:p w14:paraId="2241ACEC" w14:textId="77777777" w:rsidR="00236257" w:rsidRDefault="00236257" w:rsidP="00886E99">
            <w:pPr>
              <w:spacing w:line="240" w:lineRule="auto"/>
              <w:rPr>
                <w:rStyle w:val="Heading1Char"/>
                <w:sz w:val="22"/>
                <w:szCs w:val="22"/>
                <w:lang w:val="en-GB"/>
              </w:rPr>
            </w:pPr>
            <w:r>
              <w:rPr>
                <w:rStyle w:val="Heading1Char"/>
                <w:sz w:val="22"/>
                <w:szCs w:val="22"/>
                <w:lang w:val="en-GB"/>
              </w:rPr>
              <w:t>ObeseParents</w:t>
            </w:r>
          </w:p>
        </w:tc>
        <w:tc>
          <w:tcPr>
            <w:tcW w:w="992" w:type="dxa"/>
            <w:tcBorders>
              <w:bottom w:val="single" w:sz="4" w:space="0" w:color="auto"/>
            </w:tcBorders>
          </w:tcPr>
          <w:p w14:paraId="4C93AF74" w14:textId="77777777" w:rsidR="00236257" w:rsidRDefault="00236257" w:rsidP="00886E99">
            <w:pPr>
              <w:spacing w:line="240" w:lineRule="auto"/>
              <w:rPr>
                <w:rStyle w:val="Heading1Char"/>
                <w:sz w:val="22"/>
                <w:szCs w:val="22"/>
                <w:lang w:val="en-GB"/>
              </w:rPr>
            </w:pPr>
            <w:r>
              <w:rPr>
                <w:rStyle w:val="Heading1Char"/>
                <w:sz w:val="22"/>
                <w:szCs w:val="22"/>
                <w:lang w:val="en-GB"/>
              </w:rPr>
              <w:t>Mother</w:t>
            </w:r>
          </w:p>
          <w:p w14:paraId="58BEC730" w14:textId="77777777" w:rsidR="00236257" w:rsidRDefault="00236257" w:rsidP="00886E99">
            <w:pPr>
              <w:spacing w:line="240" w:lineRule="auto"/>
              <w:rPr>
                <w:rStyle w:val="Heading1Char"/>
                <w:sz w:val="22"/>
                <w:szCs w:val="22"/>
                <w:lang w:val="en-GB"/>
              </w:rPr>
            </w:pPr>
            <w:r>
              <w:rPr>
                <w:rStyle w:val="Heading1Char"/>
                <w:sz w:val="22"/>
                <w:szCs w:val="22"/>
                <w:lang w:val="en-GB"/>
              </w:rPr>
              <w:t>Diet</w:t>
            </w:r>
          </w:p>
        </w:tc>
        <w:tc>
          <w:tcPr>
            <w:tcW w:w="993" w:type="dxa"/>
            <w:tcBorders>
              <w:bottom w:val="single" w:sz="4" w:space="0" w:color="auto"/>
            </w:tcBorders>
          </w:tcPr>
          <w:p w14:paraId="29EC524F" w14:textId="77777777" w:rsidR="00236257" w:rsidRDefault="00236257" w:rsidP="00886E99">
            <w:pPr>
              <w:spacing w:line="240" w:lineRule="auto"/>
              <w:rPr>
                <w:rStyle w:val="Heading1Char"/>
                <w:sz w:val="22"/>
                <w:szCs w:val="22"/>
                <w:lang w:val="en-GB"/>
              </w:rPr>
            </w:pPr>
            <w:r>
              <w:rPr>
                <w:rStyle w:val="Heading1Char"/>
                <w:sz w:val="22"/>
                <w:szCs w:val="22"/>
                <w:lang w:val="en-GB"/>
              </w:rPr>
              <w:t>Father</w:t>
            </w:r>
          </w:p>
          <w:p w14:paraId="6A1E5A51" w14:textId="77777777" w:rsidR="00236257" w:rsidRDefault="00236257" w:rsidP="00886E99">
            <w:pPr>
              <w:spacing w:line="240" w:lineRule="auto"/>
              <w:rPr>
                <w:rStyle w:val="Heading1Char"/>
                <w:sz w:val="22"/>
                <w:szCs w:val="22"/>
                <w:lang w:val="en-GB"/>
              </w:rPr>
            </w:pPr>
            <w:r>
              <w:rPr>
                <w:rStyle w:val="Heading1Char"/>
                <w:sz w:val="22"/>
                <w:szCs w:val="22"/>
                <w:lang w:val="en-GB"/>
              </w:rPr>
              <w:t>Diet</w:t>
            </w:r>
          </w:p>
        </w:tc>
        <w:tc>
          <w:tcPr>
            <w:tcW w:w="1275" w:type="dxa"/>
            <w:tcBorders>
              <w:bottom w:val="single" w:sz="4" w:space="0" w:color="auto"/>
            </w:tcBorders>
          </w:tcPr>
          <w:p w14:paraId="297BC96B" w14:textId="77777777" w:rsidR="00236257" w:rsidRDefault="00236257" w:rsidP="00886E99">
            <w:pPr>
              <w:spacing w:line="240" w:lineRule="auto"/>
              <w:rPr>
                <w:rStyle w:val="Heading1Char"/>
                <w:sz w:val="22"/>
                <w:szCs w:val="22"/>
                <w:lang w:val="en-GB"/>
              </w:rPr>
            </w:pPr>
            <w:r>
              <w:rPr>
                <w:rStyle w:val="Heading1Char"/>
                <w:sz w:val="22"/>
                <w:szCs w:val="22"/>
                <w:lang w:val="en-GB"/>
              </w:rPr>
              <w:t>MotherId</w:t>
            </w:r>
          </w:p>
        </w:tc>
        <w:tc>
          <w:tcPr>
            <w:tcW w:w="1134" w:type="dxa"/>
            <w:tcBorders>
              <w:bottom w:val="single" w:sz="4" w:space="0" w:color="auto"/>
            </w:tcBorders>
          </w:tcPr>
          <w:p w14:paraId="0CEAC83E" w14:textId="77777777" w:rsidR="00236257" w:rsidRDefault="00236257" w:rsidP="00886E99">
            <w:pPr>
              <w:spacing w:line="240" w:lineRule="auto"/>
              <w:rPr>
                <w:rStyle w:val="Heading1Char"/>
                <w:sz w:val="22"/>
                <w:szCs w:val="22"/>
                <w:lang w:val="en-GB"/>
              </w:rPr>
            </w:pPr>
            <w:r>
              <w:rPr>
                <w:rStyle w:val="Heading1Char"/>
                <w:sz w:val="22"/>
                <w:szCs w:val="22"/>
                <w:lang w:val="en-GB"/>
              </w:rPr>
              <w:t>FatherId</w:t>
            </w:r>
          </w:p>
        </w:tc>
      </w:tr>
      <w:tr w:rsidR="00236257" w14:paraId="00C00FE9" w14:textId="77777777" w:rsidTr="00886E99">
        <w:trPr>
          <w:trHeight w:val="875"/>
        </w:trPr>
        <w:tc>
          <w:tcPr>
            <w:tcW w:w="993" w:type="dxa"/>
            <w:tcBorders>
              <w:top w:val="single" w:sz="4" w:space="0" w:color="auto"/>
            </w:tcBorders>
          </w:tcPr>
          <w:p w14:paraId="6A9A1EB1"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lastRenderedPageBreak/>
              <w:t>A285</w:t>
            </w:r>
          </w:p>
        </w:tc>
        <w:tc>
          <w:tcPr>
            <w:tcW w:w="709" w:type="dxa"/>
            <w:tcBorders>
              <w:top w:val="single" w:sz="4" w:space="0" w:color="auto"/>
            </w:tcBorders>
          </w:tcPr>
          <w:p w14:paraId="35985CFE"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w:t>
            </w:r>
          </w:p>
        </w:tc>
        <w:tc>
          <w:tcPr>
            <w:tcW w:w="1559" w:type="dxa"/>
            <w:tcBorders>
              <w:top w:val="single" w:sz="4" w:space="0" w:color="auto"/>
            </w:tcBorders>
          </w:tcPr>
          <w:p w14:paraId="31345D4F"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FALSE</w:t>
            </w:r>
          </w:p>
        </w:tc>
        <w:tc>
          <w:tcPr>
            <w:tcW w:w="2410" w:type="dxa"/>
            <w:tcBorders>
              <w:top w:val="single" w:sz="4" w:space="0" w:color="auto"/>
            </w:tcBorders>
          </w:tcPr>
          <w:p w14:paraId="40EC5BCB"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MotherObese</w:t>
            </w:r>
          </w:p>
        </w:tc>
        <w:tc>
          <w:tcPr>
            <w:tcW w:w="992" w:type="dxa"/>
            <w:tcBorders>
              <w:top w:val="single" w:sz="4" w:space="0" w:color="auto"/>
            </w:tcBorders>
          </w:tcPr>
          <w:p w14:paraId="468A4826"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HFD</w:t>
            </w:r>
          </w:p>
        </w:tc>
        <w:tc>
          <w:tcPr>
            <w:tcW w:w="993" w:type="dxa"/>
            <w:tcBorders>
              <w:top w:val="single" w:sz="4" w:space="0" w:color="auto"/>
            </w:tcBorders>
          </w:tcPr>
          <w:p w14:paraId="41FEA5A2"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CD</w:t>
            </w:r>
          </w:p>
        </w:tc>
        <w:tc>
          <w:tcPr>
            <w:tcW w:w="1275" w:type="dxa"/>
            <w:tcBorders>
              <w:top w:val="single" w:sz="4" w:space="0" w:color="auto"/>
            </w:tcBorders>
          </w:tcPr>
          <w:p w14:paraId="61250ACC"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8993</w:t>
            </w:r>
          </w:p>
        </w:tc>
        <w:tc>
          <w:tcPr>
            <w:tcW w:w="1134" w:type="dxa"/>
            <w:tcBorders>
              <w:top w:val="single" w:sz="4" w:space="0" w:color="auto"/>
            </w:tcBorders>
          </w:tcPr>
          <w:p w14:paraId="651C10DE"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8345</w:t>
            </w:r>
          </w:p>
        </w:tc>
      </w:tr>
      <w:tr w:rsidR="00236257" w14:paraId="0925C21E" w14:textId="77777777" w:rsidTr="00886E99">
        <w:trPr>
          <w:trHeight w:val="875"/>
        </w:trPr>
        <w:tc>
          <w:tcPr>
            <w:tcW w:w="993" w:type="dxa"/>
          </w:tcPr>
          <w:p w14:paraId="632F0967"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A298</w:t>
            </w:r>
          </w:p>
        </w:tc>
        <w:tc>
          <w:tcPr>
            <w:tcW w:w="709" w:type="dxa"/>
          </w:tcPr>
          <w:p w14:paraId="1E889142"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w:t>
            </w:r>
          </w:p>
        </w:tc>
        <w:tc>
          <w:tcPr>
            <w:tcW w:w="1559" w:type="dxa"/>
          </w:tcPr>
          <w:p w14:paraId="783951F0"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FALSE</w:t>
            </w:r>
          </w:p>
        </w:tc>
        <w:tc>
          <w:tcPr>
            <w:tcW w:w="2410" w:type="dxa"/>
          </w:tcPr>
          <w:p w14:paraId="4A095089"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FatherObese</w:t>
            </w:r>
          </w:p>
        </w:tc>
        <w:tc>
          <w:tcPr>
            <w:tcW w:w="992" w:type="dxa"/>
          </w:tcPr>
          <w:p w14:paraId="6263646B"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CD</w:t>
            </w:r>
          </w:p>
        </w:tc>
        <w:tc>
          <w:tcPr>
            <w:tcW w:w="993" w:type="dxa"/>
          </w:tcPr>
          <w:p w14:paraId="1A10561C"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HFD</w:t>
            </w:r>
          </w:p>
        </w:tc>
        <w:tc>
          <w:tcPr>
            <w:tcW w:w="1275" w:type="dxa"/>
          </w:tcPr>
          <w:p w14:paraId="7FC41F99"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8986</w:t>
            </w:r>
          </w:p>
        </w:tc>
        <w:tc>
          <w:tcPr>
            <w:tcW w:w="1134" w:type="dxa"/>
          </w:tcPr>
          <w:p w14:paraId="21FD2FF6"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8005</w:t>
            </w:r>
          </w:p>
        </w:tc>
      </w:tr>
      <w:tr w:rsidR="00236257" w14:paraId="0834AF1B" w14:textId="77777777" w:rsidTr="00886E99">
        <w:trPr>
          <w:trHeight w:val="875"/>
        </w:trPr>
        <w:tc>
          <w:tcPr>
            <w:tcW w:w="993" w:type="dxa"/>
          </w:tcPr>
          <w:p w14:paraId="0894B2E6"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A299</w:t>
            </w:r>
          </w:p>
        </w:tc>
        <w:tc>
          <w:tcPr>
            <w:tcW w:w="709" w:type="dxa"/>
          </w:tcPr>
          <w:p w14:paraId="4B9FC54C"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w:t>
            </w:r>
          </w:p>
        </w:tc>
        <w:tc>
          <w:tcPr>
            <w:tcW w:w="1559" w:type="dxa"/>
          </w:tcPr>
          <w:p w14:paraId="4B60C0BC"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FALSE</w:t>
            </w:r>
          </w:p>
        </w:tc>
        <w:tc>
          <w:tcPr>
            <w:tcW w:w="2410" w:type="dxa"/>
          </w:tcPr>
          <w:p w14:paraId="59CEDB1D"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FatherObese</w:t>
            </w:r>
          </w:p>
        </w:tc>
        <w:tc>
          <w:tcPr>
            <w:tcW w:w="992" w:type="dxa"/>
          </w:tcPr>
          <w:p w14:paraId="6FB8DA2C"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CD</w:t>
            </w:r>
          </w:p>
        </w:tc>
        <w:tc>
          <w:tcPr>
            <w:tcW w:w="993" w:type="dxa"/>
          </w:tcPr>
          <w:p w14:paraId="2196C6BE"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HFD</w:t>
            </w:r>
          </w:p>
        </w:tc>
        <w:tc>
          <w:tcPr>
            <w:tcW w:w="1275" w:type="dxa"/>
          </w:tcPr>
          <w:p w14:paraId="30532B22"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8986</w:t>
            </w:r>
          </w:p>
        </w:tc>
        <w:tc>
          <w:tcPr>
            <w:tcW w:w="1134" w:type="dxa"/>
          </w:tcPr>
          <w:p w14:paraId="01AA9577"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8005</w:t>
            </w:r>
          </w:p>
        </w:tc>
      </w:tr>
      <w:tr w:rsidR="00236257" w14:paraId="13757CBF" w14:textId="77777777" w:rsidTr="00886E99">
        <w:trPr>
          <w:trHeight w:val="875"/>
        </w:trPr>
        <w:tc>
          <w:tcPr>
            <w:tcW w:w="993" w:type="dxa"/>
          </w:tcPr>
          <w:p w14:paraId="682E4D1D"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A300</w:t>
            </w:r>
          </w:p>
        </w:tc>
        <w:tc>
          <w:tcPr>
            <w:tcW w:w="709" w:type="dxa"/>
          </w:tcPr>
          <w:p w14:paraId="53514C1C"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w:t>
            </w:r>
          </w:p>
        </w:tc>
        <w:tc>
          <w:tcPr>
            <w:tcW w:w="1559" w:type="dxa"/>
          </w:tcPr>
          <w:p w14:paraId="70E19F04"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FALSE</w:t>
            </w:r>
          </w:p>
        </w:tc>
        <w:tc>
          <w:tcPr>
            <w:tcW w:w="2410" w:type="dxa"/>
          </w:tcPr>
          <w:p w14:paraId="1A9E5C49"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FatherObese</w:t>
            </w:r>
          </w:p>
        </w:tc>
        <w:tc>
          <w:tcPr>
            <w:tcW w:w="992" w:type="dxa"/>
          </w:tcPr>
          <w:p w14:paraId="48470B80"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CD</w:t>
            </w:r>
          </w:p>
        </w:tc>
        <w:tc>
          <w:tcPr>
            <w:tcW w:w="993" w:type="dxa"/>
          </w:tcPr>
          <w:p w14:paraId="68910311"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HFD</w:t>
            </w:r>
          </w:p>
        </w:tc>
        <w:tc>
          <w:tcPr>
            <w:tcW w:w="1275" w:type="dxa"/>
          </w:tcPr>
          <w:p w14:paraId="1E2F8DA7"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8986</w:t>
            </w:r>
          </w:p>
        </w:tc>
        <w:tc>
          <w:tcPr>
            <w:tcW w:w="1134" w:type="dxa"/>
          </w:tcPr>
          <w:p w14:paraId="2159F76B"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8005</w:t>
            </w:r>
          </w:p>
        </w:tc>
      </w:tr>
      <w:tr w:rsidR="00236257" w14:paraId="7E5BCCBA" w14:textId="77777777" w:rsidTr="00886E99">
        <w:trPr>
          <w:trHeight w:val="875"/>
        </w:trPr>
        <w:tc>
          <w:tcPr>
            <w:tcW w:w="993" w:type="dxa"/>
          </w:tcPr>
          <w:p w14:paraId="1D3F59B2"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A305</w:t>
            </w:r>
          </w:p>
        </w:tc>
        <w:tc>
          <w:tcPr>
            <w:tcW w:w="709" w:type="dxa"/>
          </w:tcPr>
          <w:p w14:paraId="2260BEE2"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w:t>
            </w:r>
          </w:p>
        </w:tc>
        <w:tc>
          <w:tcPr>
            <w:tcW w:w="1559" w:type="dxa"/>
          </w:tcPr>
          <w:p w14:paraId="7487A6EF"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FALSE</w:t>
            </w:r>
          </w:p>
        </w:tc>
        <w:tc>
          <w:tcPr>
            <w:tcW w:w="2410" w:type="dxa"/>
          </w:tcPr>
          <w:p w14:paraId="131C1FEE"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FatherObese</w:t>
            </w:r>
          </w:p>
        </w:tc>
        <w:tc>
          <w:tcPr>
            <w:tcW w:w="992" w:type="dxa"/>
          </w:tcPr>
          <w:p w14:paraId="39019FBD"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CD</w:t>
            </w:r>
          </w:p>
        </w:tc>
        <w:tc>
          <w:tcPr>
            <w:tcW w:w="993" w:type="dxa"/>
          </w:tcPr>
          <w:p w14:paraId="0E59EAEF"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HFD</w:t>
            </w:r>
          </w:p>
        </w:tc>
        <w:tc>
          <w:tcPr>
            <w:tcW w:w="1275" w:type="dxa"/>
          </w:tcPr>
          <w:p w14:paraId="2A967B10"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8987</w:t>
            </w:r>
          </w:p>
        </w:tc>
        <w:tc>
          <w:tcPr>
            <w:tcW w:w="1134" w:type="dxa"/>
          </w:tcPr>
          <w:p w14:paraId="69FBDD0B"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8005</w:t>
            </w:r>
          </w:p>
        </w:tc>
      </w:tr>
      <w:tr w:rsidR="00236257" w14:paraId="65166B29" w14:textId="77777777" w:rsidTr="00886E99">
        <w:trPr>
          <w:trHeight w:val="875"/>
        </w:trPr>
        <w:tc>
          <w:tcPr>
            <w:tcW w:w="993" w:type="dxa"/>
          </w:tcPr>
          <w:p w14:paraId="22CA04B1"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A312</w:t>
            </w:r>
          </w:p>
        </w:tc>
        <w:tc>
          <w:tcPr>
            <w:tcW w:w="709" w:type="dxa"/>
          </w:tcPr>
          <w:p w14:paraId="3B22BD5D"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w:t>
            </w:r>
          </w:p>
        </w:tc>
        <w:tc>
          <w:tcPr>
            <w:tcW w:w="1559" w:type="dxa"/>
          </w:tcPr>
          <w:p w14:paraId="3EC76211"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FALSE</w:t>
            </w:r>
          </w:p>
        </w:tc>
        <w:tc>
          <w:tcPr>
            <w:tcW w:w="2410" w:type="dxa"/>
          </w:tcPr>
          <w:p w14:paraId="0209F262"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MotherFatherObese</w:t>
            </w:r>
          </w:p>
        </w:tc>
        <w:tc>
          <w:tcPr>
            <w:tcW w:w="992" w:type="dxa"/>
          </w:tcPr>
          <w:p w14:paraId="52A442A9"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HFD</w:t>
            </w:r>
          </w:p>
        </w:tc>
        <w:tc>
          <w:tcPr>
            <w:tcW w:w="993" w:type="dxa"/>
          </w:tcPr>
          <w:p w14:paraId="029E3BEC"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HFD</w:t>
            </w:r>
          </w:p>
        </w:tc>
        <w:tc>
          <w:tcPr>
            <w:tcW w:w="1275" w:type="dxa"/>
          </w:tcPr>
          <w:p w14:paraId="0B6D6DC8"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8990</w:t>
            </w:r>
          </w:p>
        </w:tc>
        <w:tc>
          <w:tcPr>
            <w:tcW w:w="1134" w:type="dxa"/>
          </w:tcPr>
          <w:p w14:paraId="0019491C"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8335</w:t>
            </w:r>
          </w:p>
        </w:tc>
      </w:tr>
      <w:tr w:rsidR="00236257" w14:paraId="3E12FB1F" w14:textId="77777777" w:rsidTr="00886E99">
        <w:trPr>
          <w:trHeight w:val="875"/>
        </w:trPr>
        <w:tc>
          <w:tcPr>
            <w:tcW w:w="993" w:type="dxa"/>
          </w:tcPr>
          <w:p w14:paraId="2819F717"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A313</w:t>
            </w:r>
          </w:p>
        </w:tc>
        <w:tc>
          <w:tcPr>
            <w:tcW w:w="709" w:type="dxa"/>
          </w:tcPr>
          <w:p w14:paraId="0728FCDC"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w:t>
            </w:r>
          </w:p>
        </w:tc>
        <w:tc>
          <w:tcPr>
            <w:tcW w:w="1559" w:type="dxa"/>
          </w:tcPr>
          <w:p w14:paraId="4A792CAF"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FALSE</w:t>
            </w:r>
          </w:p>
        </w:tc>
        <w:tc>
          <w:tcPr>
            <w:tcW w:w="2410" w:type="dxa"/>
          </w:tcPr>
          <w:p w14:paraId="25B40839"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MotherFatherObese</w:t>
            </w:r>
          </w:p>
        </w:tc>
        <w:tc>
          <w:tcPr>
            <w:tcW w:w="992" w:type="dxa"/>
          </w:tcPr>
          <w:p w14:paraId="06AC3399"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HFD</w:t>
            </w:r>
          </w:p>
        </w:tc>
        <w:tc>
          <w:tcPr>
            <w:tcW w:w="993" w:type="dxa"/>
          </w:tcPr>
          <w:p w14:paraId="17443399"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HFD</w:t>
            </w:r>
          </w:p>
        </w:tc>
        <w:tc>
          <w:tcPr>
            <w:tcW w:w="1275" w:type="dxa"/>
          </w:tcPr>
          <w:p w14:paraId="2E7C4535"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8990</w:t>
            </w:r>
          </w:p>
        </w:tc>
        <w:tc>
          <w:tcPr>
            <w:tcW w:w="1134" w:type="dxa"/>
          </w:tcPr>
          <w:p w14:paraId="7077C6D0"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8335</w:t>
            </w:r>
          </w:p>
        </w:tc>
      </w:tr>
      <w:tr w:rsidR="00236257" w14:paraId="51259594" w14:textId="77777777" w:rsidTr="00886E99">
        <w:trPr>
          <w:trHeight w:val="875"/>
        </w:trPr>
        <w:tc>
          <w:tcPr>
            <w:tcW w:w="993" w:type="dxa"/>
          </w:tcPr>
          <w:p w14:paraId="79389AEA"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A320</w:t>
            </w:r>
          </w:p>
        </w:tc>
        <w:tc>
          <w:tcPr>
            <w:tcW w:w="709" w:type="dxa"/>
          </w:tcPr>
          <w:p w14:paraId="0B9C0E3A"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w:t>
            </w:r>
          </w:p>
        </w:tc>
        <w:tc>
          <w:tcPr>
            <w:tcW w:w="1559" w:type="dxa"/>
          </w:tcPr>
          <w:p w14:paraId="7CDA8D6D"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FALSE</w:t>
            </w:r>
          </w:p>
        </w:tc>
        <w:tc>
          <w:tcPr>
            <w:tcW w:w="2410" w:type="dxa"/>
          </w:tcPr>
          <w:p w14:paraId="67707DF0"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MotherFatherObese</w:t>
            </w:r>
          </w:p>
        </w:tc>
        <w:tc>
          <w:tcPr>
            <w:tcW w:w="992" w:type="dxa"/>
          </w:tcPr>
          <w:p w14:paraId="619C5D64"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HFD</w:t>
            </w:r>
          </w:p>
        </w:tc>
        <w:tc>
          <w:tcPr>
            <w:tcW w:w="993" w:type="dxa"/>
          </w:tcPr>
          <w:p w14:paraId="46B7B32C"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HFD</w:t>
            </w:r>
          </w:p>
        </w:tc>
        <w:tc>
          <w:tcPr>
            <w:tcW w:w="1275" w:type="dxa"/>
          </w:tcPr>
          <w:p w14:paraId="106183C4"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8991</w:t>
            </w:r>
          </w:p>
        </w:tc>
        <w:tc>
          <w:tcPr>
            <w:tcW w:w="1134" w:type="dxa"/>
          </w:tcPr>
          <w:p w14:paraId="0808B572"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8335</w:t>
            </w:r>
          </w:p>
        </w:tc>
      </w:tr>
      <w:tr w:rsidR="00236257" w14:paraId="0D0EA32C" w14:textId="77777777" w:rsidTr="00886E99">
        <w:trPr>
          <w:trHeight w:val="875"/>
        </w:trPr>
        <w:tc>
          <w:tcPr>
            <w:tcW w:w="993" w:type="dxa"/>
          </w:tcPr>
          <w:p w14:paraId="29E82D54"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A321</w:t>
            </w:r>
          </w:p>
        </w:tc>
        <w:tc>
          <w:tcPr>
            <w:tcW w:w="709" w:type="dxa"/>
          </w:tcPr>
          <w:p w14:paraId="4B1FABD5"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w:t>
            </w:r>
          </w:p>
        </w:tc>
        <w:tc>
          <w:tcPr>
            <w:tcW w:w="1559" w:type="dxa"/>
          </w:tcPr>
          <w:p w14:paraId="190FECB0"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FALSE</w:t>
            </w:r>
          </w:p>
        </w:tc>
        <w:tc>
          <w:tcPr>
            <w:tcW w:w="2410" w:type="dxa"/>
          </w:tcPr>
          <w:p w14:paraId="12F7DB68"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MotherFatherObese</w:t>
            </w:r>
          </w:p>
        </w:tc>
        <w:tc>
          <w:tcPr>
            <w:tcW w:w="992" w:type="dxa"/>
          </w:tcPr>
          <w:p w14:paraId="49A8D27D"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HFD</w:t>
            </w:r>
          </w:p>
        </w:tc>
        <w:tc>
          <w:tcPr>
            <w:tcW w:w="993" w:type="dxa"/>
          </w:tcPr>
          <w:p w14:paraId="6C9FD79B"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HFD</w:t>
            </w:r>
          </w:p>
        </w:tc>
        <w:tc>
          <w:tcPr>
            <w:tcW w:w="1275" w:type="dxa"/>
          </w:tcPr>
          <w:p w14:paraId="4B1F391D"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8991</w:t>
            </w:r>
          </w:p>
        </w:tc>
        <w:tc>
          <w:tcPr>
            <w:tcW w:w="1134" w:type="dxa"/>
          </w:tcPr>
          <w:p w14:paraId="07DEE548"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8335</w:t>
            </w:r>
          </w:p>
        </w:tc>
      </w:tr>
      <w:tr w:rsidR="00236257" w14:paraId="2C78D7F3" w14:textId="77777777" w:rsidTr="00886E99">
        <w:trPr>
          <w:trHeight w:val="875"/>
        </w:trPr>
        <w:tc>
          <w:tcPr>
            <w:tcW w:w="993" w:type="dxa"/>
          </w:tcPr>
          <w:p w14:paraId="05968250"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A339</w:t>
            </w:r>
          </w:p>
        </w:tc>
        <w:tc>
          <w:tcPr>
            <w:tcW w:w="709" w:type="dxa"/>
          </w:tcPr>
          <w:p w14:paraId="7A11FACB"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w:t>
            </w:r>
          </w:p>
        </w:tc>
        <w:tc>
          <w:tcPr>
            <w:tcW w:w="1559" w:type="dxa"/>
          </w:tcPr>
          <w:p w14:paraId="1ECF45BE"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FALSE</w:t>
            </w:r>
          </w:p>
        </w:tc>
        <w:tc>
          <w:tcPr>
            <w:tcW w:w="2410" w:type="dxa"/>
          </w:tcPr>
          <w:p w14:paraId="10B35794"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MotherFatherNotObese</w:t>
            </w:r>
          </w:p>
        </w:tc>
        <w:tc>
          <w:tcPr>
            <w:tcW w:w="992" w:type="dxa"/>
          </w:tcPr>
          <w:p w14:paraId="4B337C2B"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CD</w:t>
            </w:r>
          </w:p>
        </w:tc>
        <w:tc>
          <w:tcPr>
            <w:tcW w:w="993" w:type="dxa"/>
          </w:tcPr>
          <w:p w14:paraId="112F4854"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CD</w:t>
            </w:r>
          </w:p>
        </w:tc>
        <w:tc>
          <w:tcPr>
            <w:tcW w:w="1275" w:type="dxa"/>
          </w:tcPr>
          <w:p w14:paraId="5DF675A9"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8988</w:t>
            </w:r>
          </w:p>
        </w:tc>
        <w:tc>
          <w:tcPr>
            <w:tcW w:w="1134" w:type="dxa"/>
          </w:tcPr>
          <w:p w14:paraId="530CC89C"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8344</w:t>
            </w:r>
          </w:p>
        </w:tc>
      </w:tr>
      <w:tr w:rsidR="00236257" w14:paraId="34742E9D" w14:textId="77777777" w:rsidTr="00886E99">
        <w:trPr>
          <w:trHeight w:val="875"/>
        </w:trPr>
        <w:tc>
          <w:tcPr>
            <w:tcW w:w="993" w:type="dxa"/>
          </w:tcPr>
          <w:p w14:paraId="33013F7F"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A340</w:t>
            </w:r>
          </w:p>
        </w:tc>
        <w:tc>
          <w:tcPr>
            <w:tcW w:w="709" w:type="dxa"/>
          </w:tcPr>
          <w:p w14:paraId="51EDCA25"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w:t>
            </w:r>
          </w:p>
        </w:tc>
        <w:tc>
          <w:tcPr>
            <w:tcW w:w="1559" w:type="dxa"/>
          </w:tcPr>
          <w:p w14:paraId="2A70D392"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FALSE</w:t>
            </w:r>
          </w:p>
        </w:tc>
        <w:tc>
          <w:tcPr>
            <w:tcW w:w="2410" w:type="dxa"/>
          </w:tcPr>
          <w:p w14:paraId="4571519E"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MotherFatherNotObese</w:t>
            </w:r>
          </w:p>
        </w:tc>
        <w:tc>
          <w:tcPr>
            <w:tcW w:w="992" w:type="dxa"/>
          </w:tcPr>
          <w:p w14:paraId="2755027A"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CD</w:t>
            </w:r>
          </w:p>
        </w:tc>
        <w:tc>
          <w:tcPr>
            <w:tcW w:w="993" w:type="dxa"/>
          </w:tcPr>
          <w:p w14:paraId="034CC144"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CD</w:t>
            </w:r>
          </w:p>
        </w:tc>
        <w:tc>
          <w:tcPr>
            <w:tcW w:w="1275" w:type="dxa"/>
          </w:tcPr>
          <w:p w14:paraId="329EF0FF"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8988</w:t>
            </w:r>
          </w:p>
        </w:tc>
        <w:tc>
          <w:tcPr>
            <w:tcW w:w="1134" w:type="dxa"/>
          </w:tcPr>
          <w:p w14:paraId="16902F53"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8344</w:t>
            </w:r>
          </w:p>
        </w:tc>
      </w:tr>
      <w:tr w:rsidR="00236257" w14:paraId="791C024A" w14:textId="77777777" w:rsidTr="00886E99">
        <w:trPr>
          <w:trHeight w:val="875"/>
        </w:trPr>
        <w:tc>
          <w:tcPr>
            <w:tcW w:w="993" w:type="dxa"/>
          </w:tcPr>
          <w:p w14:paraId="682CFDFF"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A342</w:t>
            </w:r>
          </w:p>
        </w:tc>
        <w:tc>
          <w:tcPr>
            <w:tcW w:w="709" w:type="dxa"/>
          </w:tcPr>
          <w:p w14:paraId="21190BFC"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w:t>
            </w:r>
          </w:p>
        </w:tc>
        <w:tc>
          <w:tcPr>
            <w:tcW w:w="1559" w:type="dxa"/>
          </w:tcPr>
          <w:p w14:paraId="58ED8F0C"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FALSE</w:t>
            </w:r>
          </w:p>
        </w:tc>
        <w:tc>
          <w:tcPr>
            <w:tcW w:w="2410" w:type="dxa"/>
          </w:tcPr>
          <w:p w14:paraId="2C95AAA8"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MotherFatherNotObese</w:t>
            </w:r>
          </w:p>
        </w:tc>
        <w:tc>
          <w:tcPr>
            <w:tcW w:w="992" w:type="dxa"/>
          </w:tcPr>
          <w:p w14:paraId="04C0CD12"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CD</w:t>
            </w:r>
          </w:p>
        </w:tc>
        <w:tc>
          <w:tcPr>
            <w:tcW w:w="993" w:type="dxa"/>
          </w:tcPr>
          <w:p w14:paraId="7387DD70"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CD</w:t>
            </w:r>
          </w:p>
        </w:tc>
        <w:tc>
          <w:tcPr>
            <w:tcW w:w="1275" w:type="dxa"/>
          </w:tcPr>
          <w:p w14:paraId="3E4710D7"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8988</w:t>
            </w:r>
          </w:p>
        </w:tc>
        <w:tc>
          <w:tcPr>
            <w:tcW w:w="1134" w:type="dxa"/>
          </w:tcPr>
          <w:p w14:paraId="475DEB63"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8344</w:t>
            </w:r>
          </w:p>
        </w:tc>
      </w:tr>
      <w:tr w:rsidR="00236257" w14:paraId="7BA328CA" w14:textId="77777777" w:rsidTr="00886E99">
        <w:trPr>
          <w:trHeight w:val="875"/>
        </w:trPr>
        <w:tc>
          <w:tcPr>
            <w:tcW w:w="993" w:type="dxa"/>
          </w:tcPr>
          <w:p w14:paraId="4290BC1B"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A346</w:t>
            </w:r>
          </w:p>
        </w:tc>
        <w:tc>
          <w:tcPr>
            <w:tcW w:w="709" w:type="dxa"/>
          </w:tcPr>
          <w:p w14:paraId="458D2EF3"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w:t>
            </w:r>
          </w:p>
        </w:tc>
        <w:tc>
          <w:tcPr>
            <w:tcW w:w="1559" w:type="dxa"/>
          </w:tcPr>
          <w:p w14:paraId="544F03A2"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FALSE</w:t>
            </w:r>
          </w:p>
        </w:tc>
        <w:tc>
          <w:tcPr>
            <w:tcW w:w="2410" w:type="dxa"/>
          </w:tcPr>
          <w:p w14:paraId="764B3225"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MotherFatherNotObese</w:t>
            </w:r>
          </w:p>
        </w:tc>
        <w:tc>
          <w:tcPr>
            <w:tcW w:w="992" w:type="dxa"/>
          </w:tcPr>
          <w:p w14:paraId="3DCF9C8B"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HFD</w:t>
            </w:r>
          </w:p>
        </w:tc>
        <w:tc>
          <w:tcPr>
            <w:tcW w:w="993" w:type="dxa"/>
          </w:tcPr>
          <w:p w14:paraId="60B557F0"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CD</w:t>
            </w:r>
          </w:p>
        </w:tc>
        <w:tc>
          <w:tcPr>
            <w:tcW w:w="1275" w:type="dxa"/>
          </w:tcPr>
          <w:p w14:paraId="27FB6B0E"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8992</w:t>
            </w:r>
          </w:p>
        </w:tc>
        <w:tc>
          <w:tcPr>
            <w:tcW w:w="1134" w:type="dxa"/>
          </w:tcPr>
          <w:p w14:paraId="7346BBE5"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8345</w:t>
            </w:r>
          </w:p>
        </w:tc>
      </w:tr>
      <w:tr w:rsidR="00236257" w14:paraId="33C2D129" w14:textId="77777777" w:rsidTr="00886E99">
        <w:trPr>
          <w:trHeight w:val="875"/>
        </w:trPr>
        <w:tc>
          <w:tcPr>
            <w:tcW w:w="993" w:type="dxa"/>
          </w:tcPr>
          <w:p w14:paraId="3D60BD1A"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A347</w:t>
            </w:r>
          </w:p>
        </w:tc>
        <w:tc>
          <w:tcPr>
            <w:tcW w:w="709" w:type="dxa"/>
          </w:tcPr>
          <w:p w14:paraId="434361B1"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w:t>
            </w:r>
          </w:p>
        </w:tc>
        <w:tc>
          <w:tcPr>
            <w:tcW w:w="1559" w:type="dxa"/>
          </w:tcPr>
          <w:p w14:paraId="0B079593"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FALSE</w:t>
            </w:r>
          </w:p>
        </w:tc>
        <w:tc>
          <w:tcPr>
            <w:tcW w:w="2410" w:type="dxa"/>
          </w:tcPr>
          <w:p w14:paraId="3D01ECD0"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MotherFatherNotObese</w:t>
            </w:r>
          </w:p>
        </w:tc>
        <w:tc>
          <w:tcPr>
            <w:tcW w:w="992" w:type="dxa"/>
          </w:tcPr>
          <w:p w14:paraId="0DE6BB30"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HFD</w:t>
            </w:r>
          </w:p>
        </w:tc>
        <w:tc>
          <w:tcPr>
            <w:tcW w:w="993" w:type="dxa"/>
          </w:tcPr>
          <w:p w14:paraId="67A7C8D2"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CD</w:t>
            </w:r>
          </w:p>
        </w:tc>
        <w:tc>
          <w:tcPr>
            <w:tcW w:w="1275" w:type="dxa"/>
          </w:tcPr>
          <w:p w14:paraId="2AD01CD2"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8992</w:t>
            </w:r>
          </w:p>
        </w:tc>
        <w:tc>
          <w:tcPr>
            <w:tcW w:w="1134" w:type="dxa"/>
          </w:tcPr>
          <w:p w14:paraId="0CEE79C9"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8345</w:t>
            </w:r>
          </w:p>
        </w:tc>
      </w:tr>
      <w:tr w:rsidR="00236257" w14:paraId="25242F04" w14:textId="77777777" w:rsidTr="00886E99">
        <w:trPr>
          <w:trHeight w:val="875"/>
        </w:trPr>
        <w:tc>
          <w:tcPr>
            <w:tcW w:w="993" w:type="dxa"/>
            <w:tcBorders>
              <w:bottom w:val="single" w:sz="4" w:space="0" w:color="auto"/>
            </w:tcBorders>
          </w:tcPr>
          <w:p w14:paraId="53DEF420"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A349</w:t>
            </w:r>
          </w:p>
        </w:tc>
        <w:tc>
          <w:tcPr>
            <w:tcW w:w="709" w:type="dxa"/>
            <w:tcBorders>
              <w:bottom w:val="single" w:sz="4" w:space="0" w:color="auto"/>
            </w:tcBorders>
          </w:tcPr>
          <w:p w14:paraId="2B484E7C"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w:t>
            </w:r>
          </w:p>
        </w:tc>
        <w:tc>
          <w:tcPr>
            <w:tcW w:w="1559" w:type="dxa"/>
            <w:tcBorders>
              <w:bottom w:val="single" w:sz="4" w:space="0" w:color="auto"/>
            </w:tcBorders>
          </w:tcPr>
          <w:p w14:paraId="0FF7C33E"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FALSE</w:t>
            </w:r>
          </w:p>
        </w:tc>
        <w:tc>
          <w:tcPr>
            <w:tcW w:w="2410" w:type="dxa"/>
            <w:tcBorders>
              <w:bottom w:val="single" w:sz="4" w:space="0" w:color="auto"/>
            </w:tcBorders>
          </w:tcPr>
          <w:p w14:paraId="2F09CCFC"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MotherFatherNotObese</w:t>
            </w:r>
          </w:p>
        </w:tc>
        <w:tc>
          <w:tcPr>
            <w:tcW w:w="992" w:type="dxa"/>
            <w:tcBorders>
              <w:bottom w:val="single" w:sz="4" w:space="0" w:color="auto"/>
            </w:tcBorders>
          </w:tcPr>
          <w:p w14:paraId="2609A083"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HFD</w:t>
            </w:r>
          </w:p>
        </w:tc>
        <w:tc>
          <w:tcPr>
            <w:tcW w:w="993" w:type="dxa"/>
            <w:tcBorders>
              <w:bottom w:val="single" w:sz="4" w:space="0" w:color="auto"/>
            </w:tcBorders>
          </w:tcPr>
          <w:p w14:paraId="5A5F8792"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CD</w:t>
            </w:r>
          </w:p>
        </w:tc>
        <w:tc>
          <w:tcPr>
            <w:tcW w:w="1275" w:type="dxa"/>
            <w:tcBorders>
              <w:bottom w:val="single" w:sz="4" w:space="0" w:color="auto"/>
            </w:tcBorders>
          </w:tcPr>
          <w:p w14:paraId="1DE0DEE8"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8992</w:t>
            </w:r>
          </w:p>
        </w:tc>
        <w:tc>
          <w:tcPr>
            <w:tcW w:w="1134" w:type="dxa"/>
            <w:tcBorders>
              <w:bottom w:val="single" w:sz="4" w:space="0" w:color="auto"/>
            </w:tcBorders>
          </w:tcPr>
          <w:p w14:paraId="56D42F37" w14:textId="77777777" w:rsidR="00236257" w:rsidRDefault="00236257" w:rsidP="00886E99">
            <w:pPr>
              <w:spacing w:line="240" w:lineRule="auto"/>
              <w:rPr>
                <w:rStyle w:val="Heading1Char"/>
                <w:b w:val="0"/>
                <w:bCs w:val="0"/>
                <w:sz w:val="22"/>
                <w:szCs w:val="22"/>
                <w:lang w:val="en-GB"/>
              </w:rPr>
            </w:pPr>
            <w:r>
              <w:rPr>
                <w:rStyle w:val="Heading1Char"/>
                <w:sz w:val="22"/>
                <w:szCs w:val="22"/>
                <w:lang w:val="en-GB"/>
              </w:rPr>
              <w:t>8345</w:t>
            </w:r>
          </w:p>
        </w:tc>
      </w:tr>
    </w:tbl>
    <w:p w14:paraId="782C84B7" w14:textId="77777777" w:rsidR="00236257" w:rsidRDefault="00236257" w:rsidP="00236257">
      <w:pPr>
        <w:rPr>
          <w:rStyle w:val="Heading1Char"/>
          <w:b w:val="0"/>
          <w:bCs w:val="0"/>
          <w:lang w:val="en-GB"/>
        </w:rPr>
      </w:pPr>
    </w:p>
    <w:p w14:paraId="5EEC5FA2" w14:textId="77777777" w:rsidR="00236257" w:rsidRDefault="00236257" w:rsidP="00236257">
      <w:pPr>
        <w:rPr>
          <w:rStyle w:val="Heading1Char"/>
          <w:b w:val="0"/>
          <w:bCs w:val="0"/>
          <w:lang w:val="en-GB"/>
        </w:rPr>
      </w:pPr>
      <w:r>
        <w:rPr>
          <w:rStyle w:val="Heading1Char"/>
          <w:lang w:val="en-GB"/>
        </w:rPr>
        <w:lastRenderedPageBreak/>
        <w:t>SI Table 2: Individuals used for RNA sequencing, including grouping variables for feeding, and derived obesity status from modelling.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
        <w:gridCol w:w="2651"/>
        <w:gridCol w:w="1521"/>
        <w:gridCol w:w="2283"/>
        <w:gridCol w:w="1597"/>
      </w:tblGrid>
      <w:tr w:rsidR="00236257" w14:paraId="3BA5758B" w14:textId="77777777" w:rsidTr="00886E99">
        <w:tc>
          <w:tcPr>
            <w:tcW w:w="1089" w:type="dxa"/>
          </w:tcPr>
          <w:p w14:paraId="2D1DAD22" w14:textId="77777777" w:rsidR="00236257" w:rsidRDefault="00236257" w:rsidP="00886E99">
            <w:pPr>
              <w:rPr>
                <w:rFonts w:eastAsia="Times New Roman"/>
                <w:b/>
                <w:bCs/>
                <w:lang w:val="en-GB" w:eastAsia="en-GB"/>
              </w:rPr>
            </w:pPr>
          </w:p>
        </w:tc>
        <w:tc>
          <w:tcPr>
            <w:tcW w:w="2596" w:type="dxa"/>
          </w:tcPr>
          <w:p w14:paraId="6687BEAD" w14:textId="77777777" w:rsidR="00236257" w:rsidRDefault="00236257" w:rsidP="00886E99">
            <w:pPr>
              <w:rPr>
                <w:rStyle w:val="Heading1Char"/>
                <w:b w:val="0"/>
                <w:bCs w:val="0"/>
                <w:lang w:val="en-GB"/>
              </w:rPr>
            </w:pPr>
            <w:r>
              <w:rPr>
                <w:rFonts w:eastAsia="Times New Roman"/>
                <w:b/>
                <w:bCs/>
                <w:lang w:val="en-GB" w:eastAsia="en-GB"/>
              </w:rPr>
              <w:t>Obesity Parents</w:t>
            </w:r>
          </w:p>
        </w:tc>
        <w:tc>
          <w:tcPr>
            <w:tcW w:w="1518" w:type="dxa"/>
          </w:tcPr>
          <w:p w14:paraId="00AADE13" w14:textId="77777777" w:rsidR="00236257" w:rsidRDefault="00236257" w:rsidP="00886E99">
            <w:pPr>
              <w:rPr>
                <w:rStyle w:val="Heading1Char"/>
                <w:b w:val="0"/>
                <w:bCs w:val="0"/>
                <w:lang w:val="en-GB"/>
              </w:rPr>
            </w:pPr>
          </w:p>
        </w:tc>
        <w:tc>
          <w:tcPr>
            <w:tcW w:w="2221" w:type="dxa"/>
          </w:tcPr>
          <w:p w14:paraId="36162F9B" w14:textId="77777777" w:rsidR="00236257" w:rsidRDefault="00236257" w:rsidP="00886E99">
            <w:pPr>
              <w:rPr>
                <w:rStyle w:val="Heading1Char"/>
                <w:b w:val="0"/>
                <w:bCs w:val="0"/>
                <w:lang w:val="en-GB"/>
              </w:rPr>
            </w:pPr>
          </w:p>
        </w:tc>
        <w:tc>
          <w:tcPr>
            <w:tcW w:w="1602" w:type="dxa"/>
          </w:tcPr>
          <w:p w14:paraId="0C2D29B3" w14:textId="77777777" w:rsidR="00236257" w:rsidRDefault="00236257" w:rsidP="00886E99">
            <w:pPr>
              <w:rPr>
                <w:rStyle w:val="Heading1Char"/>
                <w:b w:val="0"/>
                <w:bCs w:val="0"/>
                <w:lang w:val="en-GB"/>
              </w:rPr>
            </w:pPr>
          </w:p>
        </w:tc>
      </w:tr>
      <w:tr w:rsidR="00236257" w14:paraId="7934EC8A" w14:textId="77777777" w:rsidTr="00886E99">
        <w:tc>
          <w:tcPr>
            <w:tcW w:w="1089" w:type="dxa"/>
            <w:tcBorders>
              <w:bottom w:val="single" w:sz="4" w:space="0" w:color="auto"/>
            </w:tcBorders>
          </w:tcPr>
          <w:p w14:paraId="559B3434" w14:textId="77777777" w:rsidR="00236257" w:rsidRDefault="00236257" w:rsidP="00886E99">
            <w:pPr>
              <w:rPr>
                <w:rStyle w:val="Heading1Char"/>
                <w:b w:val="0"/>
                <w:bCs w:val="0"/>
                <w:lang w:val="en-GB"/>
              </w:rPr>
            </w:pPr>
            <w:r>
              <w:rPr>
                <w:rFonts w:eastAsia="Times New Roman"/>
                <w:b/>
                <w:bCs/>
                <w:lang w:val="en-GB" w:eastAsia="en-GB"/>
              </w:rPr>
              <w:t>Obesity</w:t>
            </w:r>
          </w:p>
        </w:tc>
        <w:tc>
          <w:tcPr>
            <w:tcW w:w="2596" w:type="dxa"/>
            <w:tcBorders>
              <w:bottom w:val="single" w:sz="4" w:space="0" w:color="auto"/>
            </w:tcBorders>
          </w:tcPr>
          <w:p w14:paraId="3E2E9F82" w14:textId="77777777" w:rsidR="00236257" w:rsidRDefault="00236257" w:rsidP="00886E99">
            <w:pPr>
              <w:rPr>
                <w:rStyle w:val="Heading1Char"/>
                <w:b w:val="0"/>
                <w:bCs w:val="0"/>
                <w:lang w:val="en-GB"/>
              </w:rPr>
            </w:pPr>
            <w:r>
              <w:rPr>
                <w:rStyle w:val="Heading1Char"/>
                <w:lang w:val="en-GB"/>
              </w:rPr>
              <w:t>MotherFatherNotObese</w:t>
            </w:r>
          </w:p>
        </w:tc>
        <w:tc>
          <w:tcPr>
            <w:tcW w:w="1518" w:type="dxa"/>
            <w:tcBorders>
              <w:bottom w:val="single" w:sz="4" w:space="0" w:color="auto"/>
            </w:tcBorders>
          </w:tcPr>
          <w:p w14:paraId="1DAA184B" w14:textId="77777777" w:rsidR="00236257" w:rsidRDefault="00236257" w:rsidP="00886E99">
            <w:pPr>
              <w:rPr>
                <w:rStyle w:val="Heading1Char"/>
                <w:b w:val="0"/>
                <w:bCs w:val="0"/>
                <w:lang w:val="en-GB"/>
              </w:rPr>
            </w:pPr>
            <w:r>
              <w:rPr>
                <w:rStyle w:val="Heading1Char"/>
                <w:lang w:val="en-GB"/>
              </w:rPr>
              <w:t>FatherObese</w:t>
            </w:r>
          </w:p>
        </w:tc>
        <w:tc>
          <w:tcPr>
            <w:tcW w:w="2221" w:type="dxa"/>
            <w:tcBorders>
              <w:bottom w:val="single" w:sz="4" w:space="0" w:color="auto"/>
            </w:tcBorders>
          </w:tcPr>
          <w:p w14:paraId="2172B576" w14:textId="77777777" w:rsidR="00236257" w:rsidRDefault="00236257" w:rsidP="00886E99">
            <w:pPr>
              <w:rPr>
                <w:rStyle w:val="Heading1Char"/>
                <w:b w:val="0"/>
                <w:bCs w:val="0"/>
                <w:lang w:val="en-GB"/>
              </w:rPr>
            </w:pPr>
            <w:r>
              <w:rPr>
                <w:rStyle w:val="Heading1Char"/>
                <w:lang w:val="en-GB"/>
              </w:rPr>
              <w:t>MotherFatherObese</w:t>
            </w:r>
          </w:p>
        </w:tc>
        <w:tc>
          <w:tcPr>
            <w:tcW w:w="1602" w:type="dxa"/>
            <w:tcBorders>
              <w:bottom w:val="single" w:sz="4" w:space="0" w:color="auto"/>
            </w:tcBorders>
          </w:tcPr>
          <w:p w14:paraId="48A83CE5" w14:textId="77777777" w:rsidR="00236257" w:rsidRDefault="00236257" w:rsidP="00886E99">
            <w:pPr>
              <w:rPr>
                <w:rStyle w:val="Heading1Char"/>
                <w:b w:val="0"/>
                <w:bCs w:val="0"/>
                <w:lang w:val="en-GB"/>
              </w:rPr>
            </w:pPr>
            <w:r>
              <w:rPr>
                <w:rStyle w:val="Heading1Char"/>
                <w:lang w:val="en-GB"/>
              </w:rPr>
              <w:t>MotherObese</w:t>
            </w:r>
          </w:p>
        </w:tc>
      </w:tr>
      <w:tr w:rsidR="00236257" w14:paraId="03129159" w14:textId="77777777" w:rsidTr="00886E99">
        <w:tc>
          <w:tcPr>
            <w:tcW w:w="1089" w:type="dxa"/>
            <w:tcBorders>
              <w:top w:val="single" w:sz="4" w:space="0" w:color="auto"/>
              <w:bottom w:val="single" w:sz="4" w:space="0" w:color="auto"/>
            </w:tcBorders>
          </w:tcPr>
          <w:p w14:paraId="7E6351AE" w14:textId="77777777" w:rsidR="00236257" w:rsidRDefault="00236257" w:rsidP="00886E99">
            <w:pPr>
              <w:rPr>
                <w:rStyle w:val="Heading1Char"/>
                <w:b w:val="0"/>
                <w:bCs w:val="0"/>
                <w:lang w:val="en-GB"/>
              </w:rPr>
            </w:pPr>
            <w:r>
              <w:rPr>
                <w:rStyle w:val="Heading1Char"/>
                <w:lang w:val="en-GB"/>
              </w:rPr>
              <w:t>FALSE</w:t>
            </w:r>
          </w:p>
        </w:tc>
        <w:tc>
          <w:tcPr>
            <w:tcW w:w="2596" w:type="dxa"/>
            <w:tcBorders>
              <w:top w:val="single" w:sz="4" w:space="0" w:color="auto"/>
              <w:bottom w:val="single" w:sz="4" w:space="0" w:color="auto"/>
            </w:tcBorders>
          </w:tcPr>
          <w:p w14:paraId="4341819D" w14:textId="77777777" w:rsidR="00236257" w:rsidRDefault="00236257" w:rsidP="00886E99">
            <w:pPr>
              <w:rPr>
                <w:rStyle w:val="Heading1Char"/>
                <w:b w:val="0"/>
                <w:bCs w:val="0"/>
                <w:lang w:val="en-GB"/>
              </w:rPr>
            </w:pPr>
            <w:r>
              <w:rPr>
                <w:rStyle w:val="Heading1Char"/>
                <w:lang w:val="en-GB"/>
              </w:rPr>
              <w:t>6</w:t>
            </w:r>
          </w:p>
        </w:tc>
        <w:tc>
          <w:tcPr>
            <w:tcW w:w="1518" w:type="dxa"/>
            <w:tcBorders>
              <w:top w:val="single" w:sz="4" w:space="0" w:color="auto"/>
              <w:bottom w:val="single" w:sz="4" w:space="0" w:color="auto"/>
            </w:tcBorders>
          </w:tcPr>
          <w:p w14:paraId="4316322F" w14:textId="77777777" w:rsidR="00236257" w:rsidRDefault="00236257" w:rsidP="00886E99">
            <w:pPr>
              <w:rPr>
                <w:rStyle w:val="Heading1Char"/>
                <w:b w:val="0"/>
                <w:bCs w:val="0"/>
                <w:lang w:val="en-GB"/>
              </w:rPr>
            </w:pPr>
            <w:r>
              <w:rPr>
                <w:rStyle w:val="Heading1Char"/>
                <w:lang w:val="en-GB"/>
              </w:rPr>
              <w:t>4</w:t>
            </w:r>
          </w:p>
        </w:tc>
        <w:tc>
          <w:tcPr>
            <w:tcW w:w="2221" w:type="dxa"/>
            <w:tcBorders>
              <w:top w:val="single" w:sz="4" w:space="0" w:color="auto"/>
              <w:bottom w:val="single" w:sz="4" w:space="0" w:color="auto"/>
            </w:tcBorders>
          </w:tcPr>
          <w:p w14:paraId="45902039" w14:textId="77777777" w:rsidR="00236257" w:rsidRDefault="00236257" w:rsidP="00886E99">
            <w:pPr>
              <w:rPr>
                <w:rStyle w:val="Heading1Char"/>
                <w:b w:val="0"/>
                <w:bCs w:val="0"/>
                <w:lang w:val="en-GB"/>
              </w:rPr>
            </w:pPr>
            <w:r>
              <w:rPr>
                <w:rStyle w:val="Heading1Char"/>
                <w:lang w:val="en-GB"/>
              </w:rPr>
              <w:t>4</w:t>
            </w:r>
          </w:p>
        </w:tc>
        <w:tc>
          <w:tcPr>
            <w:tcW w:w="1602" w:type="dxa"/>
            <w:tcBorders>
              <w:top w:val="single" w:sz="4" w:space="0" w:color="auto"/>
              <w:bottom w:val="single" w:sz="4" w:space="0" w:color="auto"/>
            </w:tcBorders>
          </w:tcPr>
          <w:p w14:paraId="4530FACE" w14:textId="77777777" w:rsidR="00236257" w:rsidRDefault="00236257" w:rsidP="00886E99">
            <w:pPr>
              <w:rPr>
                <w:rStyle w:val="Heading1Char"/>
                <w:b w:val="0"/>
                <w:bCs w:val="0"/>
                <w:lang w:val="en-GB"/>
              </w:rPr>
            </w:pPr>
            <w:r>
              <w:rPr>
                <w:rStyle w:val="Heading1Char"/>
                <w:lang w:val="en-GB"/>
              </w:rPr>
              <w:t>1</w:t>
            </w:r>
          </w:p>
        </w:tc>
      </w:tr>
    </w:tbl>
    <w:p w14:paraId="7A5EB502" w14:textId="77777777" w:rsidR="00236257" w:rsidRDefault="00236257" w:rsidP="00236257">
      <w:pPr>
        <w:rPr>
          <w:rStyle w:val="Heading1Char"/>
          <w:b w:val="0"/>
          <w:bCs w:val="0"/>
          <w:lang w:val="en-GB"/>
        </w:rPr>
      </w:pPr>
    </w:p>
    <w:p w14:paraId="1E52F7FB" w14:textId="77777777" w:rsidR="00236257" w:rsidRDefault="00236257" w:rsidP="00236257">
      <w:pPr>
        <w:pStyle w:val="Heading2"/>
        <w:rPr>
          <w:rStyle w:val="Heading1Char"/>
          <w:b w:val="0"/>
          <w:bCs w:val="0"/>
          <w:lang w:val="en-GB"/>
        </w:rPr>
      </w:pPr>
      <w:r>
        <w:rPr>
          <w:rStyle w:val="Heading1Char"/>
          <w:lang w:val="en-GB"/>
        </w:rPr>
        <w:t>Phenotype changes and obesity</w:t>
      </w:r>
    </w:p>
    <w:p w14:paraId="7000121A" w14:textId="77777777" w:rsidR="00236257" w:rsidRDefault="00236257" w:rsidP="00236257">
      <w:pPr>
        <w:rPr>
          <w:rStyle w:val="Heading1Char"/>
          <w:b w:val="0"/>
          <w:lang w:val="en-GB"/>
        </w:rPr>
      </w:pPr>
    </w:p>
    <w:p w14:paraId="4DC358F2" w14:textId="77777777" w:rsidR="00236257" w:rsidRDefault="00236257" w:rsidP="00236257">
      <w:pPr>
        <w:rPr>
          <w:rStyle w:val="Heading1Char"/>
          <w:b w:val="0"/>
          <w:lang w:val="en-GB"/>
        </w:rPr>
      </w:pPr>
      <w:r>
        <w:rPr>
          <w:rFonts w:ascii="Times" w:hAnsi="Times"/>
          <w:noProof/>
          <w:spacing w:val="5"/>
          <w:szCs w:val="36"/>
          <w:lang w:val="de-DE" w:eastAsia="de-DE"/>
        </w:rPr>
        <w:lastRenderedPageBreak/>
        <w:drawing>
          <wp:inline distT="0" distB="0" distL="0" distR="0" wp14:anchorId="4D463EC5" wp14:editId="1AE2F751">
            <wp:extent cx="5731510" cy="6646573"/>
            <wp:effectExtent l="0" t="0" r="0" b="0"/>
            <wp:docPr id="30464422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644220" name="Picture 5"/>
                    <pic:cNvPicPr/>
                  </pic:nvPicPr>
                  <pic:blipFill>
                    <a:blip r:embed="rId4"/>
                    <a:stretch>
                      <a:fillRect/>
                    </a:stretch>
                  </pic:blipFill>
                  <pic:spPr>
                    <a:xfrm>
                      <a:off x="0" y="0"/>
                      <a:ext cx="5731510" cy="6646573"/>
                    </a:xfrm>
                    <a:prstGeom prst="rect">
                      <a:avLst/>
                    </a:prstGeom>
                  </pic:spPr>
                </pic:pic>
              </a:graphicData>
            </a:graphic>
          </wp:inline>
        </w:drawing>
      </w:r>
    </w:p>
    <w:p w14:paraId="5A380C29" w14:textId="77777777" w:rsidR="00236257" w:rsidRDefault="00236257" w:rsidP="00236257">
      <w:pPr>
        <w:rPr>
          <w:rStyle w:val="Heading1Char"/>
          <w:b w:val="0"/>
          <w:lang w:val="en-GB"/>
        </w:rPr>
      </w:pPr>
      <w:r>
        <w:rPr>
          <w:rStyle w:val="Heading1Char"/>
          <w:lang w:val="en-GB"/>
        </w:rPr>
        <w:t xml:space="preserve">SI Figure 1: Definition of weight gain following growth curve analysis, sex and diet of mice used to define obesity factor variable. Shown are weight gain trajectories (in grams [g]) for (a) female F0 (male F0 on HFD all were assumed to be obese) and (b) all F1 mice, over the course of measurements (in days [d]). Curve annotations for (a) F0 inform about sex, diet, and assigned obesity status in F0 generation, information also accompanying the F1 mice for analysis. Curve annotations in (b) for the F1 generation were used to for modelling of phenotypical characters and to define </w:t>
      </w:r>
      <w:r>
        <w:rPr>
          <w:rStyle w:val="Heading1Char"/>
          <w:lang w:val="en-GB"/>
        </w:rPr>
        <w:lastRenderedPageBreak/>
        <w:t>contrasts for transcriptome analysis. F1 were always fed CD. Shown are sex, obesity status, and obesity status of parents. Numbers indicate sums of second derivatives along the weight gain trajectory used to assigned weight gain and obesity factor variables – the more positive the number, the steeper the growth curve. For resulting variables also see Fig.1 main text and SI Table 1.</w:t>
      </w:r>
    </w:p>
    <w:p w14:paraId="33376F57" w14:textId="77777777" w:rsidR="00236257" w:rsidRDefault="00236257" w:rsidP="00236257">
      <w:pPr>
        <w:rPr>
          <w:rStyle w:val="Heading1Char"/>
          <w:b w:val="0"/>
          <w:lang w:val="en-GB"/>
        </w:rPr>
      </w:pPr>
      <w:r>
        <w:rPr>
          <w:rFonts w:ascii="Times" w:hAnsi="Times"/>
          <w:noProof/>
          <w:spacing w:val="5"/>
          <w:szCs w:val="36"/>
          <w:lang w:val="de-DE" w:eastAsia="de-DE"/>
        </w:rPr>
        <w:drawing>
          <wp:inline distT="0" distB="0" distL="0" distR="0" wp14:anchorId="1036998C" wp14:editId="19AD4F67">
            <wp:extent cx="5731510" cy="5731510"/>
            <wp:effectExtent l="0" t="0" r="0" b="0"/>
            <wp:docPr id="16883233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323386" name="Picture 1688323386"/>
                    <pic:cNvPicPr/>
                  </pic:nvPicPr>
                  <pic:blipFill>
                    <a:blip r:embed="rId5"/>
                    <a:stretch>
                      <a:fillRect/>
                    </a:stretch>
                  </pic:blipFill>
                  <pic:spPr>
                    <a:xfrm>
                      <a:off x="0" y="0"/>
                      <a:ext cx="5731510" cy="5731510"/>
                    </a:xfrm>
                    <a:prstGeom prst="rect">
                      <a:avLst/>
                    </a:prstGeom>
                  </pic:spPr>
                </pic:pic>
              </a:graphicData>
            </a:graphic>
          </wp:inline>
        </w:drawing>
      </w:r>
    </w:p>
    <w:p w14:paraId="70B72C67" w14:textId="77777777" w:rsidR="00236257" w:rsidRDefault="00236257" w:rsidP="00236257">
      <w:pPr>
        <w:rPr>
          <w:rStyle w:val="Heading1Char"/>
          <w:bCs w:val="0"/>
          <w:szCs w:val="22"/>
          <w:lang w:val="en-GB"/>
        </w:rPr>
      </w:pPr>
      <w:r>
        <w:rPr>
          <w:b/>
          <w:bCs/>
          <w:lang w:val="en-GB"/>
        </w:rPr>
        <w:t xml:space="preserve">SI Figure 2: </w:t>
      </w:r>
      <w:r>
        <w:rPr>
          <w:lang w:val="en-GB"/>
        </w:rPr>
        <w:t>F1 weight gain trajectories used in general additive modelling (GAM) to gauge the effect of various parental-sex-specific (F0) combinations of obesity and non-obesity on weight gain of the F1 generation (see main and supplemental text).</w:t>
      </w:r>
    </w:p>
    <w:p w14:paraId="3E2F566A" w14:textId="77777777" w:rsidR="00236257" w:rsidRDefault="00236257" w:rsidP="00236257">
      <w:pPr>
        <w:pStyle w:val="Heading2"/>
        <w:rPr>
          <w:lang w:val="en-GB"/>
        </w:rPr>
      </w:pPr>
      <w:r>
        <w:rPr>
          <w:rStyle w:val="Heading1Char"/>
          <w:lang w:val="en-GB"/>
        </w:rPr>
        <w:lastRenderedPageBreak/>
        <w:t>Transcriptome changes and obesity</w:t>
      </w:r>
    </w:p>
    <w:p w14:paraId="39130909" w14:textId="77777777" w:rsidR="00236257" w:rsidRDefault="00236257" w:rsidP="00236257">
      <w:pPr>
        <w:rPr>
          <w:b/>
          <w:lang w:val="en-GB"/>
        </w:rPr>
      </w:pPr>
      <w:r>
        <w:rPr>
          <w:b/>
          <w:noProof/>
          <w:lang w:val="de-DE" w:eastAsia="de-DE"/>
        </w:rPr>
        <w:drawing>
          <wp:inline distT="0" distB="0" distL="0" distR="0" wp14:anchorId="28CBD718" wp14:editId="2F0781CC">
            <wp:extent cx="5730736" cy="2067560"/>
            <wp:effectExtent l="0" t="0" r="0" b="2540"/>
            <wp:docPr id="17934375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437562" name="Picture 1"/>
                    <pic:cNvPicPr/>
                  </pic:nvPicPr>
                  <pic:blipFill>
                    <a:blip r:embed="rId6"/>
                    <a:stretch>
                      <a:fillRect/>
                    </a:stretch>
                  </pic:blipFill>
                  <pic:spPr>
                    <a:xfrm>
                      <a:off x="0" y="0"/>
                      <a:ext cx="5730736" cy="2067560"/>
                    </a:xfrm>
                    <a:prstGeom prst="rect">
                      <a:avLst/>
                    </a:prstGeom>
                  </pic:spPr>
                </pic:pic>
              </a:graphicData>
            </a:graphic>
          </wp:inline>
        </w:drawing>
      </w:r>
    </w:p>
    <w:p w14:paraId="2A4E60A8" w14:textId="77777777" w:rsidR="00236257" w:rsidRDefault="00236257" w:rsidP="00236257">
      <w:pPr>
        <w:rPr>
          <w:lang w:val="en-GB"/>
        </w:rPr>
      </w:pPr>
      <w:r>
        <w:rPr>
          <w:b/>
          <w:bCs/>
          <w:lang w:val="en-GB"/>
        </w:rPr>
        <w:t>SI Figure 3:</w:t>
      </w:r>
      <w:r>
        <w:rPr>
          <w:lang w:val="en-GB"/>
        </w:rPr>
        <w:t xml:space="preserve"> Principal components analysis (PCA) of combined F1 expression data for four tissue types (epigonal visceral, EVAT; inguinal subcutaneous, SCAT; liver, L; and interscapular brown adipose tissue, BAT). (a) Coloured by tissue type, (b) by F1 obesity status after F1 growth curve analysis, and (c) by parental obesity status after F0 growth curve analysis. Shown are the most-loaded first two PCs expressing 42.4% of total variation.</w:t>
      </w:r>
    </w:p>
    <w:p w14:paraId="1BDEE453" w14:textId="77777777" w:rsidR="00236257" w:rsidRDefault="00236257" w:rsidP="00236257">
      <w:pPr>
        <w:rPr>
          <w:b/>
          <w:lang w:val="en-GB"/>
        </w:rPr>
      </w:pPr>
      <w:r>
        <w:rPr>
          <w:b/>
          <w:noProof/>
          <w:lang w:val="de-DE" w:eastAsia="de-DE"/>
        </w:rPr>
        <w:drawing>
          <wp:inline distT="0" distB="0" distL="0" distR="0" wp14:anchorId="4E0B2CED" wp14:editId="1DC75452">
            <wp:extent cx="5730734" cy="2067559"/>
            <wp:effectExtent l="0" t="0" r="0" b="3175"/>
            <wp:docPr id="6062663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266346" name="Picture 2"/>
                    <pic:cNvPicPr/>
                  </pic:nvPicPr>
                  <pic:blipFill>
                    <a:blip r:embed="rId7"/>
                    <a:stretch>
                      <a:fillRect/>
                    </a:stretch>
                  </pic:blipFill>
                  <pic:spPr>
                    <a:xfrm>
                      <a:off x="0" y="0"/>
                      <a:ext cx="5730734" cy="2067559"/>
                    </a:xfrm>
                    <a:prstGeom prst="rect">
                      <a:avLst/>
                    </a:prstGeom>
                  </pic:spPr>
                </pic:pic>
              </a:graphicData>
            </a:graphic>
          </wp:inline>
        </w:drawing>
      </w:r>
    </w:p>
    <w:p w14:paraId="50EA0F14" w14:textId="77777777" w:rsidR="00236257" w:rsidRDefault="00236257" w:rsidP="00236257">
      <w:pPr>
        <w:jc w:val="left"/>
        <w:rPr>
          <w:lang w:val="en-GB"/>
        </w:rPr>
      </w:pPr>
      <w:r>
        <w:rPr>
          <w:b/>
          <w:bCs/>
          <w:lang w:val="en-GB"/>
        </w:rPr>
        <w:t>SI Figure 4:</w:t>
      </w:r>
      <w:r>
        <w:rPr>
          <w:lang w:val="en-GB"/>
        </w:rPr>
        <w:t xml:space="preserve"> Principal components analysis of F1 interscapular brown adipose tissue (BAT) expression data (a) highlighted for obesity status among F1 offspring (b), and parental obesity </w:t>
      </w:r>
      <w:r>
        <w:rPr>
          <w:lang w:val="en-GB"/>
        </w:rPr>
        <w:lastRenderedPageBreak/>
        <w:t>status (c), as assigned by growth curve analysis.</w:t>
      </w:r>
      <w:r>
        <w:rPr>
          <w:b/>
          <w:noProof/>
          <w:lang w:val="en-GB"/>
        </w:rPr>
        <w:t xml:space="preserve"> </w:t>
      </w:r>
      <w:r>
        <w:rPr>
          <w:b/>
          <w:noProof/>
          <w:lang w:val="de-DE" w:eastAsia="de-DE"/>
        </w:rPr>
        <w:drawing>
          <wp:inline distT="0" distB="0" distL="0" distR="0" wp14:anchorId="02FA8790" wp14:editId="602F5483">
            <wp:extent cx="5730734" cy="2067559"/>
            <wp:effectExtent l="0" t="0" r="0" b="3175"/>
            <wp:docPr id="6614369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436924" name="Picture 4"/>
                    <pic:cNvPicPr/>
                  </pic:nvPicPr>
                  <pic:blipFill>
                    <a:blip r:embed="rId8"/>
                    <a:stretch>
                      <a:fillRect/>
                    </a:stretch>
                  </pic:blipFill>
                  <pic:spPr>
                    <a:xfrm>
                      <a:off x="0" y="0"/>
                      <a:ext cx="5730734" cy="2067559"/>
                    </a:xfrm>
                    <a:prstGeom prst="rect">
                      <a:avLst/>
                    </a:prstGeom>
                  </pic:spPr>
                </pic:pic>
              </a:graphicData>
            </a:graphic>
          </wp:inline>
        </w:drawing>
      </w:r>
    </w:p>
    <w:p w14:paraId="3E5164AE" w14:textId="77777777" w:rsidR="00236257" w:rsidRDefault="00236257" w:rsidP="00236257">
      <w:pPr>
        <w:rPr>
          <w:lang w:val="en-GB"/>
        </w:rPr>
      </w:pPr>
      <w:r>
        <w:rPr>
          <w:b/>
          <w:bCs/>
          <w:lang w:val="en-GB"/>
        </w:rPr>
        <w:t>SI Figure 5:</w:t>
      </w:r>
      <w:r>
        <w:rPr>
          <w:lang w:val="en-GB"/>
        </w:rPr>
        <w:t xml:space="preserve"> Principal components analysis of F1 liver (L) expression data (a) highlighted for obesity status among F1 offspring (b), and parental obesity status (c), as assigned by growth curve analysis.</w:t>
      </w:r>
    </w:p>
    <w:p w14:paraId="53904F10" w14:textId="77777777" w:rsidR="00236257" w:rsidRDefault="00236257" w:rsidP="00236257">
      <w:pPr>
        <w:rPr>
          <w:b/>
          <w:lang w:val="en-GB"/>
        </w:rPr>
      </w:pPr>
      <w:r>
        <w:rPr>
          <w:b/>
          <w:noProof/>
          <w:lang w:val="de-DE" w:eastAsia="de-DE"/>
        </w:rPr>
        <w:drawing>
          <wp:inline distT="0" distB="0" distL="0" distR="0" wp14:anchorId="12C9FE16" wp14:editId="6A2549F6">
            <wp:extent cx="5730734" cy="2067559"/>
            <wp:effectExtent l="0" t="0" r="0" b="3175"/>
            <wp:docPr id="16664428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442837" name="Picture 3"/>
                    <pic:cNvPicPr/>
                  </pic:nvPicPr>
                  <pic:blipFill>
                    <a:blip r:embed="rId9"/>
                    <a:stretch>
                      <a:fillRect/>
                    </a:stretch>
                  </pic:blipFill>
                  <pic:spPr>
                    <a:xfrm>
                      <a:off x="0" y="0"/>
                      <a:ext cx="5730734" cy="2067559"/>
                    </a:xfrm>
                    <a:prstGeom prst="rect">
                      <a:avLst/>
                    </a:prstGeom>
                  </pic:spPr>
                </pic:pic>
              </a:graphicData>
            </a:graphic>
          </wp:inline>
        </w:drawing>
      </w:r>
    </w:p>
    <w:p w14:paraId="6235E935" w14:textId="77777777" w:rsidR="00236257" w:rsidRDefault="00236257" w:rsidP="00236257">
      <w:pPr>
        <w:rPr>
          <w:lang w:val="en-GB"/>
        </w:rPr>
      </w:pPr>
      <w:r>
        <w:rPr>
          <w:b/>
          <w:bCs/>
          <w:lang w:val="en-GB"/>
        </w:rPr>
        <w:t>SI Figure 6:</w:t>
      </w:r>
      <w:r>
        <w:rPr>
          <w:lang w:val="en-GB"/>
        </w:rPr>
        <w:t xml:space="preserve"> Principal components analysis of F1 epigonal visceral (EVAT) expression data (a) highlighted for obesity status among F1 offspring (b), and parental obesity status (c), as assigned by growth curve analysis.</w:t>
      </w:r>
    </w:p>
    <w:p w14:paraId="494092A2" w14:textId="77777777" w:rsidR="00236257" w:rsidRDefault="00236257" w:rsidP="00236257">
      <w:pPr>
        <w:rPr>
          <w:lang w:val="en-GB"/>
        </w:rPr>
      </w:pPr>
      <w:r>
        <w:rPr>
          <w:b/>
          <w:noProof/>
          <w:lang w:val="de-DE" w:eastAsia="de-DE"/>
        </w:rPr>
        <w:lastRenderedPageBreak/>
        <w:drawing>
          <wp:inline distT="0" distB="0" distL="0" distR="0" wp14:anchorId="33935682" wp14:editId="366A8189">
            <wp:extent cx="5730734" cy="2067559"/>
            <wp:effectExtent l="0" t="0" r="0" b="3175"/>
            <wp:docPr id="107554348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543489" name="Picture 5"/>
                    <pic:cNvPicPr/>
                  </pic:nvPicPr>
                  <pic:blipFill>
                    <a:blip r:embed="rId10"/>
                    <a:stretch>
                      <a:fillRect/>
                    </a:stretch>
                  </pic:blipFill>
                  <pic:spPr>
                    <a:xfrm>
                      <a:off x="0" y="0"/>
                      <a:ext cx="5730734" cy="2067559"/>
                    </a:xfrm>
                    <a:prstGeom prst="rect">
                      <a:avLst/>
                    </a:prstGeom>
                  </pic:spPr>
                </pic:pic>
              </a:graphicData>
            </a:graphic>
          </wp:inline>
        </w:drawing>
      </w:r>
      <w:r>
        <w:rPr>
          <w:b/>
          <w:bCs/>
          <w:lang w:val="en-GB"/>
        </w:rPr>
        <w:t>SI Figure 7:</w:t>
      </w:r>
      <w:r>
        <w:rPr>
          <w:lang w:val="en-GB"/>
        </w:rPr>
        <w:t xml:space="preserve"> Principal components analysis of F1 inguinal subcutaneous (SCAT) expression data (a) highlighted for obesity status among F1 offspring (b), and parental obesity status (c), as assigned by growth curve analysis.</w:t>
      </w:r>
    </w:p>
    <w:p w14:paraId="0159B1F5" w14:textId="77777777" w:rsidR="003F1652" w:rsidRDefault="003F1652"/>
    <w:sectPr w:rsidR="003F1652">
      <w:headerReference w:type="default" r:id="rId11"/>
      <w:footerReference w:type="even" r:id="rId12"/>
      <w:footerReference w:type="default" r:id="rId13"/>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Headings CS)">
    <w:altName w:val="Times New Roman"/>
    <w:charset w:val="00"/>
    <w:family w:val="auto"/>
    <w:pitch w:val="variable"/>
    <w:sig w:usb0="E0002AEF" w:usb1="C0007841"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87591628"/>
      <w:docPartObj>
        <w:docPartGallery w:val="Page Numbers (Bottom of Page)"/>
        <w:docPartUnique/>
      </w:docPartObj>
    </w:sdtPr>
    <w:sdtEndPr>
      <w:rPr>
        <w:rStyle w:val="PageNumber"/>
      </w:rPr>
    </w:sdtEndPr>
    <w:sdtContent>
      <w:p w14:paraId="2869137D" w14:textId="77777777" w:rsidR="00E172EC" w:rsidRDefault="0023625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21D5A3B" w14:textId="77777777" w:rsidR="00E172EC" w:rsidRDefault="0023625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8771681"/>
      <w:docPartObj>
        <w:docPartGallery w:val="Page Numbers (Bottom of Page)"/>
        <w:docPartUnique/>
      </w:docPartObj>
    </w:sdtPr>
    <w:sdtEndPr>
      <w:rPr>
        <w:rStyle w:val="PageNumber"/>
      </w:rPr>
    </w:sdtEndPr>
    <w:sdtContent>
      <w:p w14:paraId="08BE77F0" w14:textId="77777777" w:rsidR="00E172EC" w:rsidRDefault="0023625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22</w:t>
        </w:r>
        <w:r>
          <w:rPr>
            <w:rStyle w:val="PageNumber"/>
          </w:rPr>
          <w:fldChar w:fldCharType="end"/>
        </w:r>
      </w:p>
    </w:sdtContent>
  </w:sdt>
  <w:p w14:paraId="0E0BD7CE" w14:textId="77777777" w:rsidR="00E172EC" w:rsidRDefault="00236257">
    <w:pPr>
      <w:pStyle w:val="Footer"/>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F8231C" w14:textId="77777777" w:rsidR="00E172EC" w:rsidRDefault="00236257">
    <w:pPr>
      <w:pStyle w:val="Heade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257"/>
    <w:rsid w:val="00236257"/>
    <w:rsid w:val="003F165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E8ED0"/>
  <w15:chartTrackingRefBased/>
  <w15:docId w15:val="{63F1ABBB-347D-4AA7-8EEC-15BC2B0E5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6257"/>
    <w:pPr>
      <w:spacing w:after="240" w:line="360" w:lineRule="auto"/>
      <w:jc w:val="both"/>
    </w:pPr>
    <w:rPr>
      <w:rFonts w:ascii="Times New Roman" w:eastAsiaTheme="majorEastAsia" w:hAnsi="Times New Roman" w:cs="Times New Roman (Headings CS)"/>
      <w:sz w:val="24"/>
      <w:lang w:val="en-NZ"/>
    </w:rPr>
  </w:style>
  <w:style w:type="paragraph" w:styleId="Heading1">
    <w:name w:val="heading 1"/>
    <w:basedOn w:val="Normal"/>
    <w:next w:val="Normal"/>
    <w:link w:val="Heading1Char"/>
    <w:autoRedefine/>
    <w:uiPriority w:val="9"/>
    <w:qFormat/>
    <w:rsid w:val="00236257"/>
    <w:pPr>
      <w:spacing w:before="240" w:after="120"/>
      <w:contextualSpacing/>
      <w:outlineLvl w:val="0"/>
    </w:pPr>
    <w:rPr>
      <w:rFonts w:ascii="Times" w:hAnsi="Times"/>
      <w:b/>
      <w:bCs/>
      <w:spacing w:val="5"/>
      <w:szCs w:val="36"/>
      <w:lang w:val="en-US"/>
    </w:rPr>
  </w:style>
  <w:style w:type="paragraph" w:styleId="Heading2">
    <w:name w:val="heading 2"/>
    <w:basedOn w:val="Normal"/>
    <w:next w:val="Normal"/>
    <w:link w:val="Heading2Char"/>
    <w:autoRedefine/>
    <w:uiPriority w:val="9"/>
    <w:unhideWhenUsed/>
    <w:qFormat/>
    <w:rsid w:val="00236257"/>
    <w:pPr>
      <w:keepNext/>
      <w:spacing w:before="200" w:after="120"/>
      <w:outlineLvl w:val="1"/>
    </w:pPr>
    <w:rPr>
      <w:i/>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6257"/>
    <w:rPr>
      <w:rFonts w:ascii="Times" w:eastAsiaTheme="majorEastAsia" w:hAnsi="Times" w:cs="Times New Roman (Headings CS)"/>
      <w:b/>
      <w:bCs/>
      <w:spacing w:val="5"/>
      <w:sz w:val="24"/>
      <w:szCs w:val="36"/>
      <w:lang w:val="en-US"/>
    </w:rPr>
  </w:style>
  <w:style w:type="character" w:customStyle="1" w:styleId="Heading2Char">
    <w:name w:val="Heading 2 Char"/>
    <w:basedOn w:val="DefaultParagraphFont"/>
    <w:link w:val="Heading2"/>
    <w:uiPriority w:val="9"/>
    <w:rsid w:val="00236257"/>
    <w:rPr>
      <w:rFonts w:ascii="Times New Roman" w:eastAsiaTheme="majorEastAsia" w:hAnsi="Times New Roman" w:cs="Times New Roman (Headings CS)"/>
      <w:i/>
      <w:sz w:val="24"/>
      <w:szCs w:val="28"/>
      <w:lang w:val="en-NZ"/>
    </w:rPr>
  </w:style>
  <w:style w:type="paragraph" w:styleId="Title">
    <w:name w:val="Title"/>
    <w:basedOn w:val="Normal"/>
    <w:next w:val="Normal"/>
    <w:link w:val="TitleChar"/>
    <w:autoRedefine/>
    <w:uiPriority w:val="10"/>
    <w:qFormat/>
    <w:rsid w:val="00236257"/>
    <w:pPr>
      <w:spacing w:after="300"/>
      <w:contextualSpacing/>
      <w:jc w:val="left"/>
    </w:pPr>
    <w:rPr>
      <w:b/>
      <w:sz w:val="28"/>
      <w:szCs w:val="52"/>
      <w:lang w:val="en-GB"/>
    </w:rPr>
  </w:style>
  <w:style w:type="character" w:customStyle="1" w:styleId="TitleChar">
    <w:name w:val="Title Char"/>
    <w:basedOn w:val="DefaultParagraphFont"/>
    <w:link w:val="Title"/>
    <w:uiPriority w:val="10"/>
    <w:rsid w:val="00236257"/>
    <w:rPr>
      <w:rFonts w:ascii="Times New Roman" w:eastAsiaTheme="majorEastAsia" w:hAnsi="Times New Roman" w:cs="Times New Roman (Headings CS)"/>
      <w:b/>
      <w:sz w:val="28"/>
      <w:szCs w:val="52"/>
      <w:lang w:val="en-GB"/>
    </w:rPr>
  </w:style>
  <w:style w:type="paragraph" w:styleId="Header">
    <w:name w:val="header"/>
    <w:basedOn w:val="Normal"/>
    <w:link w:val="HeaderChar"/>
    <w:uiPriority w:val="99"/>
    <w:unhideWhenUsed/>
    <w:rsid w:val="002362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6257"/>
    <w:rPr>
      <w:rFonts w:ascii="Times New Roman" w:eastAsiaTheme="majorEastAsia" w:hAnsi="Times New Roman" w:cs="Times New Roman (Headings CS)"/>
      <w:sz w:val="24"/>
      <w:lang w:val="en-NZ"/>
    </w:rPr>
  </w:style>
  <w:style w:type="paragraph" w:styleId="Footer">
    <w:name w:val="footer"/>
    <w:basedOn w:val="Normal"/>
    <w:link w:val="FooterChar"/>
    <w:uiPriority w:val="99"/>
    <w:unhideWhenUsed/>
    <w:rsid w:val="002362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6257"/>
    <w:rPr>
      <w:rFonts w:ascii="Times New Roman" w:eastAsiaTheme="majorEastAsia" w:hAnsi="Times New Roman" w:cs="Times New Roman (Headings CS)"/>
      <w:sz w:val="24"/>
      <w:lang w:val="en-NZ"/>
    </w:rPr>
  </w:style>
  <w:style w:type="table" w:styleId="TableGrid">
    <w:name w:val="Table Grid"/>
    <w:basedOn w:val="TableNormal"/>
    <w:uiPriority w:val="39"/>
    <w:rsid w:val="00236257"/>
    <w:pPr>
      <w:spacing w:after="0" w:line="240" w:lineRule="auto"/>
    </w:pPr>
    <w:rPr>
      <w:rFonts w:asciiTheme="majorHAnsi" w:eastAsiaTheme="majorEastAsia" w:hAnsiTheme="majorHAnsi" w:cstheme="majorBidi"/>
      <w:lang w:val="en-N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236257"/>
  </w:style>
  <w:style w:type="character" w:styleId="LineNumber">
    <w:name w:val="line number"/>
    <w:basedOn w:val="DefaultParagraphFont"/>
    <w:uiPriority w:val="99"/>
    <w:semiHidden/>
    <w:unhideWhenUsed/>
    <w:rsid w:val="002362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header" Target="header1.xml"/><Relationship Id="rId5" Type="http://schemas.openxmlformats.org/officeDocument/2006/relationships/image" Target="media/image2.emf"/><Relationship Id="rId15" Type="http://schemas.openxmlformats.org/officeDocument/2006/relationships/theme" Target="theme/theme1.xml"/><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4810</Words>
  <Characters>27421</Characters>
  <Application>Microsoft Office Word</Application>
  <DocSecurity>0</DocSecurity>
  <Lines>228</Lines>
  <Paragraphs>64</Paragraphs>
  <ScaleCrop>false</ScaleCrop>
  <Company>Springer Nature</Company>
  <LinksUpToDate>false</LinksUpToDate>
  <CharactersWithSpaces>32167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2023-10-31T21:13:00Z</dcterms:created>
  <dcterms:modified xsi:type="dcterms:W3CDTF">2023-10-31T21:13:00Z</dcterms:modified>
</cp:coreProperties>
</file>