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Supporting Information: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Antiaging Synergistic Effect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in</w:t>
      </w:r>
      <w:r>
        <w:rPr>
          <w:b/>
          <w:bCs/>
          <w:sz w:val="24"/>
          <w:szCs w:val="24"/>
        </w:rPr>
        <w:t xml:space="preserve"> </w:t>
      </w:r>
      <w:bookmarkStart w:id="0" w:name="_Hlk145539353"/>
      <w:r>
        <w:rPr>
          <w:b/>
          <w:bCs/>
          <w:sz w:val="24"/>
          <w:szCs w:val="24"/>
        </w:rPr>
        <w:t xml:space="preserve">Noninvasive </w:t>
      </w:r>
      <w:r>
        <w:rPr>
          <w:rFonts w:hint="eastAsia"/>
          <w:b/>
          <w:bCs/>
          <w:sz w:val="24"/>
          <w:szCs w:val="24"/>
        </w:rPr>
        <w:t>T</w:t>
      </w:r>
      <w:r>
        <w:rPr>
          <w:b/>
          <w:bCs/>
          <w:sz w:val="24"/>
          <w:szCs w:val="24"/>
        </w:rPr>
        <w:t xml:space="preserve">ransdermal </w:t>
      </w:r>
      <w:r>
        <w:rPr>
          <w:rFonts w:hint="eastAsia"/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>elivery</w:t>
      </w:r>
      <w:bookmarkEnd w:id="0"/>
      <w:r>
        <w:rPr>
          <w:b/>
          <w:bCs/>
          <w:sz w:val="24"/>
          <w:szCs w:val="24"/>
        </w:rPr>
        <w:t xml:space="preserve"> of </w:t>
      </w:r>
      <w:r>
        <w:rPr>
          <w:rFonts w:hint="eastAsia"/>
          <w:b/>
          <w:bCs/>
          <w:sz w:val="24"/>
          <w:szCs w:val="24"/>
        </w:rPr>
        <w:t>Peptide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Loaded L</w:t>
      </w:r>
      <w:r>
        <w:rPr>
          <w:b/>
          <w:bCs/>
          <w:sz w:val="24"/>
          <w:szCs w:val="24"/>
        </w:rPr>
        <w:t xml:space="preserve">iposomes by </w:t>
      </w:r>
      <w:r>
        <w:rPr>
          <w:rFonts w:hint="eastAsia"/>
          <w:b/>
          <w:bCs/>
          <w:sz w:val="24"/>
          <w:szCs w:val="24"/>
        </w:rPr>
        <w:t>L</w:t>
      </w:r>
      <w:r>
        <w:rPr>
          <w:b/>
          <w:bCs/>
          <w:sz w:val="24"/>
          <w:szCs w:val="24"/>
        </w:rPr>
        <w:t xml:space="preserve">ow </w:t>
      </w:r>
      <w:r>
        <w:rPr>
          <w:rFonts w:hint="eastAsia"/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nergy</w:t>
      </w:r>
      <w:r>
        <w:rPr>
          <w:rFonts w:hint="eastAsia"/>
          <w:b/>
          <w:bCs/>
          <w:sz w:val="24"/>
          <w:szCs w:val="24"/>
        </w:rPr>
        <w:t>/Freq</w:t>
      </w:r>
      <w:r>
        <w:rPr>
          <w:b/>
          <w:bCs/>
          <w:sz w:val="24"/>
          <w:szCs w:val="24"/>
        </w:rPr>
        <w:t>u</w:t>
      </w:r>
      <w:r>
        <w:rPr>
          <w:rFonts w:hint="eastAsia"/>
          <w:b/>
          <w:bCs/>
          <w:sz w:val="24"/>
          <w:szCs w:val="24"/>
        </w:rPr>
        <w:t>ency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Radiofrequency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t>Nanxi Xiang</w:t>
      </w:r>
      <w:r>
        <w:rPr>
          <w:vertAlign w:val="superscript"/>
        </w:rPr>
        <w:t>1,+</w:t>
      </w:r>
      <w:r>
        <w:t>,</w:t>
      </w:r>
      <w:r>
        <w:rPr>
          <w:sz w:val="22"/>
          <w:szCs w:val="22"/>
        </w:rPr>
        <w:t xml:space="preserve"> </w:t>
      </w:r>
      <w:r>
        <w:t>Zeting Huang</w:t>
      </w:r>
      <w:r>
        <w:rPr>
          <w:rFonts w:hint="eastAsia"/>
          <w:vertAlign w:val="superscript"/>
        </w:rPr>
        <w:t>2</w:t>
      </w:r>
      <w:r>
        <w:rPr>
          <w:vertAlign w:val="superscript"/>
        </w:rPr>
        <w:t>,+</w:t>
      </w:r>
      <w:r>
        <w:rPr>
          <w:rFonts w:hint="eastAsia"/>
        </w:rPr>
        <w:t>,</w:t>
      </w:r>
      <w:r>
        <w:t xml:space="preserve"> Chunqiao Zhang</w:t>
      </w:r>
      <w:r>
        <w:rPr>
          <w:vertAlign w:val="superscript"/>
        </w:rPr>
        <w:t>1</w:t>
      </w:r>
      <w:r>
        <w:t xml:space="preserve">, </w:t>
      </w:r>
      <w:r>
        <w:rPr>
          <w:rFonts w:hint="eastAsia"/>
        </w:rPr>
        <w:t>J</w:t>
      </w:r>
      <w:r>
        <w:t>iahong Huang3, Zhenyuan Wang</w:t>
      </w:r>
      <w:r>
        <w:rPr>
          <w:vertAlign w:val="superscript"/>
        </w:rPr>
        <w:t>4</w:t>
      </w:r>
      <w:r>
        <w:t>, Jichuan Zhang</w:t>
      </w:r>
      <w:r>
        <w:rPr>
          <w:vertAlign w:val="superscript"/>
        </w:rPr>
        <w:t>4</w:t>
      </w:r>
      <w:r>
        <w:t>, Ping Yin</w:t>
      </w:r>
      <w:r>
        <w:rPr>
          <w:vertAlign w:val="superscript"/>
        </w:rPr>
        <w:t>1</w:t>
      </w:r>
      <w:r>
        <w:t>, Chengyu Wu</w:t>
      </w:r>
      <w:r>
        <w:rPr>
          <w:vertAlign w:val="superscript"/>
        </w:rPr>
        <w:t>3,*</w:t>
      </w:r>
      <w:r>
        <w:t>, Jiaheng Zhang</w:t>
      </w:r>
      <w:r>
        <w:rPr>
          <w:vertAlign w:val="superscript"/>
        </w:rPr>
        <w:t>3,*</w:t>
      </w:r>
      <w:r>
        <w:t>, Weihua Peng</w:t>
      </w:r>
      <w:r>
        <w:rPr>
          <w:vertAlign w:val="superscript"/>
        </w:rPr>
        <w:t>2, 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ascii="Times New Roman" w:hAnsi="Times New Roman" w:eastAsia="宋体" w:cs="Times New Roman"/>
          <w:kern w:val="2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kern w:val="2"/>
          <w:sz w:val="24"/>
          <w:szCs w:val="24"/>
        </w:rPr>
        <w:t>Chongqing Innovation Center</w:t>
      </w:r>
      <w:r>
        <w:rPr>
          <w:rFonts w:hint="eastAsia" w:cs="Times New Roman"/>
          <w:kern w:val="2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kern w:val="2"/>
          <w:sz w:val="24"/>
          <w:szCs w:val="24"/>
        </w:rPr>
        <w:t xml:space="preserve">Beijing Institute of Technology, Chongqing 401120, </w:t>
      </w:r>
      <w:r>
        <w:rPr>
          <w:rFonts w:ascii="Times New Roman" w:hAnsi="Times New Roman" w:cs="Times New Roman"/>
          <w:kern w:val="0"/>
          <w:sz w:val="24"/>
          <w:szCs w:val="24"/>
        </w:rPr>
        <w:t>P. R.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kern w:val="2"/>
          <w:sz w:val="24"/>
          <w:szCs w:val="24"/>
        </w:rPr>
        <w:t>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kern w:val="2"/>
          <w:sz w:val="24"/>
          <w:szCs w:val="24"/>
        </w:rPr>
        <w:t>Guangzhou Zhongzhuang Meiye Cosmetics Co., Ltd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kern w:val="2"/>
          <w:sz w:val="24"/>
          <w:szCs w:val="24"/>
        </w:rPr>
        <w:t>Guangzhou</w:t>
      </w:r>
      <w:r>
        <w:rPr>
          <w:rFonts w:hint="eastAsia" w:cs="Times New Roman"/>
          <w:kern w:val="2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</w:rPr>
        <w:t>4</w:t>
      </w:r>
      <w:bookmarkStart w:id="1" w:name="_GoBack"/>
      <w:bookmarkEnd w:id="1"/>
      <w:r>
        <w:rPr>
          <w:rFonts w:hint="eastAsia" w:ascii="Times New Roman" w:hAnsi="Times New Roman" w:eastAsia="宋体" w:cs="Times New Roman"/>
          <w:kern w:val="2"/>
          <w:sz w:val="24"/>
          <w:szCs w:val="24"/>
        </w:rPr>
        <w:t>40100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cs="Times New Roman"/>
          <w:kern w:val="0"/>
          <w:sz w:val="24"/>
          <w:szCs w:val="24"/>
        </w:rPr>
        <w:t>P. R.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kern w:val="2"/>
          <w:sz w:val="24"/>
          <w:szCs w:val="24"/>
        </w:rPr>
        <w:t>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ascii="Times New Roman" w:hAnsi="Times New Roman" w:eastAsia="宋体" w:cs="Times New Roman"/>
          <w:kern w:val="2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vertAlign w:val="superscript"/>
        </w:rPr>
        <w:t>3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kern w:val="2"/>
          <w:sz w:val="24"/>
          <w:szCs w:val="24"/>
        </w:rPr>
        <w:t>Sauvage Laboratory for Smart Materials, Harbin Institute of Technology, Shenzhen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</w:rPr>
        <w:t>440300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cs="Times New Roman"/>
          <w:kern w:val="0"/>
          <w:sz w:val="24"/>
          <w:szCs w:val="24"/>
        </w:rPr>
        <w:t>P. R.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kern w:val="2"/>
          <w:sz w:val="24"/>
          <w:szCs w:val="24"/>
        </w:rPr>
        <w:t>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ascii="Times New Roman" w:hAnsi="Times New Roman" w:eastAsia="宋体" w:cs="Times New Roman"/>
          <w:kern w:val="2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vertAlign w:val="superscript"/>
        </w:rPr>
        <w:t>4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kern w:val="2"/>
          <w:sz w:val="24"/>
          <w:szCs w:val="24"/>
        </w:rPr>
        <w:t>Shenzhen Shinehigh Innovation Technology Co., Ltd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kern w:val="2"/>
          <w:sz w:val="24"/>
          <w:szCs w:val="24"/>
        </w:rPr>
        <w:t>Shenzhen</w:t>
      </w:r>
      <w:r>
        <w:rPr>
          <w:rFonts w:hint="eastAsia" w:cs="Times New Roman"/>
          <w:kern w:val="2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</w:rPr>
        <w:t>440300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cs="Times New Roman"/>
          <w:kern w:val="0"/>
          <w:sz w:val="24"/>
          <w:szCs w:val="24"/>
        </w:rPr>
        <w:t>P. R.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kern w:val="2"/>
          <w:sz w:val="24"/>
          <w:szCs w:val="24"/>
        </w:rPr>
        <w:t>China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</w:rPr>
      </w:pPr>
      <w:r>
        <w:rPr>
          <w:vertAlign w:val="superscript"/>
        </w:rPr>
        <w:t>*</w:t>
      </w:r>
      <w:r>
        <w:rPr>
          <w:rFonts w:hint="eastAsia"/>
          <w:lang w:val="en-US" w:eastAsia="zh-CN"/>
        </w:rPr>
        <w:t xml:space="preserve"> </w:t>
      </w:r>
      <w:r>
        <w:t xml:space="preserve">Corresponding author. E-mail: </w:t>
      </w:r>
      <w:r>
        <w:fldChar w:fldCharType="begin"/>
      </w:r>
      <w:r>
        <w:instrText xml:space="preserve"> HYPERLINK "mailto:wuchengyu@hit.edu.cn" </w:instrText>
      </w:r>
      <w:r>
        <w:fldChar w:fldCharType="separate"/>
      </w:r>
      <w:r>
        <w:rPr>
          <w:color w:val="0563C1"/>
          <w:u w:val="single"/>
        </w:rPr>
        <w:t>wuchengyu@hit.edu.cn</w:t>
      </w:r>
      <w:r>
        <w:rPr>
          <w:color w:val="0563C1"/>
          <w:u w:val="single"/>
        </w:rPr>
        <w:fldChar w:fldCharType="end"/>
      </w:r>
      <w:r>
        <w:t xml:space="preserve">, zhangjiaheng@hit.edu.cn, </w:t>
      </w:r>
      <w:r>
        <w:fldChar w:fldCharType="begin"/>
      </w:r>
      <w:r>
        <w:instrText xml:space="preserve"> HYPERLINK "mailto:penkky@hanhoo.com" </w:instrText>
      </w:r>
      <w:r>
        <w:fldChar w:fldCharType="separate"/>
      </w:r>
      <w:r>
        <w:rPr>
          <w:color w:val="0563C1"/>
          <w:u w:val="single"/>
        </w:rPr>
        <w:t>penkky@hanhoo.com</w:t>
      </w:r>
      <w:r>
        <w:rPr>
          <w:color w:val="0563C1"/>
          <w:u w:val="single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eastAsia"/>
          <w:vertAlign w:val="superscript"/>
        </w:rPr>
        <w:t>+</w:t>
      </w:r>
      <w:r>
        <w:rPr>
          <w:rFonts w:hint="eastAsia"/>
          <w:vertAlign w:val="superscript"/>
          <w:lang w:val="en-US" w:eastAsia="zh-CN"/>
        </w:rPr>
        <w:t xml:space="preserve"> </w:t>
      </w:r>
      <w:r>
        <w:t>These authors contributed equally to this work.</w:t>
      </w:r>
    </w:p>
    <w:p/>
    <w:p/>
    <w:p/>
    <w:p/>
    <w:p/>
    <w:p/>
    <w:p/>
    <w:p/>
    <w:p/>
    <w:p/>
    <w:p/>
    <w:p/>
    <w:p/>
    <w:p/>
    <w:p>
      <w:pPr>
        <w:pStyle w:val="2"/>
        <w:bidi w:val="0"/>
      </w:pPr>
    </w:p>
    <w:p>
      <w:p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Table S1 Sequeces of primers used in this work.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5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widowControl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Name</w:t>
            </w:r>
          </w:p>
        </w:tc>
        <w:tc>
          <w:tcPr>
            <w:tcW w:w="5948" w:type="dxa"/>
          </w:tcPr>
          <w:p>
            <w:pPr>
              <w:widowControl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primer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widowControl w:val="0"/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Collagen I,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α1</w:t>
            </w:r>
          </w:p>
        </w:tc>
        <w:tc>
          <w:tcPr>
            <w:tcW w:w="5948" w:type="dxa"/>
          </w:tcPr>
          <w:p>
            <w:pPr>
              <w:widowControl w:val="0"/>
              <w:jc w:val="both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Forward (5'-3'): AGACCTGTGTGTTCCCTACT</w:t>
            </w:r>
          </w:p>
          <w:p>
            <w:pPr>
              <w:widowControl w:val="0"/>
              <w:jc w:val="both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Reverse (5'-3'): GAATCCATCGGTCATGCTCTC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widowControl w:val="0"/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Collagen III,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α1</w:t>
            </w:r>
          </w:p>
        </w:tc>
        <w:tc>
          <w:tcPr>
            <w:tcW w:w="5948" w:type="dxa"/>
          </w:tcPr>
          <w:p>
            <w:pPr>
              <w:widowControl w:val="0"/>
              <w:jc w:val="both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Forward (5'-3'): CCTGGTGGAAAGGGTGAAAT</w:t>
            </w:r>
          </w:p>
          <w:p>
            <w:pPr>
              <w:widowControl w:val="0"/>
              <w:jc w:val="both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Reverse (5'-3'): CGTGTTCCGGGTATACCATTAG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widowControl w:val="0"/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matrix metallopeptidase 1</w:t>
            </w:r>
          </w:p>
        </w:tc>
        <w:tc>
          <w:tcPr>
            <w:tcW w:w="5948" w:type="dxa"/>
          </w:tcPr>
          <w:p>
            <w:pPr>
              <w:widowControl w:val="0"/>
              <w:jc w:val="both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Forward (5'-3'): GTTGACAGGCTCCGAGAAAT</w:t>
            </w:r>
          </w:p>
          <w:p>
            <w:pPr>
              <w:widowControl w:val="0"/>
              <w:jc w:val="both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Reverse (5'-3'): CATCAGGCACTCCACATCTT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widowControl w:val="0"/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matrix metallopeptidase 3</w:t>
            </w:r>
          </w:p>
        </w:tc>
        <w:tc>
          <w:tcPr>
            <w:tcW w:w="5948" w:type="dxa"/>
          </w:tcPr>
          <w:p>
            <w:pPr>
              <w:widowControl w:val="0"/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Forward (5'-3'): GGACCAGGGATTAATGGAGATG</w:t>
            </w:r>
          </w:p>
          <w:p>
            <w:pPr>
              <w:widowControl w:val="0"/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Reverse (5'-3'): TGAGCAGCAACCAGGAATAG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4" w:type="dxa"/>
          </w:tcPr>
          <w:p>
            <w:pPr>
              <w:widowControl w:val="0"/>
              <w:jc w:val="both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Pro-collagen</w:t>
            </w:r>
            <w:r>
              <w:rPr>
                <w:rFonts w:hint="eastAsia"/>
                <w:sz w:val="18"/>
                <w:szCs w:val="18"/>
                <w:vertAlign w:val="superscript"/>
                <w:lang w:val="en-US" w:eastAsia="zh-CN"/>
              </w:rPr>
              <w:t>[1, 2]</w:t>
            </w:r>
          </w:p>
        </w:tc>
        <w:tc>
          <w:tcPr>
            <w:tcW w:w="5948" w:type="dxa"/>
          </w:tcPr>
          <w:p>
            <w:pPr>
              <w:widowControl w:val="0"/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Forward (5'-3'): TCGTGACCGTGACCTTGCG</w:t>
            </w:r>
          </w:p>
          <w:p>
            <w:pPr>
              <w:widowControl w:val="0"/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Reverse (5'-3'): AGGCACAGACGGCTGAGTAGG</w:t>
            </w:r>
          </w:p>
        </w:tc>
      </w:tr>
    </w:tbl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</w:t>
      </w:r>
    </w:p>
    <w:p>
      <w:pPr>
        <w:rPr>
          <w:sz w:val="21"/>
          <w:szCs w:val="21"/>
        </w:rPr>
      </w:pPr>
      <w:r>
        <w:rPr>
          <w:sz w:val="18"/>
          <w:szCs w:val="18"/>
        </w:rPr>
        <w:t>T</w:t>
      </w:r>
      <w:r>
        <w:rPr>
          <w:rFonts w:hint="eastAsia"/>
          <w:sz w:val="18"/>
          <w:szCs w:val="18"/>
        </w:rPr>
        <w:t>able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  <w:lang w:val="en-US" w:eastAsia="zh-CN"/>
        </w:rPr>
        <w:t>S2</w:t>
      </w:r>
      <w:r>
        <w:rPr>
          <w:sz w:val="18"/>
          <w:szCs w:val="18"/>
        </w:rPr>
        <w:t xml:space="preserve"> The physiochemical parameter and EE of peptide</w:t>
      </w:r>
      <w:r>
        <w:rPr>
          <w:rFonts w:hint="eastAsia"/>
          <w:sz w:val="18"/>
          <w:szCs w:val="18"/>
        </w:rPr>
        <w:t xml:space="preserve"> liposomes</w:t>
      </w:r>
      <w:r>
        <w:rPr>
          <w:sz w:val="18"/>
          <w:szCs w:val="18"/>
        </w:rPr>
        <w:t xml:space="preserve"> at room temperature</w:t>
      </w:r>
    </w:p>
    <w:tbl>
      <w:tblPr>
        <w:tblStyle w:val="4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126"/>
        <w:gridCol w:w="1538"/>
        <w:gridCol w:w="1378"/>
        <w:gridCol w:w="1339"/>
        <w:gridCol w:w="1197"/>
        <w:gridCol w:w="1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</w:t>
            </w:r>
          </w:p>
        </w:tc>
        <w:tc>
          <w:tcPr>
            <w:tcW w:w="1126" w:type="dxa"/>
            <w:noWrap w:val="0"/>
            <w:vAlign w:val="top"/>
          </w:tcPr>
          <w:p>
            <w:pPr>
              <w:widowControl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H</w:t>
            </w:r>
          </w:p>
        </w:tc>
        <w:tc>
          <w:tcPr>
            <w:tcW w:w="1538" w:type="dxa"/>
            <w:noWrap w:val="0"/>
            <w:vAlign w:val="top"/>
          </w:tcPr>
          <w:p>
            <w:pPr>
              <w:widowControl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iameter</w:t>
            </w:r>
            <w:r>
              <w:rPr>
                <w:sz w:val="18"/>
                <w:szCs w:val="18"/>
              </w:rPr>
              <w:t>, nm</w:t>
            </w:r>
          </w:p>
        </w:tc>
        <w:tc>
          <w:tcPr>
            <w:tcW w:w="1378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PDI</w:t>
            </w:r>
          </w:p>
        </w:tc>
        <w:tc>
          <w:tcPr>
            <w:tcW w:w="1339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ζ potential, mV</w:t>
            </w:r>
          </w:p>
        </w:tc>
        <w:tc>
          <w:tcPr>
            <w:tcW w:w="1197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  <w:vertAlign w:val="subscript"/>
              </w:rPr>
              <w:t>AH-6</w:t>
            </w:r>
            <w:r>
              <w:rPr>
                <w:sz w:val="18"/>
                <w:szCs w:val="18"/>
              </w:rPr>
              <w:t>, %</w:t>
            </w:r>
          </w:p>
        </w:tc>
        <w:tc>
          <w:tcPr>
            <w:tcW w:w="1149" w:type="dxa"/>
            <w:noWrap w:val="0"/>
            <w:vAlign w:val="top"/>
          </w:tcPr>
          <w:p>
            <w:pPr>
              <w:widowControl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E</w:t>
            </w:r>
            <w:r>
              <w:rPr>
                <w:sz w:val="18"/>
                <w:szCs w:val="18"/>
                <w:vertAlign w:val="subscript"/>
              </w:rPr>
              <w:t>PP-5</w:t>
            </w:r>
            <w:r>
              <w:rPr>
                <w:sz w:val="18"/>
                <w:szCs w:val="18"/>
              </w:rPr>
              <w:t>,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day</w:t>
            </w:r>
          </w:p>
        </w:tc>
        <w:tc>
          <w:tcPr>
            <w:tcW w:w="1126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.36</w:t>
            </w:r>
            <w:r>
              <w:rPr>
                <w:rFonts w:hint="eastAsia"/>
                <w:sz w:val="18"/>
                <w:szCs w:val="18"/>
              </w:rPr>
              <w:t>±0</w:t>
            </w:r>
            <w:r>
              <w:rPr>
                <w:sz w:val="18"/>
                <w:szCs w:val="18"/>
              </w:rPr>
              <w:t>.02</w:t>
            </w:r>
          </w:p>
        </w:tc>
        <w:tc>
          <w:tcPr>
            <w:tcW w:w="1538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135.38</w:t>
            </w:r>
            <w:r>
              <w:rPr>
                <w:rFonts w:hint="eastAsia"/>
                <w:sz w:val="18"/>
                <w:szCs w:val="18"/>
              </w:rPr>
              <w:t>±3</w:t>
            </w:r>
            <w:r>
              <w:rPr>
                <w:sz w:val="18"/>
                <w:szCs w:val="18"/>
              </w:rPr>
              <w:t>.46</w:t>
            </w:r>
          </w:p>
        </w:tc>
        <w:tc>
          <w:tcPr>
            <w:tcW w:w="1378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.093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sz w:val="18"/>
                <w:szCs w:val="18"/>
              </w:rPr>
              <w:t>0.005</w:t>
            </w:r>
          </w:p>
        </w:tc>
        <w:tc>
          <w:tcPr>
            <w:tcW w:w="1339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.56</w:t>
            </w:r>
            <w:r>
              <w:rPr>
                <w:rFonts w:hint="eastAsia"/>
                <w:sz w:val="18"/>
                <w:szCs w:val="18"/>
              </w:rPr>
              <w:t>±0</w:t>
            </w:r>
            <w:r>
              <w:rPr>
                <w:sz w:val="18"/>
                <w:szCs w:val="18"/>
              </w:rPr>
              <w:t>.45</w:t>
            </w:r>
          </w:p>
        </w:tc>
        <w:tc>
          <w:tcPr>
            <w:tcW w:w="1197" w:type="dxa"/>
            <w:noWrap w:val="0"/>
            <w:vAlign w:val="top"/>
          </w:tcPr>
          <w:p>
            <w:pPr>
              <w:widowControl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8.24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sz w:val="18"/>
                <w:szCs w:val="18"/>
              </w:rPr>
              <w:t>3.11</w:t>
            </w:r>
          </w:p>
        </w:tc>
        <w:tc>
          <w:tcPr>
            <w:tcW w:w="1149" w:type="dxa"/>
            <w:noWrap w:val="0"/>
            <w:vAlign w:val="top"/>
          </w:tcPr>
          <w:p>
            <w:pPr>
              <w:widowControl w:val="0"/>
              <w:jc w:val="center"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7.36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sz w:val="18"/>
                <w:szCs w:val="18"/>
              </w:rPr>
              <w:t>1.28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day</w:t>
            </w:r>
            <w:r>
              <w:rPr>
                <w:rFonts w:hint="eastAsia"/>
                <w:sz w:val="18"/>
                <w:szCs w:val="18"/>
              </w:rPr>
              <w:t>s</w:t>
            </w:r>
          </w:p>
        </w:tc>
        <w:tc>
          <w:tcPr>
            <w:tcW w:w="1126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.38</w:t>
            </w:r>
            <w:r>
              <w:rPr>
                <w:rFonts w:hint="eastAsia"/>
                <w:sz w:val="18"/>
                <w:szCs w:val="18"/>
              </w:rPr>
              <w:t>±0</w:t>
            </w:r>
            <w:r>
              <w:rPr>
                <w:sz w:val="18"/>
                <w:szCs w:val="18"/>
              </w:rPr>
              <w:t>.03</w:t>
            </w:r>
          </w:p>
        </w:tc>
        <w:tc>
          <w:tcPr>
            <w:tcW w:w="1538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37.71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sz w:val="18"/>
                <w:szCs w:val="18"/>
              </w:rPr>
              <w:t>4.90</w:t>
            </w:r>
          </w:p>
        </w:tc>
        <w:tc>
          <w:tcPr>
            <w:tcW w:w="1378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.103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sz w:val="18"/>
                <w:szCs w:val="18"/>
              </w:rPr>
              <w:t>0.004</w:t>
            </w:r>
          </w:p>
        </w:tc>
        <w:tc>
          <w:tcPr>
            <w:tcW w:w="1339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.05</w:t>
            </w:r>
            <w:r>
              <w:rPr>
                <w:rFonts w:hint="eastAsia"/>
                <w:sz w:val="18"/>
                <w:szCs w:val="18"/>
              </w:rPr>
              <w:t>±0</w:t>
            </w:r>
            <w:r>
              <w:rPr>
                <w:sz w:val="18"/>
                <w:szCs w:val="18"/>
              </w:rPr>
              <w:t>.24</w:t>
            </w:r>
          </w:p>
        </w:tc>
        <w:tc>
          <w:tcPr>
            <w:tcW w:w="1197" w:type="dxa"/>
            <w:noWrap w:val="0"/>
            <w:vAlign w:val="top"/>
          </w:tcPr>
          <w:p>
            <w:pPr>
              <w:widowControl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4.33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sz w:val="18"/>
                <w:szCs w:val="18"/>
              </w:rPr>
              <w:t>1.70</w:t>
            </w:r>
          </w:p>
        </w:tc>
        <w:tc>
          <w:tcPr>
            <w:tcW w:w="1149" w:type="dxa"/>
            <w:noWrap w:val="0"/>
            <w:vAlign w:val="top"/>
          </w:tcPr>
          <w:p>
            <w:pPr>
              <w:widowControl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8.45</w:t>
            </w:r>
            <w:r>
              <w:rPr>
                <w:rFonts w:hint="eastAsia"/>
                <w:sz w:val="18"/>
                <w:szCs w:val="18"/>
              </w:rPr>
              <w:t>±0</w:t>
            </w:r>
            <w:r>
              <w:rPr>
                <w:sz w:val="18"/>
                <w:szCs w:val="18"/>
              </w:rPr>
              <w:t>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 days</w:t>
            </w:r>
          </w:p>
        </w:tc>
        <w:tc>
          <w:tcPr>
            <w:tcW w:w="1126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.42</w:t>
            </w:r>
            <w:r>
              <w:rPr>
                <w:rFonts w:hint="eastAsia"/>
                <w:sz w:val="18"/>
                <w:szCs w:val="18"/>
              </w:rPr>
              <w:t>±0</w:t>
            </w:r>
            <w:r>
              <w:rPr>
                <w:sz w:val="18"/>
                <w:szCs w:val="18"/>
              </w:rPr>
              <w:t>.02</w:t>
            </w:r>
          </w:p>
        </w:tc>
        <w:tc>
          <w:tcPr>
            <w:tcW w:w="1538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35.28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sz w:val="18"/>
                <w:szCs w:val="18"/>
              </w:rPr>
              <w:t>2.23</w:t>
            </w:r>
          </w:p>
        </w:tc>
        <w:tc>
          <w:tcPr>
            <w:tcW w:w="1378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.097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sz w:val="18"/>
                <w:szCs w:val="18"/>
              </w:rPr>
              <w:t>0.007</w:t>
            </w:r>
          </w:p>
        </w:tc>
        <w:tc>
          <w:tcPr>
            <w:tcW w:w="1339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.81</w:t>
            </w:r>
            <w:r>
              <w:rPr>
                <w:rFonts w:hint="eastAsia"/>
                <w:sz w:val="18"/>
                <w:szCs w:val="18"/>
              </w:rPr>
              <w:t>±0</w:t>
            </w:r>
            <w:r>
              <w:rPr>
                <w:sz w:val="18"/>
                <w:szCs w:val="18"/>
              </w:rPr>
              <w:t>.17</w:t>
            </w:r>
          </w:p>
        </w:tc>
        <w:tc>
          <w:tcPr>
            <w:tcW w:w="1197" w:type="dxa"/>
            <w:noWrap w:val="0"/>
            <w:vAlign w:val="top"/>
          </w:tcPr>
          <w:p>
            <w:pPr>
              <w:widowControl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2.15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sz w:val="18"/>
                <w:szCs w:val="18"/>
              </w:rPr>
              <w:t>5.04</w:t>
            </w:r>
          </w:p>
        </w:tc>
        <w:tc>
          <w:tcPr>
            <w:tcW w:w="1149" w:type="dxa"/>
            <w:noWrap w:val="0"/>
            <w:vAlign w:val="top"/>
          </w:tcPr>
          <w:p>
            <w:pPr>
              <w:widowControl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6.76</w:t>
            </w:r>
            <w:r>
              <w:rPr>
                <w:rFonts w:hint="eastAsia"/>
                <w:sz w:val="18"/>
                <w:szCs w:val="18"/>
              </w:rPr>
              <w:t>±0</w:t>
            </w:r>
            <w:r>
              <w:rPr>
                <w:sz w:val="18"/>
                <w:szCs w:val="18"/>
              </w:rPr>
              <w:t>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 days</w:t>
            </w:r>
          </w:p>
        </w:tc>
        <w:tc>
          <w:tcPr>
            <w:tcW w:w="1126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.45</w:t>
            </w:r>
            <w:r>
              <w:rPr>
                <w:rFonts w:hint="eastAsia"/>
                <w:sz w:val="18"/>
                <w:szCs w:val="18"/>
              </w:rPr>
              <w:t>±0</w:t>
            </w:r>
            <w:r>
              <w:rPr>
                <w:sz w:val="18"/>
                <w:szCs w:val="18"/>
              </w:rPr>
              <w:t>.04</w:t>
            </w:r>
          </w:p>
        </w:tc>
        <w:tc>
          <w:tcPr>
            <w:tcW w:w="1538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38.60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sz w:val="18"/>
                <w:szCs w:val="18"/>
              </w:rPr>
              <w:t>1.25</w:t>
            </w:r>
          </w:p>
        </w:tc>
        <w:tc>
          <w:tcPr>
            <w:tcW w:w="1378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.089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sz w:val="18"/>
                <w:szCs w:val="18"/>
              </w:rPr>
              <w:t>0.005</w:t>
            </w:r>
          </w:p>
        </w:tc>
        <w:tc>
          <w:tcPr>
            <w:tcW w:w="1339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3.67</w:t>
            </w:r>
            <w:r>
              <w:rPr>
                <w:rFonts w:hint="eastAsia"/>
                <w:sz w:val="18"/>
                <w:szCs w:val="18"/>
              </w:rPr>
              <w:t>±0</w:t>
            </w:r>
            <w:r>
              <w:rPr>
                <w:sz w:val="18"/>
                <w:szCs w:val="18"/>
              </w:rPr>
              <w:t>.30</w:t>
            </w:r>
          </w:p>
        </w:tc>
        <w:tc>
          <w:tcPr>
            <w:tcW w:w="1197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1149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" w:type="dxa"/>
            <w:noWrap w:val="0"/>
            <w:vAlign w:val="top"/>
          </w:tcPr>
          <w:p>
            <w:pPr>
              <w:widowControl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0 days</w:t>
            </w:r>
          </w:p>
        </w:tc>
        <w:tc>
          <w:tcPr>
            <w:tcW w:w="1126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.41</w:t>
            </w:r>
            <w:r>
              <w:rPr>
                <w:rFonts w:hint="eastAsia"/>
                <w:sz w:val="18"/>
                <w:szCs w:val="18"/>
              </w:rPr>
              <w:t>±0</w:t>
            </w:r>
            <w:r>
              <w:rPr>
                <w:sz w:val="18"/>
                <w:szCs w:val="18"/>
              </w:rPr>
              <w:t>.03</w:t>
            </w:r>
          </w:p>
        </w:tc>
        <w:tc>
          <w:tcPr>
            <w:tcW w:w="1538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39.49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sz w:val="18"/>
                <w:szCs w:val="18"/>
              </w:rPr>
              <w:t>2.33</w:t>
            </w:r>
          </w:p>
        </w:tc>
        <w:tc>
          <w:tcPr>
            <w:tcW w:w="1378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.074</w:t>
            </w:r>
            <w:r>
              <w:rPr>
                <w:rFonts w:hint="eastAsia"/>
                <w:sz w:val="18"/>
                <w:szCs w:val="18"/>
              </w:rPr>
              <w:t>±</w:t>
            </w:r>
            <w:r>
              <w:rPr>
                <w:sz w:val="18"/>
                <w:szCs w:val="18"/>
              </w:rPr>
              <w:t>0.003</w:t>
            </w:r>
          </w:p>
        </w:tc>
        <w:tc>
          <w:tcPr>
            <w:tcW w:w="1339" w:type="dxa"/>
            <w:noWrap w:val="0"/>
            <w:vAlign w:val="top"/>
          </w:tcPr>
          <w:p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.09</w:t>
            </w:r>
            <w:r>
              <w:rPr>
                <w:rFonts w:hint="eastAsia"/>
                <w:sz w:val="18"/>
                <w:szCs w:val="18"/>
              </w:rPr>
              <w:t>±0</w:t>
            </w:r>
            <w:r>
              <w:rPr>
                <w:sz w:val="18"/>
                <w:szCs w:val="18"/>
              </w:rPr>
              <w:t>.21</w:t>
            </w:r>
          </w:p>
        </w:tc>
        <w:tc>
          <w:tcPr>
            <w:tcW w:w="1197" w:type="dxa"/>
            <w:noWrap w:val="0"/>
            <w:vAlign w:val="top"/>
          </w:tcPr>
          <w:p>
            <w:pPr>
              <w:widowControl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1149" w:type="dxa"/>
            <w:noWrap w:val="0"/>
            <w:vAlign w:val="top"/>
          </w:tcPr>
          <w:p>
            <w:pPr>
              <w:widowControl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</w:tr>
    </w:tbl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(</w:t>
      </w:r>
      <w:r>
        <w:rPr>
          <w:sz w:val="18"/>
          <w:szCs w:val="18"/>
        </w:rPr>
        <w:t>NA=Not Available)</w:t>
      </w:r>
    </w:p>
    <w:p>
      <w:pPr>
        <w:rPr>
          <w:rFonts w:hint="eastAsia"/>
          <w:sz w:val="21"/>
          <w:szCs w:val="21"/>
          <w:lang w:val="en-US" w:eastAsia="zh-CN"/>
        </w:rPr>
      </w:pPr>
    </w:p>
    <w:p>
      <w:pPr>
        <w:rPr>
          <w:rFonts w:hint="eastAsia"/>
          <w:sz w:val="21"/>
          <w:szCs w:val="21"/>
          <w:lang w:val="en-US" w:eastAsia="zh-CN"/>
        </w:rPr>
      </w:pPr>
    </w:p>
    <w:p>
      <w:pPr>
        <w:jc w:val="center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drawing>
          <wp:inline distT="0" distB="0" distL="114300" distR="114300">
            <wp:extent cx="5118100" cy="3304540"/>
            <wp:effectExtent l="0" t="0" r="6350" b="10160"/>
            <wp:docPr id="2" name="图片 2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Fig. S1 The retention time and its corresponding standard curve of acetylhexapeptide-8 (a, b) and palmitoyl pentapeptide-4 (c, d). </w:t>
      </w:r>
    </w:p>
    <w:p>
      <w:pPr>
        <w:rPr>
          <w:rFonts w:hint="default"/>
          <w:sz w:val="21"/>
          <w:szCs w:val="21"/>
          <w:lang w:val="en-US" w:eastAsia="zh-CN"/>
        </w:rPr>
      </w:pPr>
    </w:p>
    <w:p>
      <w:pPr>
        <w:rPr>
          <w:rFonts w:hint="default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</w:p>
    <w:p>
      <w:pPr>
        <w:jc w:val="center"/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4331335" cy="2677795"/>
            <wp:effectExtent l="0" t="0" r="12065" b="8255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31335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Fig. S2 HE staining of differnt deal ways effect on hogskin (NC: Negative control group; LRF: low energy/frequency radio frequency treatment group; </w:t>
      </w:r>
      <w:r>
        <w:rPr>
          <w:rFonts w:hint="eastAsia" w:eastAsia="楷体"/>
          <w:sz w:val="18"/>
          <w:szCs w:val="18"/>
        </w:rPr>
        <w:t>L: liposomes of peptide reagent treatment group; LLRF: liposomes of peptide used before low energy/frequency radio frequency treatment group</w:t>
      </w:r>
      <w:r>
        <w:rPr>
          <w:rFonts w:hint="eastAsia" w:eastAsia="楷体"/>
          <w:sz w:val="18"/>
          <w:szCs w:val="18"/>
          <w:lang w:val="en-US" w:eastAsia="zh-CN"/>
        </w:rPr>
        <w:t>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)</w:t>
      </w:r>
    </w:p>
    <w:p>
      <w:pPr>
        <w:rPr>
          <w:rFonts w:hint="eastAsia"/>
          <w:sz w:val="21"/>
          <w:szCs w:val="21"/>
          <w:lang w:val="en-US" w:eastAsia="zh-CN"/>
        </w:rPr>
      </w:pPr>
    </w:p>
    <w:p>
      <w:pPr>
        <w:rPr>
          <w:rFonts w:hint="eastAsia"/>
          <w:sz w:val="21"/>
          <w:szCs w:val="21"/>
          <w:lang w:val="en-US" w:eastAsia="zh-CN"/>
        </w:rPr>
      </w:pPr>
    </w:p>
    <w:p>
      <w:pPr>
        <w:jc w:val="center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References</w:t>
      </w:r>
    </w:p>
    <w:p>
      <w:pPr>
        <w:jc w:val="center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[1] Saxena V, Lienesch D W, Zhou M, et al. Dual roles of immunoregulatory cytokine TGF-β in the pathogenesis of autoimmunity-mediated organ damage[J]. The Journal of Immunology, 2008, 180(3): 1903-1912.</w:t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[2] Zhang Y, McCormick L L, Desai S R, et al. Murine sclerodermatous graft-versus-host disease, a model for human scleroderma: cutaneous cytokines, chemokines, and immune cell activation[J]. The Journal of Immunology, 2002, 168(6): 3088-3098.</w:t>
      </w:r>
    </w:p>
    <w:p>
      <w:pPr>
        <w:rPr>
          <w:rFonts w:hint="default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jNzRmYmRkNThkNjQ1YjBkZWI0NDQ0NTllODU4NmUifQ=="/>
  </w:docVars>
  <w:rsids>
    <w:rsidRoot w:val="00000000"/>
    <w:rsid w:val="01376762"/>
    <w:rsid w:val="085C1FAC"/>
    <w:rsid w:val="08C01BD2"/>
    <w:rsid w:val="0B053802"/>
    <w:rsid w:val="0F2C0ED1"/>
    <w:rsid w:val="163B0AEA"/>
    <w:rsid w:val="17151105"/>
    <w:rsid w:val="17242980"/>
    <w:rsid w:val="1D040F17"/>
    <w:rsid w:val="1FCF53A4"/>
    <w:rsid w:val="20E34258"/>
    <w:rsid w:val="295D0C2A"/>
    <w:rsid w:val="2C764346"/>
    <w:rsid w:val="2E456552"/>
    <w:rsid w:val="2E9A3993"/>
    <w:rsid w:val="32270996"/>
    <w:rsid w:val="37B87DE3"/>
    <w:rsid w:val="3D94095C"/>
    <w:rsid w:val="44B813D4"/>
    <w:rsid w:val="4DA7667B"/>
    <w:rsid w:val="56F96C07"/>
    <w:rsid w:val="62065A1D"/>
    <w:rsid w:val="64A83545"/>
    <w:rsid w:val="6B9B1D9D"/>
    <w:rsid w:val="748466C1"/>
    <w:rsid w:val="7492380F"/>
    <w:rsid w:val="75E8126A"/>
    <w:rsid w:val="768D3BBF"/>
    <w:rsid w:val="7A0C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2023-03-23T01:30:00Z</dcterms:created>
  <dc:creator>Admin</dc:creator>
  <cp:lastModifiedBy>文档存本地丢失不负责</cp:lastModifiedBy>
  <dcterms:modified xsi:type="dcterms:W3CDTF">2023-10-31T06:29:15Z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99029295E3D0492DB3310F358F496415</vt:lpwstr>
  </property>
</Properties>
</file>