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E279FE" w14:textId="12CDEBC6" w:rsidR="00252775" w:rsidRPr="009347EF" w:rsidRDefault="00252775" w:rsidP="00252775">
      <w:pPr>
        <w:rPr>
          <w:sz w:val="20"/>
          <w:szCs w:val="20"/>
        </w:rPr>
      </w:pPr>
      <w:r w:rsidRPr="009347EF">
        <w:rPr>
          <w:noProof/>
          <w:sz w:val="20"/>
          <w:szCs w:val="20"/>
        </w:rPr>
        <w:drawing>
          <wp:inline distT="0" distB="0" distL="0" distR="0" wp14:anchorId="727FDAD3" wp14:editId="2DFAC624">
            <wp:extent cx="5943600" cy="7260590"/>
            <wp:effectExtent l="0" t="0" r="0" b="3810"/>
            <wp:docPr id="265139730"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139730" name="Picture 2" descr="A screen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260590"/>
                    </a:xfrm>
                    <a:prstGeom prst="rect">
                      <a:avLst/>
                    </a:prstGeom>
                  </pic:spPr>
                </pic:pic>
              </a:graphicData>
            </a:graphic>
          </wp:inline>
        </w:drawing>
      </w:r>
    </w:p>
    <w:p w14:paraId="2FA3D639" w14:textId="77777777" w:rsidR="00C659E8" w:rsidRDefault="006448A4" w:rsidP="00C659E8">
      <w:pPr>
        <w:jc w:val="both"/>
        <w:rPr>
          <w:sz w:val="20"/>
          <w:szCs w:val="20"/>
        </w:rPr>
      </w:pPr>
      <w:sdt>
        <w:sdtPr>
          <w:rPr>
            <w:b/>
            <w:bCs/>
            <w:sz w:val="20"/>
            <w:szCs w:val="20"/>
          </w:rPr>
          <w:tag w:val="goog_rdk_1"/>
          <w:id w:val="1334100415"/>
        </w:sdtPr>
        <w:sdtEndPr/>
        <w:sdtContent/>
      </w:sdt>
      <w:r w:rsidR="00C659E8" w:rsidRPr="006664CF">
        <w:rPr>
          <w:b/>
          <w:bCs/>
          <w:sz w:val="20"/>
          <w:szCs w:val="20"/>
        </w:rPr>
        <w:t>Extended Data Figure 1. T-ALL cohort composition and subtyping</w:t>
      </w:r>
      <w:r w:rsidR="00C659E8">
        <w:rPr>
          <w:b/>
          <w:bCs/>
          <w:sz w:val="20"/>
          <w:szCs w:val="20"/>
        </w:rPr>
        <w:t xml:space="preserve">. a, </w:t>
      </w:r>
      <w:r w:rsidR="00C659E8" w:rsidRPr="009347EF">
        <w:rPr>
          <w:sz w:val="20"/>
          <w:szCs w:val="20"/>
        </w:rPr>
        <w:t>Schematic depiction of the cohort structure, analysis framework, and study outcomes</w:t>
      </w:r>
      <w:r w:rsidR="00C659E8">
        <w:rPr>
          <w:sz w:val="20"/>
          <w:szCs w:val="20"/>
        </w:rPr>
        <w:t>;</w:t>
      </w:r>
      <w:r w:rsidR="00C659E8">
        <w:rPr>
          <w:b/>
          <w:bCs/>
          <w:sz w:val="20"/>
          <w:szCs w:val="20"/>
        </w:rPr>
        <w:t xml:space="preserve"> b, </w:t>
      </w:r>
      <w:r w:rsidR="00C659E8" w:rsidRPr="009347EF">
        <w:rPr>
          <w:sz w:val="20"/>
          <w:szCs w:val="20"/>
        </w:rPr>
        <w:t>UMAP scatter plots illustrating Leiden algorithm clusters at 0.1 resolution, annotated by subtype</w:t>
      </w:r>
      <w:r w:rsidR="00C659E8">
        <w:rPr>
          <w:sz w:val="20"/>
          <w:szCs w:val="20"/>
        </w:rPr>
        <w:t>;</w:t>
      </w:r>
      <w:r w:rsidR="00C659E8">
        <w:rPr>
          <w:b/>
          <w:bCs/>
          <w:sz w:val="20"/>
          <w:szCs w:val="20"/>
        </w:rPr>
        <w:t xml:space="preserve"> c, </w:t>
      </w:r>
      <w:r w:rsidR="00C659E8" w:rsidRPr="009347EF">
        <w:rPr>
          <w:sz w:val="20"/>
          <w:szCs w:val="20"/>
        </w:rPr>
        <w:t>Leiden algorithm clusters at 0.5 resolution, further delineating distinct groups</w:t>
      </w:r>
      <w:r w:rsidR="00C659E8">
        <w:rPr>
          <w:sz w:val="20"/>
          <w:szCs w:val="20"/>
        </w:rPr>
        <w:t>;</w:t>
      </w:r>
      <w:r w:rsidR="00C659E8">
        <w:rPr>
          <w:b/>
          <w:bCs/>
          <w:sz w:val="20"/>
          <w:szCs w:val="20"/>
        </w:rPr>
        <w:t xml:space="preserve"> d, </w:t>
      </w:r>
      <w:r w:rsidR="00C659E8" w:rsidRPr="009347EF">
        <w:rPr>
          <w:sz w:val="20"/>
          <w:szCs w:val="20"/>
        </w:rPr>
        <w:t>Leiden algorithm clusters showcasing oncogene expression patterns</w:t>
      </w:r>
      <w:r w:rsidR="00C659E8">
        <w:rPr>
          <w:sz w:val="20"/>
          <w:szCs w:val="20"/>
        </w:rPr>
        <w:t>;</w:t>
      </w:r>
      <w:r w:rsidR="00C659E8">
        <w:rPr>
          <w:b/>
          <w:bCs/>
          <w:sz w:val="20"/>
          <w:szCs w:val="20"/>
        </w:rPr>
        <w:t xml:space="preserve"> e. </w:t>
      </w:r>
      <w:r w:rsidR="00C659E8" w:rsidRPr="009347EF">
        <w:rPr>
          <w:sz w:val="20"/>
          <w:szCs w:val="20"/>
        </w:rPr>
        <w:t>UMAP plot visualizing TCR types hijacked by oncogenes</w:t>
      </w:r>
      <w:r w:rsidR="00C659E8">
        <w:rPr>
          <w:sz w:val="20"/>
          <w:szCs w:val="20"/>
        </w:rPr>
        <w:t>;</w:t>
      </w:r>
      <w:r w:rsidR="00C659E8">
        <w:rPr>
          <w:b/>
          <w:bCs/>
          <w:sz w:val="20"/>
          <w:szCs w:val="20"/>
        </w:rPr>
        <w:t xml:space="preserve"> f, </w:t>
      </w:r>
      <w:r w:rsidR="00C659E8" w:rsidRPr="009347EF">
        <w:rPr>
          <w:sz w:val="20"/>
          <w:szCs w:val="20"/>
        </w:rPr>
        <w:t>UMAP plot displaying types of T cell TCR-rearrangements</w:t>
      </w:r>
      <w:r w:rsidR="00C659E8">
        <w:rPr>
          <w:sz w:val="20"/>
          <w:szCs w:val="20"/>
        </w:rPr>
        <w:t>;</w:t>
      </w:r>
      <w:r w:rsidR="00C659E8">
        <w:rPr>
          <w:b/>
          <w:bCs/>
          <w:sz w:val="20"/>
          <w:szCs w:val="20"/>
        </w:rPr>
        <w:t xml:space="preserve"> g, </w:t>
      </w:r>
      <w:r w:rsidR="00C659E8" w:rsidRPr="009347EF">
        <w:rPr>
          <w:sz w:val="20"/>
          <w:szCs w:val="20"/>
        </w:rPr>
        <w:t>UMAP plot showing samples with monoallelic expression of driver gene</w:t>
      </w:r>
      <w:r w:rsidR="00C659E8">
        <w:rPr>
          <w:sz w:val="20"/>
          <w:szCs w:val="20"/>
        </w:rPr>
        <w:t>;</w:t>
      </w:r>
      <w:r w:rsidR="00C659E8">
        <w:rPr>
          <w:b/>
          <w:bCs/>
          <w:sz w:val="20"/>
          <w:szCs w:val="20"/>
        </w:rPr>
        <w:t xml:space="preserve"> h, </w:t>
      </w:r>
      <w:r w:rsidR="00C659E8" w:rsidRPr="009347EF">
        <w:rPr>
          <w:sz w:val="20"/>
          <w:szCs w:val="20"/>
        </w:rPr>
        <w:t xml:space="preserve">UMAP plot </w:t>
      </w:r>
      <w:r w:rsidR="00C659E8" w:rsidRPr="009347EF">
        <w:rPr>
          <w:sz w:val="20"/>
          <w:szCs w:val="20"/>
        </w:rPr>
        <w:lastRenderedPageBreak/>
        <w:t>of the ETP-status</w:t>
      </w:r>
      <w:r w:rsidR="00C659E8">
        <w:rPr>
          <w:sz w:val="20"/>
          <w:szCs w:val="20"/>
        </w:rPr>
        <w:t>;</w:t>
      </w:r>
      <w:r w:rsidR="00C659E8">
        <w:rPr>
          <w:b/>
          <w:bCs/>
          <w:sz w:val="20"/>
          <w:szCs w:val="20"/>
        </w:rPr>
        <w:t xml:space="preserve"> i, </w:t>
      </w:r>
      <w:r w:rsidR="00C659E8" w:rsidRPr="009347EF">
        <w:rPr>
          <w:sz w:val="20"/>
          <w:szCs w:val="20"/>
        </w:rPr>
        <w:t>Barplot illustrating ETP-status proportions, categorized by subtypes</w:t>
      </w:r>
      <w:r w:rsidR="00C659E8">
        <w:rPr>
          <w:sz w:val="20"/>
          <w:szCs w:val="20"/>
        </w:rPr>
        <w:t>;</w:t>
      </w:r>
      <w:r w:rsidR="00C659E8">
        <w:rPr>
          <w:b/>
          <w:bCs/>
          <w:sz w:val="20"/>
          <w:szCs w:val="20"/>
        </w:rPr>
        <w:t xml:space="preserve"> j, </w:t>
      </w:r>
      <w:r w:rsidR="00C659E8" w:rsidRPr="009347EF">
        <w:rPr>
          <w:sz w:val="20"/>
          <w:szCs w:val="20"/>
        </w:rPr>
        <w:t>Barplot showcasing age distribution proportions, categorized by subtypes</w:t>
      </w:r>
      <w:r w:rsidR="00C659E8">
        <w:rPr>
          <w:sz w:val="20"/>
          <w:szCs w:val="20"/>
        </w:rPr>
        <w:t>;</w:t>
      </w:r>
      <w:r w:rsidR="00C659E8">
        <w:rPr>
          <w:b/>
          <w:bCs/>
          <w:sz w:val="20"/>
          <w:szCs w:val="20"/>
        </w:rPr>
        <w:t xml:space="preserve"> k, </w:t>
      </w:r>
      <w:r w:rsidR="00C659E8" w:rsidRPr="009347EF">
        <w:rPr>
          <w:sz w:val="20"/>
          <w:szCs w:val="20"/>
        </w:rPr>
        <w:t>Boxplot presenting age distributions per subtypes. Only significant subtypes shown, with stars on top describing significance. Median age is shown as red dotted line</w:t>
      </w:r>
      <w:r w:rsidR="00C659E8">
        <w:rPr>
          <w:sz w:val="20"/>
          <w:szCs w:val="20"/>
        </w:rPr>
        <w:t>;</w:t>
      </w:r>
      <w:r w:rsidR="00C659E8">
        <w:rPr>
          <w:b/>
          <w:bCs/>
          <w:sz w:val="20"/>
          <w:szCs w:val="20"/>
        </w:rPr>
        <w:t xml:space="preserve"> l, </w:t>
      </w:r>
      <w:r w:rsidR="00C659E8" w:rsidRPr="009347EF">
        <w:rPr>
          <w:sz w:val="20"/>
          <w:szCs w:val="20"/>
        </w:rPr>
        <w:t>Barplot depicting gender distribution proportions, categorized by subtypes, with stars on top describing significance</w:t>
      </w:r>
      <w:r w:rsidR="00C659E8">
        <w:rPr>
          <w:sz w:val="20"/>
          <w:szCs w:val="20"/>
        </w:rPr>
        <w:t>;</w:t>
      </w:r>
      <w:r w:rsidR="00C659E8">
        <w:rPr>
          <w:b/>
          <w:bCs/>
          <w:sz w:val="20"/>
          <w:szCs w:val="20"/>
        </w:rPr>
        <w:t xml:space="preserve"> m, </w:t>
      </w:r>
      <w:r w:rsidR="00C659E8" w:rsidRPr="009347EF">
        <w:rPr>
          <w:sz w:val="20"/>
          <w:szCs w:val="20"/>
        </w:rPr>
        <w:t>Barplot presenting blast percentage distribution proportions, categorized by subtypes.</w:t>
      </w:r>
    </w:p>
    <w:p w14:paraId="3B5E0AB8" w14:textId="77777777" w:rsidR="00C659E8" w:rsidRDefault="00C659E8" w:rsidP="00C659E8">
      <w:pPr>
        <w:jc w:val="both"/>
        <w:rPr>
          <w:sz w:val="20"/>
          <w:szCs w:val="20"/>
        </w:rPr>
      </w:pPr>
    </w:p>
    <w:p w14:paraId="1409A97C" w14:textId="77777777" w:rsidR="00C659E8" w:rsidRPr="009347EF" w:rsidRDefault="00C659E8" w:rsidP="00C659E8">
      <w:pPr>
        <w:rPr>
          <w:sz w:val="20"/>
          <w:szCs w:val="20"/>
        </w:rPr>
      </w:pPr>
    </w:p>
    <w:p w14:paraId="53E62D18" w14:textId="77777777" w:rsidR="00252775" w:rsidRPr="009347EF" w:rsidRDefault="00252775" w:rsidP="00252775">
      <w:pPr>
        <w:rPr>
          <w:sz w:val="20"/>
          <w:szCs w:val="20"/>
        </w:rPr>
      </w:pPr>
      <w:r w:rsidRPr="009347EF">
        <w:rPr>
          <w:sz w:val="20"/>
          <w:szCs w:val="20"/>
        </w:rPr>
        <w:br w:type="page"/>
      </w:r>
    </w:p>
    <w:p w14:paraId="405CCDA8" w14:textId="77777777" w:rsidR="00252775" w:rsidRPr="009347EF" w:rsidRDefault="00252775" w:rsidP="00252775">
      <w:pPr>
        <w:rPr>
          <w:sz w:val="20"/>
          <w:szCs w:val="20"/>
        </w:rPr>
      </w:pPr>
    </w:p>
    <w:p w14:paraId="434A7B00" w14:textId="77777777" w:rsidR="00252775" w:rsidRPr="009347EF" w:rsidRDefault="00252775" w:rsidP="00252775">
      <w:pPr>
        <w:pBdr>
          <w:top w:val="nil"/>
          <w:left w:val="nil"/>
          <w:bottom w:val="nil"/>
          <w:right w:val="nil"/>
          <w:between w:val="nil"/>
        </w:pBdr>
        <w:rPr>
          <w:sz w:val="20"/>
          <w:szCs w:val="20"/>
        </w:rPr>
      </w:pPr>
    </w:p>
    <w:p w14:paraId="1B5D8818" w14:textId="77777777" w:rsidR="00252775" w:rsidRPr="009347EF" w:rsidRDefault="00252775" w:rsidP="00327A45">
      <w:pPr>
        <w:pBdr>
          <w:top w:val="nil"/>
          <w:left w:val="nil"/>
          <w:bottom w:val="nil"/>
          <w:right w:val="nil"/>
          <w:between w:val="nil"/>
        </w:pBdr>
        <w:rPr>
          <w:color w:val="000000"/>
          <w:sz w:val="20"/>
          <w:szCs w:val="20"/>
        </w:rPr>
      </w:pPr>
      <w:r w:rsidRPr="009347EF">
        <w:rPr>
          <w:noProof/>
          <w:color w:val="000000"/>
          <w:sz w:val="20"/>
          <w:szCs w:val="20"/>
        </w:rPr>
        <w:drawing>
          <wp:inline distT="0" distB="0" distL="0" distR="0" wp14:anchorId="089025BA" wp14:editId="1D041176">
            <wp:extent cx="5943229" cy="6605378"/>
            <wp:effectExtent l="0" t="0" r="635" b="0"/>
            <wp:docPr id="1745015322"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015322" name="Picture 1" descr="A close-up of a chart&#10;&#10;Description automatically generated"/>
                    <pic:cNvPicPr/>
                  </pic:nvPicPr>
                  <pic:blipFill rotWithShape="1">
                    <a:blip r:embed="rId10" cstate="print">
                      <a:extLst>
                        <a:ext uri="{28A0092B-C50C-407E-A947-70E740481C1C}">
                          <a14:useLocalDpi xmlns:a14="http://schemas.microsoft.com/office/drawing/2010/main" val="0"/>
                        </a:ext>
                      </a:extLst>
                    </a:blip>
                    <a:srcRect b="9019"/>
                    <a:stretch/>
                  </pic:blipFill>
                  <pic:spPr bwMode="auto">
                    <a:xfrm>
                      <a:off x="0" y="0"/>
                      <a:ext cx="5943600" cy="6605791"/>
                    </a:xfrm>
                    <a:prstGeom prst="rect">
                      <a:avLst/>
                    </a:prstGeom>
                    <a:ln>
                      <a:noFill/>
                    </a:ln>
                    <a:extLst>
                      <a:ext uri="{53640926-AAD7-44D8-BBD7-CCE9431645EC}">
                        <a14:shadowObscured xmlns:a14="http://schemas.microsoft.com/office/drawing/2010/main"/>
                      </a:ext>
                    </a:extLst>
                  </pic:spPr>
                </pic:pic>
              </a:graphicData>
            </a:graphic>
          </wp:inline>
        </w:drawing>
      </w:r>
    </w:p>
    <w:p w14:paraId="0A108AAB" w14:textId="77777777" w:rsidR="00C659E8" w:rsidRDefault="00C659E8" w:rsidP="00C659E8">
      <w:pPr>
        <w:jc w:val="both"/>
        <w:rPr>
          <w:sz w:val="20"/>
          <w:szCs w:val="20"/>
        </w:rPr>
      </w:pPr>
      <w:r w:rsidRPr="006664CF">
        <w:rPr>
          <w:b/>
          <w:bCs/>
          <w:sz w:val="20"/>
          <w:szCs w:val="20"/>
        </w:rPr>
        <w:t>Extended</w:t>
      </w:r>
      <w:r>
        <w:rPr>
          <w:b/>
          <w:bCs/>
          <w:sz w:val="20"/>
          <w:szCs w:val="20"/>
        </w:rPr>
        <w:t xml:space="preserve"> Data</w:t>
      </w:r>
      <w:r w:rsidRPr="006664CF">
        <w:rPr>
          <w:b/>
          <w:bCs/>
          <w:sz w:val="20"/>
          <w:szCs w:val="20"/>
        </w:rPr>
        <w:t xml:space="preserve"> Figure 2. Alterations in T-ALL and subtype-associated genetic changes</w:t>
      </w:r>
      <w:r>
        <w:rPr>
          <w:b/>
          <w:bCs/>
          <w:sz w:val="20"/>
          <w:szCs w:val="20"/>
        </w:rPr>
        <w:t xml:space="preserve">. a, </w:t>
      </w:r>
      <w:r w:rsidRPr="009347EF">
        <w:rPr>
          <w:sz w:val="20"/>
          <w:szCs w:val="20"/>
        </w:rPr>
        <w:t>Stacked barplot depicting frequencies of significantly altered genes (q&lt;0.05) with alterations &gt;1% in cases, segregated by alteration types. Frequency of alteration types are shown on the left, alteration relative frequencies on the right</w:t>
      </w:r>
      <w:r>
        <w:rPr>
          <w:sz w:val="20"/>
          <w:szCs w:val="20"/>
        </w:rPr>
        <w:t xml:space="preserve">; </w:t>
      </w:r>
      <w:r w:rsidRPr="006664CF">
        <w:rPr>
          <w:b/>
          <w:bCs/>
          <w:sz w:val="20"/>
          <w:szCs w:val="20"/>
        </w:rPr>
        <w:t>b,</w:t>
      </w:r>
      <w:r>
        <w:rPr>
          <w:sz w:val="20"/>
          <w:szCs w:val="20"/>
        </w:rPr>
        <w:t xml:space="preserve"> </w:t>
      </w:r>
      <w:r w:rsidRPr="009347EF">
        <w:rPr>
          <w:sz w:val="20"/>
          <w:szCs w:val="20"/>
        </w:rPr>
        <w:t>Dotplot illustrating altered genes, broad CNVs, and pathways significantly associated with subtypes, displaying odds ratio as dot color and -log10 FDR as dot size. Odds ratio was capped at 10. Genes/lesions are ordered by significance within each subtype.</w:t>
      </w:r>
    </w:p>
    <w:p w14:paraId="37A48123" w14:textId="77777777" w:rsidR="00C659E8" w:rsidRDefault="00C659E8" w:rsidP="00C659E8">
      <w:pPr>
        <w:jc w:val="both"/>
        <w:rPr>
          <w:sz w:val="20"/>
          <w:szCs w:val="20"/>
        </w:rPr>
      </w:pPr>
    </w:p>
    <w:p w14:paraId="5CF495C6" w14:textId="77777777" w:rsidR="00252775" w:rsidRPr="009347EF" w:rsidRDefault="00252775" w:rsidP="00252775">
      <w:pPr>
        <w:pBdr>
          <w:top w:val="nil"/>
          <w:left w:val="nil"/>
          <w:bottom w:val="nil"/>
          <w:right w:val="nil"/>
          <w:between w:val="nil"/>
        </w:pBdr>
        <w:rPr>
          <w:b/>
          <w:color w:val="000000"/>
          <w:sz w:val="20"/>
          <w:szCs w:val="20"/>
        </w:rPr>
      </w:pPr>
    </w:p>
    <w:p w14:paraId="2E22BDD9" w14:textId="77777777" w:rsidR="00252775" w:rsidRPr="009347EF" w:rsidRDefault="00252775" w:rsidP="00252775">
      <w:pPr>
        <w:rPr>
          <w:sz w:val="20"/>
          <w:szCs w:val="20"/>
        </w:rPr>
      </w:pPr>
    </w:p>
    <w:p w14:paraId="05D9FD69" w14:textId="77777777" w:rsidR="00252775" w:rsidRPr="009347EF" w:rsidRDefault="00252775" w:rsidP="00252775">
      <w:pPr>
        <w:rPr>
          <w:sz w:val="20"/>
          <w:szCs w:val="20"/>
        </w:rPr>
      </w:pPr>
      <w:r w:rsidRPr="009347EF">
        <w:rPr>
          <w:noProof/>
          <w:sz w:val="20"/>
          <w:szCs w:val="20"/>
        </w:rPr>
        <w:lastRenderedPageBreak/>
        <w:drawing>
          <wp:inline distT="0" distB="0" distL="0" distR="0" wp14:anchorId="401E9AE2" wp14:editId="7128A0B9">
            <wp:extent cx="5165124" cy="6110416"/>
            <wp:effectExtent l="0" t="0" r="3810" b="0"/>
            <wp:docPr id="1724916906" name="Picture 3"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916906" name="Picture 3" descr="A screenshot of a diagram&#10;&#10;Description automatically generated"/>
                    <pic:cNvPicPr/>
                  </pic:nvPicPr>
                  <pic:blipFill rotWithShape="1">
                    <a:blip r:embed="rId11" cstate="print">
                      <a:extLst>
                        <a:ext uri="{28A0092B-C50C-407E-A947-70E740481C1C}">
                          <a14:useLocalDpi xmlns:a14="http://schemas.microsoft.com/office/drawing/2010/main" val="0"/>
                        </a:ext>
                      </a:extLst>
                    </a:blip>
                    <a:srcRect r="13098" b="7368"/>
                    <a:stretch/>
                  </pic:blipFill>
                  <pic:spPr bwMode="auto">
                    <a:xfrm>
                      <a:off x="0" y="0"/>
                      <a:ext cx="5165124" cy="6110416"/>
                    </a:xfrm>
                    <a:prstGeom prst="rect">
                      <a:avLst/>
                    </a:prstGeom>
                    <a:ln>
                      <a:noFill/>
                    </a:ln>
                    <a:extLst>
                      <a:ext uri="{53640926-AAD7-44D8-BBD7-CCE9431645EC}">
                        <a14:shadowObscured xmlns:a14="http://schemas.microsoft.com/office/drawing/2010/main"/>
                      </a:ext>
                    </a:extLst>
                  </pic:spPr>
                </pic:pic>
              </a:graphicData>
            </a:graphic>
          </wp:inline>
        </w:drawing>
      </w:r>
    </w:p>
    <w:p w14:paraId="057FB0E8" w14:textId="4AB4FDE0" w:rsidR="00C659E8" w:rsidRPr="009347EF" w:rsidRDefault="00C659E8" w:rsidP="00C659E8">
      <w:pPr>
        <w:jc w:val="both"/>
        <w:rPr>
          <w:sz w:val="20"/>
          <w:szCs w:val="20"/>
        </w:rPr>
      </w:pPr>
      <w:r w:rsidRPr="006664CF">
        <w:rPr>
          <w:b/>
          <w:bCs/>
          <w:sz w:val="20"/>
          <w:szCs w:val="20"/>
        </w:rPr>
        <w:t>Extended Data Figure 3. Validation of non-coding alterations. a</w:t>
      </w:r>
      <w:r>
        <w:rPr>
          <w:b/>
          <w:bCs/>
          <w:sz w:val="20"/>
          <w:szCs w:val="20"/>
        </w:rPr>
        <w:t>,</w:t>
      </w:r>
      <w:r w:rsidRPr="009347EF">
        <w:rPr>
          <w:sz w:val="20"/>
          <w:szCs w:val="20"/>
        </w:rPr>
        <w:t xml:space="preserve"> Complex chr7 </w:t>
      </w:r>
      <w:r w:rsidR="00AB0394">
        <w:rPr>
          <w:sz w:val="20"/>
          <w:szCs w:val="20"/>
        </w:rPr>
        <w:t>r</w:t>
      </w:r>
      <w:r w:rsidRPr="009347EF">
        <w:rPr>
          <w:sz w:val="20"/>
          <w:szCs w:val="20"/>
        </w:rPr>
        <w:t xml:space="preserve">earrangements: Depiction of H3K27ac HiChIP, H3K27ac </w:t>
      </w:r>
      <w:r w:rsidR="00AB0394">
        <w:rPr>
          <w:sz w:val="20"/>
          <w:szCs w:val="20"/>
        </w:rPr>
        <w:t>c</w:t>
      </w:r>
      <w:r w:rsidRPr="009347EF">
        <w:rPr>
          <w:sz w:val="20"/>
          <w:szCs w:val="20"/>
        </w:rPr>
        <w:t xml:space="preserve">overage, </w:t>
      </w:r>
      <w:r w:rsidR="00AB0394">
        <w:rPr>
          <w:sz w:val="20"/>
          <w:szCs w:val="20"/>
        </w:rPr>
        <w:t>d</w:t>
      </w:r>
      <w:r w:rsidRPr="009347EF">
        <w:rPr>
          <w:sz w:val="20"/>
          <w:szCs w:val="20"/>
        </w:rPr>
        <w:t xml:space="preserve">iagnostic Sample, and </w:t>
      </w:r>
      <w:r w:rsidR="00AB0394">
        <w:rPr>
          <w:sz w:val="20"/>
          <w:szCs w:val="20"/>
        </w:rPr>
        <w:t>g</w:t>
      </w:r>
      <w:r w:rsidRPr="009347EF">
        <w:rPr>
          <w:sz w:val="20"/>
          <w:szCs w:val="20"/>
        </w:rPr>
        <w:t xml:space="preserve">ermline WGS </w:t>
      </w:r>
      <w:r w:rsidR="00AB0394">
        <w:rPr>
          <w:sz w:val="20"/>
          <w:szCs w:val="20"/>
        </w:rPr>
        <w:t>c</w:t>
      </w:r>
      <w:r w:rsidRPr="009347EF">
        <w:rPr>
          <w:sz w:val="20"/>
          <w:szCs w:val="20"/>
        </w:rPr>
        <w:t xml:space="preserve">overage in a T-ALL patient, showcasing interactions between </w:t>
      </w:r>
      <w:r w:rsidRPr="006B52E2">
        <w:rPr>
          <w:i/>
          <w:iCs/>
          <w:sz w:val="20"/>
          <w:szCs w:val="20"/>
        </w:rPr>
        <w:t>HOXA13</w:t>
      </w:r>
      <w:r w:rsidRPr="009347EF">
        <w:rPr>
          <w:sz w:val="20"/>
          <w:szCs w:val="20"/>
        </w:rPr>
        <w:t xml:space="preserve"> and TCRβ loci after chr7 rearrangements. Arcs represent interactions between genomic loci, with color coding denoting interaction strength. On the left: Boxplot of </w:t>
      </w:r>
      <w:r w:rsidRPr="006B52E2">
        <w:rPr>
          <w:i/>
          <w:iCs/>
          <w:sz w:val="20"/>
          <w:szCs w:val="20"/>
        </w:rPr>
        <w:t>HOXA13</w:t>
      </w:r>
      <w:r w:rsidRPr="009347EF">
        <w:rPr>
          <w:sz w:val="20"/>
          <w:szCs w:val="20"/>
        </w:rPr>
        <w:t xml:space="preserve"> gene expression for altered and wt samples, with PAVHBC sample labeled in cyan</w:t>
      </w:r>
      <w:r>
        <w:rPr>
          <w:sz w:val="20"/>
          <w:szCs w:val="20"/>
        </w:rPr>
        <w:t xml:space="preserve">; </w:t>
      </w:r>
      <w:r w:rsidRPr="00854EC6">
        <w:rPr>
          <w:b/>
          <w:bCs/>
          <w:sz w:val="20"/>
          <w:szCs w:val="20"/>
        </w:rPr>
        <w:t>b</w:t>
      </w:r>
      <w:r>
        <w:rPr>
          <w:sz w:val="20"/>
          <w:szCs w:val="20"/>
        </w:rPr>
        <w:t>,</w:t>
      </w:r>
      <w:r w:rsidRPr="009347EF">
        <w:rPr>
          <w:sz w:val="20"/>
          <w:szCs w:val="20"/>
        </w:rPr>
        <w:t xml:space="preserve"> </w:t>
      </w:r>
      <w:r w:rsidRPr="006B52E2">
        <w:rPr>
          <w:i/>
          <w:iCs/>
          <w:sz w:val="20"/>
          <w:szCs w:val="20"/>
        </w:rPr>
        <w:t>HOXA9 TCR</w:t>
      </w:r>
      <w:r w:rsidRPr="009347EF">
        <w:rPr>
          <w:sz w:val="20"/>
          <w:szCs w:val="20"/>
        </w:rPr>
        <w:t xml:space="preserve"> Inversion: Similar representation as </w:t>
      </w:r>
      <w:r w:rsidRPr="006664CF">
        <w:rPr>
          <w:b/>
          <w:bCs/>
          <w:sz w:val="20"/>
          <w:szCs w:val="20"/>
        </w:rPr>
        <w:t>a</w:t>
      </w:r>
      <w:r>
        <w:rPr>
          <w:sz w:val="20"/>
          <w:szCs w:val="20"/>
        </w:rPr>
        <w:t xml:space="preserve">; </w:t>
      </w:r>
      <w:r w:rsidRPr="00854EC6">
        <w:rPr>
          <w:b/>
          <w:bCs/>
          <w:sz w:val="20"/>
          <w:szCs w:val="20"/>
        </w:rPr>
        <w:t>c</w:t>
      </w:r>
      <w:r>
        <w:rPr>
          <w:sz w:val="20"/>
          <w:szCs w:val="20"/>
        </w:rPr>
        <w:t>,</w:t>
      </w:r>
      <w:r w:rsidRPr="009347EF">
        <w:rPr>
          <w:sz w:val="20"/>
          <w:szCs w:val="20"/>
        </w:rPr>
        <w:t xml:space="preserve"> </w:t>
      </w:r>
      <w:r w:rsidRPr="006B52E2">
        <w:rPr>
          <w:i/>
          <w:iCs/>
          <w:sz w:val="20"/>
          <w:szCs w:val="20"/>
        </w:rPr>
        <w:t>LMO3 TCR</w:t>
      </w:r>
      <w:r w:rsidRPr="009347EF">
        <w:rPr>
          <w:sz w:val="20"/>
          <w:szCs w:val="20"/>
        </w:rPr>
        <w:t xml:space="preserve"> </w:t>
      </w:r>
      <w:r w:rsidR="00AB0394">
        <w:rPr>
          <w:sz w:val="20"/>
          <w:szCs w:val="20"/>
        </w:rPr>
        <w:t>t</w:t>
      </w:r>
      <w:r w:rsidRPr="009347EF">
        <w:rPr>
          <w:sz w:val="20"/>
          <w:szCs w:val="20"/>
        </w:rPr>
        <w:t xml:space="preserve">ranslocation: </w:t>
      </w:r>
      <w:r w:rsidR="00AB0394">
        <w:rPr>
          <w:sz w:val="20"/>
          <w:szCs w:val="20"/>
        </w:rPr>
        <w:t>s</w:t>
      </w:r>
      <w:r w:rsidRPr="009347EF">
        <w:rPr>
          <w:sz w:val="20"/>
          <w:szCs w:val="20"/>
        </w:rPr>
        <w:t xml:space="preserve">imilar representation as </w:t>
      </w:r>
      <w:r w:rsidRPr="006664CF">
        <w:rPr>
          <w:b/>
          <w:bCs/>
          <w:sz w:val="20"/>
          <w:szCs w:val="20"/>
        </w:rPr>
        <w:t>a</w:t>
      </w:r>
      <w:r>
        <w:rPr>
          <w:sz w:val="20"/>
          <w:szCs w:val="20"/>
        </w:rPr>
        <w:t xml:space="preserve">; </w:t>
      </w:r>
      <w:r w:rsidRPr="00854EC6">
        <w:rPr>
          <w:b/>
          <w:bCs/>
          <w:sz w:val="20"/>
          <w:szCs w:val="20"/>
        </w:rPr>
        <w:t>d</w:t>
      </w:r>
      <w:r>
        <w:rPr>
          <w:sz w:val="20"/>
          <w:szCs w:val="20"/>
        </w:rPr>
        <w:t>,</w:t>
      </w:r>
      <w:r w:rsidRPr="009347EF">
        <w:rPr>
          <w:sz w:val="20"/>
          <w:szCs w:val="20"/>
        </w:rPr>
        <w:t xml:space="preserve"> </w:t>
      </w:r>
      <w:r w:rsidRPr="006B52E2">
        <w:rPr>
          <w:i/>
          <w:iCs/>
          <w:sz w:val="20"/>
          <w:szCs w:val="20"/>
        </w:rPr>
        <w:t>LMO2 BCL11B</w:t>
      </w:r>
      <w:r w:rsidRPr="009347EF">
        <w:rPr>
          <w:sz w:val="20"/>
          <w:szCs w:val="20"/>
        </w:rPr>
        <w:t xml:space="preserve"> </w:t>
      </w:r>
      <w:r w:rsidR="00AB0394">
        <w:rPr>
          <w:sz w:val="20"/>
          <w:szCs w:val="20"/>
        </w:rPr>
        <w:t>l</w:t>
      </w:r>
      <w:r w:rsidRPr="009347EF">
        <w:rPr>
          <w:sz w:val="20"/>
          <w:szCs w:val="20"/>
        </w:rPr>
        <w:t xml:space="preserve">oci </w:t>
      </w:r>
      <w:r w:rsidR="00AB0394">
        <w:rPr>
          <w:sz w:val="20"/>
          <w:szCs w:val="20"/>
        </w:rPr>
        <w:t>t</w:t>
      </w:r>
      <w:r w:rsidRPr="009347EF">
        <w:rPr>
          <w:sz w:val="20"/>
          <w:szCs w:val="20"/>
        </w:rPr>
        <w:t xml:space="preserve">ranslocation: Similar representation as </w:t>
      </w:r>
      <w:r w:rsidRPr="006664CF">
        <w:rPr>
          <w:b/>
          <w:bCs/>
          <w:sz w:val="20"/>
          <w:szCs w:val="20"/>
        </w:rPr>
        <w:t>a</w:t>
      </w:r>
      <w:r>
        <w:rPr>
          <w:sz w:val="20"/>
          <w:szCs w:val="20"/>
        </w:rPr>
        <w:t xml:space="preserve">; </w:t>
      </w:r>
      <w:r w:rsidRPr="00854EC6">
        <w:rPr>
          <w:b/>
          <w:bCs/>
          <w:sz w:val="20"/>
          <w:szCs w:val="20"/>
        </w:rPr>
        <w:t>e</w:t>
      </w:r>
      <w:r>
        <w:rPr>
          <w:sz w:val="20"/>
          <w:szCs w:val="20"/>
        </w:rPr>
        <w:t>,</w:t>
      </w:r>
      <w:r w:rsidRPr="009347EF">
        <w:rPr>
          <w:sz w:val="20"/>
          <w:szCs w:val="20"/>
        </w:rPr>
        <w:t xml:space="preserve"> </w:t>
      </w:r>
      <w:r w:rsidRPr="006B52E2">
        <w:rPr>
          <w:i/>
          <w:iCs/>
          <w:sz w:val="20"/>
          <w:szCs w:val="20"/>
        </w:rPr>
        <w:t>HOXA13 BCL11B</w:t>
      </w:r>
      <w:r w:rsidRPr="009347EF">
        <w:rPr>
          <w:sz w:val="20"/>
          <w:szCs w:val="20"/>
        </w:rPr>
        <w:t xml:space="preserve"> </w:t>
      </w:r>
      <w:r w:rsidR="00AB0394">
        <w:rPr>
          <w:sz w:val="20"/>
          <w:szCs w:val="20"/>
        </w:rPr>
        <w:t>t</w:t>
      </w:r>
      <w:r w:rsidRPr="009347EF">
        <w:rPr>
          <w:sz w:val="20"/>
          <w:szCs w:val="20"/>
        </w:rPr>
        <w:t xml:space="preserve">ranslocation: </w:t>
      </w:r>
      <w:r w:rsidR="00AB0394">
        <w:rPr>
          <w:sz w:val="20"/>
          <w:szCs w:val="20"/>
        </w:rPr>
        <w:t>s</w:t>
      </w:r>
      <w:r w:rsidRPr="009347EF">
        <w:rPr>
          <w:sz w:val="20"/>
          <w:szCs w:val="20"/>
        </w:rPr>
        <w:t xml:space="preserve">imilar representation as </w:t>
      </w:r>
      <w:r>
        <w:rPr>
          <w:b/>
          <w:sz w:val="20"/>
          <w:szCs w:val="20"/>
        </w:rPr>
        <w:t>a</w:t>
      </w:r>
      <w:r>
        <w:rPr>
          <w:sz w:val="20"/>
          <w:szCs w:val="20"/>
        </w:rPr>
        <w:t xml:space="preserve">; </w:t>
      </w:r>
      <w:r w:rsidRPr="00854EC6">
        <w:rPr>
          <w:b/>
          <w:bCs/>
          <w:sz w:val="20"/>
          <w:szCs w:val="20"/>
        </w:rPr>
        <w:t>f</w:t>
      </w:r>
      <w:r>
        <w:rPr>
          <w:sz w:val="20"/>
          <w:szCs w:val="20"/>
        </w:rPr>
        <w:t>,</w:t>
      </w:r>
      <w:r w:rsidRPr="009347EF">
        <w:rPr>
          <w:sz w:val="20"/>
          <w:szCs w:val="20"/>
        </w:rPr>
        <w:t xml:space="preserve"> </w:t>
      </w:r>
      <w:r w:rsidRPr="006B52E2">
        <w:rPr>
          <w:i/>
          <w:iCs/>
          <w:sz w:val="20"/>
          <w:szCs w:val="20"/>
        </w:rPr>
        <w:t>NKX2-1</w:t>
      </w:r>
      <w:r w:rsidRPr="009347EF">
        <w:rPr>
          <w:sz w:val="20"/>
          <w:szCs w:val="20"/>
        </w:rPr>
        <w:t xml:space="preserve"> Chromosome 14 </w:t>
      </w:r>
      <w:r w:rsidR="00AB0394">
        <w:rPr>
          <w:sz w:val="20"/>
          <w:szCs w:val="20"/>
        </w:rPr>
        <w:t>c</w:t>
      </w:r>
      <w:r w:rsidRPr="009347EF">
        <w:rPr>
          <w:sz w:val="20"/>
          <w:szCs w:val="20"/>
        </w:rPr>
        <w:t xml:space="preserve">hromothripsis and </w:t>
      </w:r>
      <w:r w:rsidRPr="006B52E2">
        <w:rPr>
          <w:i/>
          <w:iCs/>
          <w:sz w:val="20"/>
          <w:szCs w:val="20"/>
        </w:rPr>
        <w:t>BCL11B</w:t>
      </w:r>
      <w:r w:rsidRPr="009347EF">
        <w:rPr>
          <w:sz w:val="20"/>
          <w:szCs w:val="20"/>
        </w:rPr>
        <w:t xml:space="preserve"> </w:t>
      </w:r>
      <w:r w:rsidR="00AB0394">
        <w:rPr>
          <w:sz w:val="20"/>
          <w:szCs w:val="20"/>
        </w:rPr>
        <w:t>l</w:t>
      </w:r>
      <w:r w:rsidRPr="009347EF">
        <w:rPr>
          <w:sz w:val="20"/>
          <w:szCs w:val="20"/>
        </w:rPr>
        <w:t xml:space="preserve">ocus </w:t>
      </w:r>
      <w:r w:rsidR="00AB0394">
        <w:rPr>
          <w:sz w:val="20"/>
          <w:szCs w:val="20"/>
        </w:rPr>
        <w:t>r</w:t>
      </w:r>
      <w:r w:rsidRPr="009347EF">
        <w:rPr>
          <w:sz w:val="20"/>
          <w:szCs w:val="20"/>
        </w:rPr>
        <w:t xml:space="preserve">earrangement: </w:t>
      </w:r>
      <w:r w:rsidR="00AB0394">
        <w:rPr>
          <w:sz w:val="20"/>
          <w:szCs w:val="20"/>
        </w:rPr>
        <w:t>s</w:t>
      </w:r>
      <w:r w:rsidRPr="009347EF">
        <w:rPr>
          <w:sz w:val="20"/>
          <w:szCs w:val="20"/>
        </w:rPr>
        <w:t>imilar representation as</w:t>
      </w:r>
      <w:r>
        <w:rPr>
          <w:sz w:val="20"/>
          <w:szCs w:val="20"/>
        </w:rPr>
        <w:t xml:space="preserve"> </w:t>
      </w:r>
      <w:r w:rsidRPr="006664CF">
        <w:rPr>
          <w:b/>
          <w:bCs/>
          <w:sz w:val="20"/>
          <w:szCs w:val="20"/>
        </w:rPr>
        <w:t>a</w:t>
      </w:r>
      <w:r>
        <w:rPr>
          <w:sz w:val="20"/>
          <w:szCs w:val="20"/>
        </w:rPr>
        <w:t xml:space="preserve">; </w:t>
      </w:r>
      <w:r w:rsidRPr="006664CF">
        <w:rPr>
          <w:b/>
          <w:bCs/>
          <w:sz w:val="20"/>
          <w:szCs w:val="20"/>
        </w:rPr>
        <w:t>g,</w:t>
      </w:r>
      <w:r w:rsidRPr="009347EF">
        <w:rPr>
          <w:sz w:val="20"/>
          <w:szCs w:val="20"/>
        </w:rPr>
        <w:t xml:space="preserve"> </w:t>
      </w:r>
      <w:r w:rsidRPr="006B52E2">
        <w:rPr>
          <w:i/>
          <w:iCs/>
          <w:sz w:val="20"/>
          <w:szCs w:val="20"/>
        </w:rPr>
        <w:t>HOXB13 BCL11B</w:t>
      </w:r>
      <w:r w:rsidRPr="009347EF">
        <w:rPr>
          <w:sz w:val="20"/>
          <w:szCs w:val="20"/>
        </w:rPr>
        <w:t xml:space="preserve"> </w:t>
      </w:r>
      <w:r w:rsidR="00AB0394">
        <w:rPr>
          <w:sz w:val="20"/>
          <w:szCs w:val="20"/>
        </w:rPr>
        <w:t>t</w:t>
      </w:r>
      <w:r w:rsidRPr="009347EF">
        <w:rPr>
          <w:sz w:val="20"/>
          <w:szCs w:val="20"/>
        </w:rPr>
        <w:t xml:space="preserve">ranslocation: </w:t>
      </w:r>
      <w:r w:rsidR="00AB0394">
        <w:rPr>
          <w:sz w:val="20"/>
          <w:szCs w:val="20"/>
        </w:rPr>
        <w:t>s</w:t>
      </w:r>
      <w:r w:rsidRPr="009347EF">
        <w:rPr>
          <w:sz w:val="20"/>
          <w:szCs w:val="20"/>
        </w:rPr>
        <w:t xml:space="preserve">imilar representation as </w:t>
      </w:r>
      <w:r w:rsidRPr="006664CF">
        <w:rPr>
          <w:b/>
          <w:bCs/>
          <w:sz w:val="20"/>
          <w:szCs w:val="20"/>
        </w:rPr>
        <w:t>a</w:t>
      </w:r>
      <w:r>
        <w:rPr>
          <w:sz w:val="20"/>
          <w:szCs w:val="20"/>
        </w:rPr>
        <w:t xml:space="preserve">; </w:t>
      </w:r>
      <w:r w:rsidRPr="00854EC6">
        <w:rPr>
          <w:b/>
          <w:bCs/>
          <w:sz w:val="20"/>
          <w:szCs w:val="20"/>
        </w:rPr>
        <w:t>h</w:t>
      </w:r>
      <w:r>
        <w:rPr>
          <w:sz w:val="20"/>
          <w:szCs w:val="20"/>
        </w:rPr>
        <w:t>,</w:t>
      </w:r>
      <w:r w:rsidRPr="009347EF">
        <w:rPr>
          <w:sz w:val="20"/>
          <w:szCs w:val="20"/>
        </w:rPr>
        <w:t xml:space="preserve"> </w:t>
      </w:r>
      <w:r w:rsidRPr="006B52E2">
        <w:rPr>
          <w:i/>
          <w:iCs/>
          <w:sz w:val="20"/>
          <w:szCs w:val="20"/>
        </w:rPr>
        <w:t xml:space="preserve">LMO2 CELF1 </w:t>
      </w:r>
      <w:r w:rsidR="00AB0394">
        <w:rPr>
          <w:sz w:val="20"/>
          <w:szCs w:val="20"/>
        </w:rPr>
        <w:t>i</w:t>
      </w:r>
      <w:r w:rsidRPr="009347EF">
        <w:rPr>
          <w:sz w:val="20"/>
          <w:szCs w:val="20"/>
        </w:rPr>
        <w:t xml:space="preserve">ntergenic </w:t>
      </w:r>
      <w:r w:rsidR="00AB0394">
        <w:rPr>
          <w:sz w:val="20"/>
          <w:szCs w:val="20"/>
        </w:rPr>
        <w:t>l</w:t>
      </w:r>
      <w:r w:rsidRPr="009347EF">
        <w:rPr>
          <w:sz w:val="20"/>
          <w:szCs w:val="20"/>
        </w:rPr>
        <w:t xml:space="preserve">oss: Similar representation as </w:t>
      </w:r>
      <w:r w:rsidRPr="006664CF">
        <w:rPr>
          <w:b/>
          <w:bCs/>
          <w:sz w:val="20"/>
          <w:szCs w:val="20"/>
        </w:rPr>
        <w:t>a</w:t>
      </w:r>
      <w:r>
        <w:rPr>
          <w:sz w:val="20"/>
          <w:szCs w:val="20"/>
        </w:rPr>
        <w:t xml:space="preserve">; </w:t>
      </w:r>
      <w:r w:rsidRPr="00854EC6">
        <w:rPr>
          <w:b/>
          <w:bCs/>
          <w:sz w:val="20"/>
          <w:szCs w:val="20"/>
        </w:rPr>
        <w:t>i</w:t>
      </w:r>
      <w:r>
        <w:rPr>
          <w:sz w:val="20"/>
          <w:szCs w:val="20"/>
        </w:rPr>
        <w:t>,</w:t>
      </w:r>
      <w:r w:rsidRPr="009347EF">
        <w:rPr>
          <w:sz w:val="20"/>
          <w:szCs w:val="20"/>
        </w:rPr>
        <w:t xml:space="preserve"> </w:t>
      </w:r>
      <w:r w:rsidRPr="006B52E2">
        <w:rPr>
          <w:i/>
          <w:iCs/>
          <w:sz w:val="20"/>
          <w:szCs w:val="20"/>
        </w:rPr>
        <w:t xml:space="preserve">TAL1 DHX9 </w:t>
      </w:r>
      <w:r w:rsidR="00AB0394">
        <w:rPr>
          <w:sz w:val="20"/>
          <w:szCs w:val="20"/>
        </w:rPr>
        <w:t>i</w:t>
      </w:r>
      <w:r w:rsidRPr="009347EF">
        <w:rPr>
          <w:sz w:val="20"/>
          <w:szCs w:val="20"/>
        </w:rPr>
        <w:t xml:space="preserve">nversion: Similar representation as </w:t>
      </w:r>
      <w:r w:rsidRPr="006664CF">
        <w:rPr>
          <w:b/>
          <w:bCs/>
          <w:sz w:val="20"/>
          <w:szCs w:val="20"/>
        </w:rPr>
        <w:t>a</w:t>
      </w:r>
      <w:r>
        <w:rPr>
          <w:sz w:val="20"/>
          <w:szCs w:val="20"/>
        </w:rPr>
        <w:t xml:space="preserve">; </w:t>
      </w:r>
      <w:r w:rsidRPr="00854EC6">
        <w:rPr>
          <w:b/>
          <w:bCs/>
          <w:sz w:val="20"/>
          <w:szCs w:val="20"/>
        </w:rPr>
        <w:t>j</w:t>
      </w:r>
      <w:r>
        <w:rPr>
          <w:sz w:val="20"/>
          <w:szCs w:val="20"/>
        </w:rPr>
        <w:t>,</w:t>
      </w:r>
      <w:r w:rsidRPr="009347EF">
        <w:rPr>
          <w:sz w:val="20"/>
          <w:szCs w:val="20"/>
        </w:rPr>
        <w:t xml:space="preserve"> </w:t>
      </w:r>
      <w:r w:rsidRPr="006B52E2">
        <w:rPr>
          <w:i/>
          <w:iCs/>
          <w:sz w:val="20"/>
          <w:szCs w:val="20"/>
        </w:rPr>
        <w:t>LMO2 MIR2117HG</w:t>
      </w:r>
      <w:r w:rsidRPr="009347EF">
        <w:rPr>
          <w:sz w:val="20"/>
          <w:szCs w:val="20"/>
        </w:rPr>
        <w:t xml:space="preserve"> </w:t>
      </w:r>
      <w:r w:rsidR="00AB0394">
        <w:rPr>
          <w:sz w:val="20"/>
          <w:szCs w:val="20"/>
        </w:rPr>
        <w:t>t</w:t>
      </w:r>
      <w:r w:rsidRPr="009347EF">
        <w:rPr>
          <w:sz w:val="20"/>
          <w:szCs w:val="20"/>
        </w:rPr>
        <w:t xml:space="preserve">ranslocation: Similar representation as </w:t>
      </w:r>
      <w:r w:rsidRPr="006664CF">
        <w:rPr>
          <w:b/>
          <w:bCs/>
          <w:sz w:val="20"/>
          <w:szCs w:val="20"/>
        </w:rPr>
        <w:t>a</w:t>
      </w:r>
      <w:r>
        <w:rPr>
          <w:sz w:val="20"/>
          <w:szCs w:val="20"/>
        </w:rPr>
        <w:t>;</w:t>
      </w:r>
      <w:r w:rsidR="00C07CA9">
        <w:rPr>
          <w:sz w:val="20"/>
          <w:szCs w:val="20"/>
        </w:rPr>
        <w:t xml:space="preserve"> </w:t>
      </w:r>
      <w:r w:rsidRPr="00854EC6">
        <w:rPr>
          <w:b/>
          <w:bCs/>
          <w:sz w:val="20"/>
          <w:szCs w:val="20"/>
        </w:rPr>
        <w:t>k</w:t>
      </w:r>
      <w:r>
        <w:rPr>
          <w:sz w:val="20"/>
          <w:szCs w:val="20"/>
        </w:rPr>
        <w:t>,</w:t>
      </w:r>
      <w:r w:rsidRPr="009347EF">
        <w:rPr>
          <w:sz w:val="20"/>
          <w:szCs w:val="20"/>
        </w:rPr>
        <w:t xml:space="preserve"> </w:t>
      </w:r>
      <w:r w:rsidRPr="006B52E2">
        <w:rPr>
          <w:i/>
          <w:iCs/>
          <w:sz w:val="20"/>
          <w:szCs w:val="20"/>
        </w:rPr>
        <w:t>NKX2-1 NFKBIA</w:t>
      </w:r>
      <w:r w:rsidRPr="009347EF">
        <w:rPr>
          <w:sz w:val="20"/>
          <w:szCs w:val="20"/>
        </w:rPr>
        <w:t xml:space="preserve"> </w:t>
      </w:r>
      <w:r w:rsidR="00AB0394">
        <w:rPr>
          <w:sz w:val="20"/>
          <w:szCs w:val="20"/>
        </w:rPr>
        <w:t>e</w:t>
      </w:r>
      <w:r w:rsidRPr="009347EF">
        <w:rPr>
          <w:sz w:val="20"/>
          <w:szCs w:val="20"/>
        </w:rPr>
        <w:t xml:space="preserve">nhancer </w:t>
      </w:r>
      <w:r w:rsidR="00AB0394">
        <w:rPr>
          <w:sz w:val="20"/>
          <w:szCs w:val="20"/>
        </w:rPr>
        <w:t>h</w:t>
      </w:r>
      <w:r w:rsidRPr="009347EF">
        <w:rPr>
          <w:sz w:val="20"/>
          <w:szCs w:val="20"/>
        </w:rPr>
        <w:t xml:space="preserve">ijacking: </w:t>
      </w:r>
      <w:r w:rsidR="00AB0394">
        <w:rPr>
          <w:sz w:val="20"/>
          <w:szCs w:val="20"/>
        </w:rPr>
        <w:t>s</w:t>
      </w:r>
      <w:r w:rsidRPr="009347EF">
        <w:rPr>
          <w:sz w:val="20"/>
          <w:szCs w:val="20"/>
        </w:rPr>
        <w:t xml:space="preserve">imilar representation as </w:t>
      </w:r>
      <w:r w:rsidRPr="006664CF">
        <w:rPr>
          <w:b/>
          <w:bCs/>
          <w:sz w:val="20"/>
          <w:szCs w:val="20"/>
        </w:rPr>
        <w:t>Fig. 2b</w:t>
      </w:r>
      <w:r>
        <w:rPr>
          <w:sz w:val="20"/>
          <w:szCs w:val="20"/>
        </w:rPr>
        <w:t xml:space="preserve">; </w:t>
      </w:r>
      <w:r w:rsidRPr="00854EC6">
        <w:rPr>
          <w:b/>
          <w:bCs/>
          <w:sz w:val="20"/>
          <w:szCs w:val="20"/>
        </w:rPr>
        <w:t>l</w:t>
      </w:r>
      <w:r>
        <w:rPr>
          <w:sz w:val="20"/>
          <w:szCs w:val="20"/>
        </w:rPr>
        <w:t>,</w:t>
      </w:r>
      <w:r w:rsidRPr="009347EF">
        <w:rPr>
          <w:sz w:val="20"/>
          <w:szCs w:val="20"/>
        </w:rPr>
        <w:t xml:space="preserve"> </w:t>
      </w:r>
      <w:r w:rsidRPr="006B52E2">
        <w:rPr>
          <w:i/>
          <w:iCs/>
          <w:sz w:val="20"/>
          <w:szCs w:val="20"/>
        </w:rPr>
        <w:t>HOXA13 MIR181A1HG</w:t>
      </w:r>
      <w:r w:rsidRPr="009347EF">
        <w:rPr>
          <w:sz w:val="20"/>
          <w:szCs w:val="20"/>
        </w:rPr>
        <w:t xml:space="preserve"> Translocation: </w:t>
      </w:r>
      <w:r w:rsidR="00AB0394">
        <w:rPr>
          <w:sz w:val="20"/>
          <w:szCs w:val="20"/>
        </w:rPr>
        <w:t>s</w:t>
      </w:r>
      <w:r w:rsidRPr="009347EF">
        <w:rPr>
          <w:sz w:val="20"/>
          <w:szCs w:val="20"/>
        </w:rPr>
        <w:t xml:space="preserve">imilar representation as </w:t>
      </w:r>
      <w:r w:rsidRPr="00854EC6">
        <w:rPr>
          <w:b/>
          <w:bCs/>
          <w:sz w:val="20"/>
          <w:szCs w:val="20"/>
        </w:rPr>
        <w:t>a</w:t>
      </w:r>
      <w:r>
        <w:rPr>
          <w:sz w:val="20"/>
          <w:szCs w:val="20"/>
        </w:rPr>
        <w:t xml:space="preserve">; </w:t>
      </w:r>
      <w:r>
        <w:rPr>
          <w:b/>
          <w:bCs/>
          <w:sz w:val="20"/>
          <w:szCs w:val="20"/>
        </w:rPr>
        <w:t>m</w:t>
      </w:r>
      <w:r>
        <w:rPr>
          <w:sz w:val="20"/>
          <w:szCs w:val="20"/>
        </w:rPr>
        <w:t>,</w:t>
      </w:r>
      <w:r w:rsidRPr="009347EF">
        <w:rPr>
          <w:sz w:val="20"/>
          <w:szCs w:val="20"/>
        </w:rPr>
        <w:t xml:space="preserve"> </w:t>
      </w:r>
      <w:r w:rsidRPr="006B52E2">
        <w:rPr>
          <w:i/>
          <w:iCs/>
          <w:sz w:val="20"/>
          <w:szCs w:val="20"/>
        </w:rPr>
        <w:t>LMO2 MIR181A1HG</w:t>
      </w:r>
      <w:r w:rsidRPr="009347EF">
        <w:rPr>
          <w:sz w:val="20"/>
          <w:szCs w:val="20"/>
        </w:rPr>
        <w:t xml:space="preserve"> </w:t>
      </w:r>
      <w:r w:rsidR="00AB0394">
        <w:rPr>
          <w:sz w:val="20"/>
          <w:szCs w:val="20"/>
        </w:rPr>
        <w:t>t</w:t>
      </w:r>
      <w:r w:rsidRPr="009347EF">
        <w:rPr>
          <w:sz w:val="20"/>
          <w:szCs w:val="20"/>
        </w:rPr>
        <w:t xml:space="preserve">ranslocation: </w:t>
      </w:r>
      <w:r w:rsidR="00AB0394">
        <w:rPr>
          <w:sz w:val="20"/>
          <w:szCs w:val="20"/>
        </w:rPr>
        <w:t>s</w:t>
      </w:r>
      <w:r w:rsidRPr="009347EF">
        <w:rPr>
          <w:sz w:val="20"/>
          <w:szCs w:val="20"/>
        </w:rPr>
        <w:t xml:space="preserve">imilar representation as </w:t>
      </w:r>
      <w:r w:rsidRPr="00854EC6">
        <w:rPr>
          <w:b/>
          <w:bCs/>
          <w:sz w:val="20"/>
          <w:szCs w:val="20"/>
        </w:rPr>
        <w:t>a</w:t>
      </w:r>
      <w:r>
        <w:rPr>
          <w:sz w:val="20"/>
          <w:szCs w:val="20"/>
        </w:rPr>
        <w:t xml:space="preserve">; </w:t>
      </w:r>
      <w:r w:rsidRPr="009347EF">
        <w:rPr>
          <w:sz w:val="20"/>
          <w:szCs w:val="20"/>
        </w:rPr>
        <w:t xml:space="preserve">Abbreviations: </w:t>
      </w:r>
      <w:r w:rsidR="00AB0394">
        <w:rPr>
          <w:sz w:val="20"/>
          <w:szCs w:val="20"/>
        </w:rPr>
        <w:t>d</w:t>
      </w:r>
      <w:r w:rsidRPr="009347EF">
        <w:rPr>
          <w:sz w:val="20"/>
          <w:szCs w:val="20"/>
        </w:rPr>
        <w:t>iagnostic/germline sample WGS (WGS-D, WGS-G). Nucleosome-free and nucleosome cut fragments (ATAC-free, ATAC-nuc)</w:t>
      </w:r>
    </w:p>
    <w:p w14:paraId="0EB25AB9" w14:textId="4CABF012" w:rsidR="00C659E8" w:rsidRDefault="000A75EC" w:rsidP="00C659E8">
      <w:pPr>
        <w:jc w:val="both"/>
        <w:rPr>
          <w:b/>
          <w:bCs/>
          <w:sz w:val="20"/>
          <w:szCs w:val="20"/>
        </w:rPr>
      </w:pPr>
      <w:r>
        <w:rPr>
          <w:b/>
          <w:bCs/>
          <w:noProof/>
          <w:sz w:val="20"/>
          <w:szCs w:val="20"/>
        </w:rPr>
        <w:lastRenderedPageBreak/>
        <w:drawing>
          <wp:inline distT="0" distB="0" distL="0" distR="0" wp14:anchorId="7B25D0E8" wp14:editId="23620A1B">
            <wp:extent cx="5943600" cy="7260590"/>
            <wp:effectExtent l="0" t="0" r="0" b="3810"/>
            <wp:docPr id="102112638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126388" name="Picture 1" descr="A screen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260590"/>
                    </a:xfrm>
                    <a:prstGeom prst="rect">
                      <a:avLst/>
                    </a:prstGeom>
                  </pic:spPr>
                </pic:pic>
              </a:graphicData>
            </a:graphic>
          </wp:inline>
        </w:drawing>
      </w:r>
    </w:p>
    <w:p w14:paraId="0A0870EE" w14:textId="3F93C7BA" w:rsidR="00252775" w:rsidRPr="00C659E8" w:rsidRDefault="00C659E8" w:rsidP="00C659E8">
      <w:pPr>
        <w:jc w:val="both"/>
        <w:rPr>
          <w:b/>
          <w:bCs/>
          <w:sz w:val="20"/>
          <w:szCs w:val="20"/>
        </w:rPr>
      </w:pPr>
      <w:r w:rsidRPr="00854EC6">
        <w:rPr>
          <w:b/>
          <w:bCs/>
          <w:sz w:val="20"/>
          <w:szCs w:val="20"/>
        </w:rPr>
        <w:t>Extended</w:t>
      </w:r>
      <w:r>
        <w:rPr>
          <w:b/>
          <w:bCs/>
          <w:sz w:val="20"/>
          <w:szCs w:val="20"/>
        </w:rPr>
        <w:t xml:space="preserve"> Data</w:t>
      </w:r>
      <w:r w:rsidRPr="00854EC6">
        <w:rPr>
          <w:b/>
          <w:bCs/>
          <w:sz w:val="20"/>
          <w:szCs w:val="20"/>
        </w:rPr>
        <w:t xml:space="preserve"> Figure 4. Intragenic and intergenic alterations and long read (LR) isoform sequencing validations. a</w:t>
      </w:r>
      <w:r w:rsidRPr="00854EC6">
        <w:rPr>
          <w:sz w:val="20"/>
          <w:szCs w:val="20"/>
        </w:rPr>
        <w:t>,</w:t>
      </w:r>
      <w:r w:rsidRPr="009347EF">
        <w:rPr>
          <w:sz w:val="20"/>
          <w:szCs w:val="20"/>
        </w:rPr>
        <w:t xml:space="preserve"> Illustration of representative cases featuring WGS coverage tracks in FTO/IRX loci, along with two WGS germline control samples. Boxplots display </w:t>
      </w:r>
      <w:r w:rsidRPr="005009EF">
        <w:rPr>
          <w:i/>
          <w:iCs/>
          <w:sz w:val="20"/>
          <w:szCs w:val="20"/>
        </w:rPr>
        <w:t>IRX3</w:t>
      </w:r>
      <w:r w:rsidRPr="009347EF">
        <w:rPr>
          <w:sz w:val="20"/>
          <w:szCs w:val="20"/>
        </w:rPr>
        <w:t xml:space="preserve"> and </w:t>
      </w:r>
      <w:r w:rsidRPr="005009EF">
        <w:rPr>
          <w:i/>
          <w:iCs/>
          <w:sz w:val="20"/>
          <w:szCs w:val="20"/>
        </w:rPr>
        <w:t>IRX5</w:t>
      </w:r>
      <w:r w:rsidRPr="009347EF">
        <w:rPr>
          <w:sz w:val="20"/>
          <w:szCs w:val="20"/>
        </w:rPr>
        <w:t xml:space="preserve"> gene expressions, with allelic expression denoted by red dots. On top is depiction of H3K27ac HiChIP, H3K27ac and CTCF Coverage in CD34+ cells, showcasing interactions between </w:t>
      </w:r>
      <w:r w:rsidRPr="005009EF">
        <w:rPr>
          <w:i/>
          <w:iCs/>
          <w:sz w:val="20"/>
          <w:szCs w:val="20"/>
        </w:rPr>
        <w:t>FTO</w:t>
      </w:r>
      <w:r w:rsidRPr="009347EF">
        <w:rPr>
          <w:sz w:val="20"/>
          <w:szCs w:val="20"/>
        </w:rPr>
        <w:t xml:space="preserve"> enhancers and </w:t>
      </w:r>
      <w:r w:rsidRPr="009347EF">
        <w:rPr>
          <w:i/>
          <w:iCs/>
          <w:sz w:val="20"/>
          <w:szCs w:val="20"/>
        </w:rPr>
        <w:t>IRX3</w:t>
      </w:r>
      <w:r w:rsidRPr="009347EF">
        <w:rPr>
          <w:sz w:val="20"/>
          <w:szCs w:val="20"/>
        </w:rPr>
        <w:t xml:space="preserve"> and </w:t>
      </w:r>
      <w:r w:rsidRPr="009347EF">
        <w:rPr>
          <w:i/>
          <w:iCs/>
          <w:sz w:val="20"/>
          <w:szCs w:val="20"/>
        </w:rPr>
        <w:t>IRX5</w:t>
      </w:r>
      <w:r w:rsidRPr="009347EF">
        <w:rPr>
          <w:sz w:val="20"/>
          <w:szCs w:val="20"/>
        </w:rPr>
        <w:t>. Arcs represent interactions between genomic loci, with color coding denoting interaction strength</w:t>
      </w:r>
      <w:r>
        <w:rPr>
          <w:sz w:val="20"/>
          <w:szCs w:val="20"/>
        </w:rPr>
        <w:t xml:space="preserve">; </w:t>
      </w:r>
      <w:r w:rsidRPr="00854EC6">
        <w:rPr>
          <w:b/>
          <w:bCs/>
          <w:sz w:val="20"/>
          <w:szCs w:val="20"/>
        </w:rPr>
        <w:t>b</w:t>
      </w:r>
      <w:r>
        <w:rPr>
          <w:sz w:val="20"/>
          <w:szCs w:val="20"/>
        </w:rPr>
        <w:t>,</w:t>
      </w:r>
      <w:r w:rsidRPr="009347EF">
        <w:rPr>
          <w:sz w:val="20"/>
          <w:szCs w:val="20"/>
        </w:rPr>
        <w:t xml:space="preserve"> Similar </w:t>
      </w:r>
      <w:r w:rsidRPr="009347EF">
        <w:rPr>
          <w:sz w:val="20"/>
          <w:szCs w:val="20"/>
        </w:rPr>
        <w:lastRenderedPageBreak/>
        <w:t xml:space="preserve">representation as </w:t>
      </w:r>
      <w:r w:rsidRPr="00854EC6">
        <w:rPr>
          <w:b/>
          <w:bCs/>
          <w:sz w:val="20"/>
          <w:szCs w:val="20"/>
        </w:rPr>
        <w:t>a</w:t>
      </w:r>
      <w:r w:rsidRPr="009347EF">
        <w:rPr>
          <w:sz w:val="20"/>
          <w:szCs w:val="20"/>
        </w:rPr>
        <w:t xml:space="preserve"> for </w:t>
      </w:r>
      <w:r w:rsidRPr="005009EF">
        <w:rPr>
          <w:i/>
          <w:iCs/>
          <w:sz w:val="20"/>
          <w:szCs w:val="20"/>
        </w:rPr>
        <w:t>ZNF219</w:t>
      </w:r>
      <w:r w:rsidRPr="009347EF">
        <w:rPr>
          <w:sz w:val="20"/>
          <w:szCs w:val="20"/>
        </w:rPr>
        <w:t xml:space="preserve"> loci with annotation of TCRδ loci</w:t>
      </w:r>
      <w:r>
        <w:rPr>
          <w:sz w:val="20"/>
          <w:szCs w:val="20"/>
        </w:rPr>
        <w:t xml:space="preserve">; </w:t>
      </w:r>
      <w:r w:rsidRPr="00854EC6">
        <w:rPr>
          <w:b/>
          <w:bCs/>
          <w:sz w:val="20"/>
          <w:szCs w:val="20"/>
        </w:rPr>
        <w:t>c</w:t>
      </w:r>
      <w:r>
        <w:rPr>
          <w:sz w:val="20"/>
          <w:szCs w:val="20"/>
        </w:rPr>
        <w:t>,</w:t>
      </w:r>
      <w:r w:rsidRPr="009347EF">
        <w:rPr>
          <w:sz w:val="20"/>
          <w:szCs w:val="20"/>
        </w:rPr>
        <w:t xml:space="preserve"> H3K27ac HiChIP, H3K27ac and CTCF Coverage in CD34+ cells, showcasing interactions between </w:t>
      </w:r>
      <w:r w:rsidRPr="009347EF">
        <w:rPr>
          <w:i/>
          <w:iCs/>
          <w:sz w:val="20"/>
          <w:szCs w:val="20"/>
        </w:rPr>
        <w:t>HNRNPC</w:t>
      </w:r>
      <w:r w:rsidRPr="009347EF">
        <w:rPr>
          <w:sz w:val="20"/>
          <w:szCs w:val="20"/>
        </w:rPr>
        <w:t xml:space="preserve"> promoter and enhancers and </w:t>
      </w:r>
      <w:r w:rsidRPr="009347EF">
        <w:rPr>
          <w:i/>
          <w:iCs/>
          <w:sz w:val="20"/>
          <w:szCs w:val="20"/>
        </w:rPr>
        <w:t>ZNF219</w:t>
      </w:r>
      <w:r w:rsidRPr="009347EF">
        <w:rPr>
          <w:sz w:val="20"/>
          <w:szCs w:val="20"/>
        </w:rPr>
        <w:t xml:space="preserve"> loci</w:t>
      </w:r>
      <w:r>
        <w:rPr>
          <w:sz w:val="20"/>
          <w:szCs w:val="20"/>
        </w:rPr>
        <w:t xml:space="preserve">; </w:t>
      </w:r>
      <w:r w:rsidRPr="00854EC6">
        <w:rPr>
          <w:b/>
          <w:bCs/>
          <w:sz w:val="20"/>
          <w:szCs w:val="20"/>
        </w:rPr>
        <w:t>d</w:t>
      </w:r>
      <w:r>
        <w:rPr>
          <w:sz w:val="20"/>
          <w:szCs w:val="20"/>
        </w:rPr>
        <w:t>,</w:t>
      </w:r>
      <w:r w:rsidRPr="009347EF">
        <w:rPr>
          <w:sz w:val="20"/>
          <w:szCs w:val="20"/>
        </w:rPr>
        <w:t xml:space="preserve"> WGS coverages for T-ALL patient diagnostic and germline samples are </w:t>
      </w:r>
      <w:r>
        <w:rPr>
          <w:sz w:val="20"/>
          <w:szCs w:val="20"/>
        </w:rPr>
        <w:t>shown</w:t>
      </w:r>
      <w:r w:rsidRPr="009347EF">
        <w:rPr>
          <w:sz w:val="20"/>
          <w:szCs w:val="20"/>
        </w:rPr>
        <w:t xml:space="preserve"> with </w:t>
      </w:r>
      <w:r>
        <w:rPr>
          <w:sz w:val="20"/>
          <w:szCs w:val="20"/>
        </w:rPr>
        <w:t>four</w:t>
      </w:r>
      <w:r w:rsidRPr="009347EF">
        <w:rPr>
          <w:sz w:val="20"/>
          <w:szCs w:val="20"/>
        </w:rPr>
        <w:t xml:space="preserve"> RNA isoform sequencing reads</w:t>
      </w:r>
      <w:r>
        <w:rPr>
          <w:sz w:val="20"/>
          <w:szCs w:val="20"/>
        </w:rPr>
        <w:t xml:space="preserve"> visualized in IGV</w:t>
      </w:r>
      <w:r w:rsidRPr="009347EF">
        <w:rPr>
          <w:sz w:val="20"/>
          <w:szCs w:val="20"/>
        </w:rPr>
        <w:t>, capturing the 89bp gain of the TAL1 enhancer.</w:t>
      </w:r>
      <w:r>
        <w:rPr>
          <w:sz w:val="20"/>
          <w:szCs w:val="20"/>
        </w:rPr>
        <w:t xml:space="preserve"> BLAT match of the insert sequence is shown below, matching with the increased coverage of the WGS in that region.</w:t>
      </w:r>
      <w:r w:rsidRPr="009347EF">
        <w:rPr>
          <w:sz w:val="20"/>
          <w:szCs w:val="20"/>
        </w:rPr>
        <w:t xml:space="preserve"> On the right, boxplot of TAL1 gene expression with </w:t>
      </w:r>
      <w:r>
        <w:rPr>
          <w:sz w:val="20"/>
          <w:szCs w:val="20"/>
        </w:rPr>
        <w:t xml:space="preserve">PASXMF sample labeled in cyan; </w:t>
      </w:r>
      <w:r w:rsidRPr="00854EC6">
        <w:rPr>
          <w:b/>
          <w:bCs/>
          <w:sz w:val="20"/>
          <w:szCs w:val="20"/>
        </w:rPr>
        <w:t>e</w:t>
      </w:r>
      <w:r>
        <w:rPr>
          <w:sz w:val="20"/>
          <w:szCs w:val="20"/>
        </w:rPr>
        <w:t xml:space="preserve">, </w:t>
      </w:r>
      <w:r w:rsidRPr="009347EF">
        <w:rPr>
          <w:sz w:val="20"/>
          <w:szCs w:val="20"/>
        </w:rPr>
        <w:t>WGS, H3K27ac HiChIP, ATAC seq coverage tracks are shown for T-ALL patient with Enhancer Indel (pink line) and Enhancer gain (red line), revealing high levels of H3K27ac marking neoenhancer formation and neomorphic promoter generation</w:t>
      </w:r>
      <w:r>
        <w:rPr>
          <w:sz w:val="20"/>
          <w:szCs w:val="20"/>
        </w:rPr>
        <w:t xml:space="preserve">; </w:t>
      </w:r>
      <w:r w:rsidR="000A75EC">
        <w:rPr>
          <w:b/>
          <w:bCs/>
          <w:sz w:val="20"/>
          <w:szCs w:val="20"/>
        </w:rPr>
        <w:t>f</w:t>
      </w:r>
      <w:r>
        <w:rPr>
          <w:sz w:val="20"/>
          <w:szCs w:val="20"/>
        </w:rPr>
        <w:t>,</w:t>
      </w:r>
      <w:r w:rsidRPr="009347EF">
        <w:rPr>
          <w:sz w:val="20"/>
          <w:szCs w:val="20"/>
        </w:rPr>
        <w:t xml:space="preserve"> </w:t>
      </w:r>
      <w:r w:rsidRPr="005009EF">
        <w:rPr>
          <w:i/>
          <w:iCs/>
          <w:sz w:val="20"/>
          <w:szCs w:val="20"/>
        </w:rPr>
        <w:t>NOTCH1</w:t>
      </w:r>
      <w:r w:rsidRPr="009347EF">
        <w:rPr>
          <w:sz w:val="20"/>
          <w:szCs w:val="20"/>
        </w:rPr>
        <w:t xml:space="preserve"> exon28 33bp duplication sites are shown using WGS and LR isoform sequencing</w:t>
      </w:r>
      <w:r>
        <w:rPr>
          <w:sz w:val="20"/>
          <w:szCs w:val="20"/>
        </w:rPr>
        <w:t xml:space="preserve">; </w:t>
      </w:r>
      <w:r w:rsidR="000A75EC">
        <w:rPr>
          <w:b/>
          <w:bCs/>
          <w:sz w:val="20"/>
          <w:szCs w:val="20"/>
        </w:rPr>
        <w:t>g</w:t>
      </w:r>
      <w:r w:rsidR="000A75EC">
        <w:rPr>
          <w:sz w:val="20"/>
          <w:szCs w:val="20"/>
        </w:rPr>
        <w:t>,</w:t>
      </w:r>
      <w:r w:rsidR="000A75EC" w:rsidRPr="009347EF">
        <w:rPr>
          <w:sz w:val="20"/>
          <w:szCs w:val="20"/>
        </w:rPr>
        <w:t xml:space="preserve"> Similar representation as </w:t>
      </w:r>
      <w:r w:rsidR="000A75EC" w:rsidRPr="00854EC6">
        <w:rPr>
          <w:b/>
          <w:bCs/>
          <w:sz w:val="20"/>
          <w:szCs w:val="20"/>
        </w:rPr>
        <w:t>a</w:t>
      </w:r>
      <w:r w:rsidR="000A75EC" w:rsidRPr="009347EF">
        <w:rPr>
          <w:sz w:val="20"/>
          <w:szCs w:val="20"/>
        </w:rPr>
        <w:t xml:space="preserve"> for </w:t>
      </w:r>
      <w:r w:rsidR="000A75EC" w:rsidRPr="005009EF">
        <w:rPr>
          <w:i/>
          <w:iCs/>
          <w:sz w:val="20"/>
          <w:szCs w:val="20"/>
        </w:rPr>
        <w:t>NOTCH1</w:t>
      </w:r>
      <w:r w:rsidR="000A75EC" w:rsidRPr="009347EF">
        <w:rPr>
          <w:sz w:val="20"/>
          <w:szCs w:val="20"/>
        </w:rPr>
        <w:t xml:space="preserve"> loci showing intragenic deletions in representative cases</w:t>
      </w:r>
      <w:r w:rsidR="000A75EC">
        <w:rPr>
          <w:sz w:val="20"/>
          <w:szCs w:val="20"/>
        </w:rPr>
        <w:t xml:space="preserve">; </w:t>
      </w:r>
      <w:r w:rsidR="000A75EC">
        <w:rPr>
          <w:b/>
          <w:bCs/>
          <w:sz w:val="20"/>
          <w:szCs w:val="20"/>
        </w:rPr>
        <w:t>h</w:t>
      </w:r>
      <w:r w:rsidR="000A75EC">
        <w:rPr>
          <w:sz w:val="20"/>
          <w:szCs w:val="20"/>
        </w:rPr>
        <w:t>,</w:t>
      </w:r>
      <w:r w:rsidR="000A75EC" w:rsidRPr="009347EF">
        <w:rPr>
          <w:sz w:val="20"/>
          <w:szCs w:val="20"/>
        </w:rPr>
        <w:t xml:space="preserve"> </w:t>
      </w:r>
      <w:r w:rsidR="000A75EC" w:rsidRPr="005009EF">
        <w:rPr>
          <w:i/>
          <w:iCs/>
          <w:sz w:val="20"/>
          <w:szCs w:val="20"/>
        </w:rPr>
        <w:t>NOTCH1</w:t>
      </w:r>
      <w:r w:rsidR="000A75EC" w:rsidRPr="009347EF">
        <w:rPr>
          <w:sz w:val="20"/>
          <w:szCs w:val="20"/>
        </w:rPr>
        <w:t xml:space="preserve"> splicing plots for T-ALL patients with exon 16-27 and 3-27 losses, compared to wt control, are visualized. Atypical splicing reads are highlighted in red</w:t>
      </w:r>
      <w:r w:rsidR="000A75EC">
        <w:rPr>
          <w:sz w:val="20"/>
          <w:szCs w:val="20"/>
        </w:rPr>
        <w:t xml:space="preserve">; </w:t>
      </w:r>
      <w:r w:rsidRPr="00854EC6">
        <w:rPr>
          <w:b/>
          <w:bCs/>
          <w:sz w:val="20"/>
          <w:szCs w:val="20"/>
        </w:rPr>
        <w:t>i</w:t>
      </w:r>
      <w:r>
        <w:rPr>
          <w:sz w:val="20"/>
          <w:szCs w:val="20"/>
        </w:rPr>
        <w:t>,</w:t>
      </w:r>
      <w:r w:rsidRPr="009347EF">
        <w:rPr>
          <w:sz w:val="20"/>
          <w:szCs w:val="20"/>
        </w:rPr>
        <w:t xml:space="preserve"> Coverage tracks for </w:t>
      </w:r>
      <w:r w:rsidRPr="005009EF">
        <w:rPr>
          <w:i/>
          <w:iCs/>
          <w:sz w:val="20"/>
          <w:szCs w:val="20"/>
        </w:rPr>
        <w:t>IL7R</w:t>
      </w:r>
      <w:r w:rsidRPr="009347EF">
        <w:rPr>
          <w:sz w:val="20"/>
          <w:szCs w:val="20"/>
        </w:rPr>
        <w:t xml:space="preserve"> diagnostic and germline WGS, along with SNPs, are displayed at the top. Isoform sequencing reads are presented below, indicating the loss of one allele due to TSS loss. On the right, </w:t>
      </w:r>
      <w:r w:rsidRPr="005009EF">
        <w:rPr>
          <w:i/>
          <w:iCs/>
          <w:sz w:val="20"/>
          <w:szCs w:val="20"/>
        </w:rPr>
        <w:t>IL7R</w:t>
      </w:r>
      <w:r w:rsidRPr="009347EF">
        <w:rPr>
          <w:sz w:val="20"/>
          <w:szCs w:val="20"/>
        </w:rPr>
        <w:t xml:space="preserve"> and </w:t>
      </w:r>
      <w:r w:rsidRPr="005009EF">
        <w:rPr>
          <w:i/>
          <w:iCs/>
          <w:sz w:val="20"/>
          <w:szCs w:val="20"/>
        </w:rPr>
        <w:t>PRLR</w:t>
      </w:r>
      <w:r w:rsidRPr="009347EF">
        <w:rPr>
          <w:sz w:val="20"/>
          <w:szCs w:val="20"/>
        </w:rPr>
        <w:t xml:space="preserve"> loci CNV loss is exhibited in representative cases, accompanied by </w:t>
      </w:r>
      <w:r w:rsidRPr="005009EF">
        <w:rPr>
          <w:i/>
          <w:iCs/>
          <w:sz w:val="20"/>
          <w:szCs w:val="20"/>
        </w:rPr>
        <w:t>IL7R</w:t>
      </w:r>
      <w:r w:rsidRPr="009347EF">
        <w:rPr>
          <w:sz w:val="20"/>
          <w:szCs w:val="20"/>
        </w:rPr>
        <w:t xml:space="preserve"> and </w:t>
      </w:r>
      <w:r w:rsidRPr="005009EF">
        <w:rPr>
          <w:i/>
          <w:iCs/>
          <w:sz w:val="20"/>
          <w:szCs w:val="20"/>
        </w:rPr>
        <w:t>PRLR</w:t>
      </w:r>
      <w:r w:rsidRPr="009347EF">
        <w:rPr>
          <w:sz w:val="20"/>
          <w:szCs w:val="20"/>
        </w:rPr>
        <w:t xml:space="preserve"> gene expression, where allelic expression is marked as red dots</w:t>
      </w:r>
      <w:r>
        <w:rPr>
          <w:sz w:val="20"/>
          <w:szCs w:val="20"/>
        </w:rPr>
        <w:t xml:space="preserve">; </w:t>
      </w:r>
      <w:r w:rsidRPr="00854EC6">
        <w:rPr>
          <w:b/>
          <w:bCs/>
          <w:sz w:val="20"/>
          <w:szCs w:val="20"/>
        </w:rPr>
        <w:t>j</w:t>
      </w:r>
      <w:r>
        <w:rPr>
          <w:sz w:val="20"/>
          <w:szCs w:val="20"/>
        </w:rPr>
        <w:t>,</w:t>
      </w:r>
      <w:r w:rsidRPr="009347EF">
        <w:rPr>
          <w:sz w:val="20"/>
          <w:szCs w:val="20"/>
        </w:rPr>
        <w:t xml:space="preserve"> Similar Representation as </w:t>
      </w:r>
      <w:r>
        <w:rPr>
          <w:b/>
          <w:bCs/>
          <w:sz w:val="20"/>
          <w:szCs w:val="20"/>
        </w:rPr>
        <w:t>i</w:t>
      </w:r>
      <w:r w:rsidRPr="009347EF">
        <w:rPr>
          <w:sz w:val="20"/>
          <w:szCs w:val="20"/>
        </w:rPr>
        <w:t xml:space="preserve"> for </w:t>
      </w:r>
      <w:r w:rsidRPr="005009EF">
        <w:rPr>
          <w:i/>
          <w:iCs/>
          <w:sz w:val="20"/>
          <w:szCs w:val="20"/>
        </w:rPr>
        <w:t>CCND3</w:t>
      </w:r>
      <w:r w:rsidRPr="009347EF">
        <w:rPr>
          <w:sz w:val="20"/>
          <w:szCs w:val="20"/>
        </w:rPr>
        <w:t xml:space="preserve">: showcasing the loss of the long isoform of </w:t>
      </w:r>
      <w:r w:rsidRPr="005009EF">
        <w:rPr>
          <w:i/>
          <w:iCs/>
          <w:sz w:val="20"/>
          <w:szCs w:val="20"/>
        </w:rPr>
        <w:t>CCND3</w:t>
      </w:r>
      <w:r w:rsidRPr="009347EF">
        <w:rPr>
          <w:sz w:val="20"/>
          <w:szCs w:val="20"/>
        </w:rPr>
        <w:t xml:space="preserve"> and </w:t>
      </w:r>
      <w:r w:rsidRPr="005009EF">
        <w:rPr>
          <w:i/>
          <w:iCs/>
          <w:sz w:val="20"/>
          <w:szCs w:val="20"/>
        </w:rPr>
        <w:t>TAF8</w:t>
      </w:r>
      <w:r w:rsidRPr="009347EF">
        <w:rPr>
          <w:sz w:val="20"/>
          <w:szCs w:val="20"/>
        </w:rPr>
        <w:t xml:space="preserve"> allele, while both alleles of short isoforms are expressed</w:t>
      </w:r>
      <w:r>
        <w:rPr>
          <w:sz w:val="20"/>
          <w:szCs w:val="20"/>
        </w:rPr>
        <w:t xml:space="preserve">; </w:t>
      </w:r>
      <w:r w:rsidRPr="009347EF">
        <w:rPr>
          <w:sz w:val="20"/>
          <w:szCs w:val="20"/>
        </w:rPr>
        <w:t>Abbreviations: Diagnostic/germline sample WGS (WGS-D, WGS-G). Nucleosome-free and nucleosome cut fragments (ATAC-free, ATAC-nuc)</w:t>
      </w:r>
      <w:r>
        <w:rPr>
          <w:b/>
          <w:bCs/>
          <w:sz w:val="20"/>
          <w:szCs w:val="20"/>
        </w:rPr>
        <w:t>.</w:t>
      </w:r>
    </w:p>
    <w:p w14:paraId="00E11CC7" w14:textId="77777777" w:rsidR="00252775" w:rsidRPr="009347EF" w:rsidRDefault="00252775" w:rsidP="00252775">
      <w:pPr>
        <w:pBdr>
          <w:top w:val="nil"/>
          <w:left w:val="nil"/>
          <w:bottom w:val="nil"/>
          <w:right w:val="nil"/>
          <w:between w:val="nil"/>
        </w:pBdr>
        <w:rPr>
          <w:color w:val="000000"/>
          <w:sz w:val="20"/>
          <w:szCs w:val="20"/>
        </w:rPr>
      </w:pPr>
      <w:r w:rsidRPr="009347EF">
        <w:rPr>
          <w:noProof/>
          <w:color w:val="000000"/>
          <w:sz w:val="20"/>
          <w:szCs w:val="20"/>
        </w:rPr>
        <w:drawing>
          <wp:inline distT="0" distB="0" distL="0" distR="0" wp14:anchorId="18B82C3E" wp14:editId="6C85F2F4">
            <wp:extent cx="5943600" cy="5279390"/>
            <wp:effectExtent l="0" t="0" r="0" b="3810"/>
            <wp:docPr id="1850780492"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80492" name="Picture 5" descr="A screenshot of a computer screen&#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279390"/>
                    </a:xfrm>
                    <a:prstGeom prst="rect">
                      <a:avLst/>
                    </a:prstGeom>
                  </pic:spPr>
                </pic:pic>
              </a:graphicData>
            </a:graphic>
          </wp:inline>
        </w:drawing>
      </w:r>
    </w:p>
    <w:p w14:paraId="5719A840" w14:textId="77777777" w:rsidR="00252775" w:rsidRPr="009347EF" w:rsidRDefault="00252775" w:rsidP="00252775">
      <w:pPr>
        <w:rPr>
          <w:sz w:val="20"/>
          <w:szCs w:val="20"/>
        </w:rPr>
      </w:pPr>
    </w:p>
    <w:p w14:paraId="67C029EB" w14:textId="54ECBCFA" w:rsidR="00C659E8" w:rsidRPr="00854EC6" w:rsidRDefault="00C659E8" w:rsidP="00C659E8">
      <w:pPr>
        <w:rPr>
          <w:b/>
          <w:bCs/>
          <w:sz w:val="20"/>
          <w:szCs w:val="20"/>
        </w:rPr>
      </w:pPr>
      <w:r w:rsidRPr="00854EC6">
        <w:rPr>
          <w:b/>
          <w:bCs/>
          <w:sz w:val="20"/>
          <w:szCs w:val="20"/>
        </w:rPr>
        <w:lastRenderedPageBreak/>
        <w:t>Extended</w:t>
      </w:r>
      <w:r>
        <w:rPr>
          <w:b/>
          <w:bCs/>
          <w:sz w:val="20"/>
          <w:szCs w:val="20"/>
        </w:rPr>
        <w:t xml:space="preserve"> Data</w:t>
      </w:r>
      <w:r w:rsidRPr="00854EC6">
        <w:rPr>
          <w:b/>
          <w:bCs/>
          <w:sz w:val="20"/>
          <w:szCs w:val="20"/>
        </w:rPr>
        <w:t xml:space="preserve"> Figure 5. Subtyping and </w:t>
      </w:r>
      <w:r w:rsidR="00A8540F">
        <w:rPr>
          <w:b/>
          <w:bCs/>
          <w:sz w:val="20"/>
          <w:szCs w:val="20"/>
        </w:rPr>
        <w:t>g</w:t>
      </w:r>
      <w:r w:rsidRPr="00854EC6">
        <w:rPr>
          <w:b/>
          <w:bCs/>
          <w:sz w:val="20"/>
          <w:szCs w:val="20"/>
        </w:rPr>
        <w:t xml:space="preserve">enomic </w:t>
      </w:r>
      <w:r w:rsidR="00A8540F">
        <w:rPr>
          <w:b/>
          <w:bCs/>
          <w:sz w:val="20"/>
          <w:szCs w:val="20"/>
        </w:rPr>
        <w:t>a</w:t>
      </w:r>
      <w:r w:rsidRPr="00854EC6">
        <w:rPr>
          <w:b/>
          <w:bCs/>
          <w:sz w:val="20"/>
          <w:szCs w:val="20"/>
        </w:rPr>
        <w:t xml:space="preserve">nalysis of TLX3 and NKX2-1 </w:t>
      </w:r>
      <w:r w:rsidR="00A8540F">
        <w:rPr>
          <w:b/>
          <w:bCs/>
          <w:sz w:val="20"/>
          <w:szCs w:val="20"/>
        </w:rPr>
        <w:t>s</w:t>
      </w:r>
      <w:r w:rsidRPr="00854EC6">
        <w:rPr>
          <w:b/>
          <w:bCs/>
          <w:sz w:val="20"/>
          <w:szCs w:val="20"/>
        </w:rPr>
        <w:t>ubgroups.</w:t>
      </w:r>
      <w:r>
        <w:rPr>
          <w:b/>
          <w:bCs/>
          <w:sz w:val="20"/>
          <w:szCs w:val="20"/>
        </w:rPr>
        <w:t xml:space="preserve"> a, </w:t>
      </w:r>
      <w:r w:rsidRPr="009347EF">
        <w:rPr>
          <w:sz w:val="20"/>
          <w:szCs w:val="20"/>
        </w:rPr>
        <w:t>Oncoprint illustrating lesions that exhibit significant differences between TLX3 DP-like and Immature subgroups. Significance levels (Fisher’s exact test) are indicated as stars on the left side (**** = FDR&lt;0.0001, *** = FDR&lt;0.001, ** = FDR&lt;0.01, * = FDR&lt;0.05)</w:t>
      </w:r>
      <w:r>
        <w:rPr>
          <w:sz w:val="20"/>
          <w:szCs w:val="20"/>
        </w:rPr>
        <w:t xml:space="preserve">; </w:t>
      </w:r>
      <w:r w:rsidRPr="00854EC6">
        <w:rPr>
          <w:b/>
          <w:bCs/>
          <w:sz w:val="20"/>
          <w:szCs w:val="20"/>
        </w:rPr>
        <w:t>b,</w:t>
      </w:r>
      <w:r>
        <w:rPr>
          <w:sz w:val="20"/>
          <w:szCs w:val="20"/>
        </w:rPr>
        <w:t xml:space="preserve"> </w:t>
      </w:r>
      <w:r w:rsidRPr="009347EF">
        <w:rPr>
          <w:sz w:val="20"/>
          <w:szCs w:val="20"/>
        </w:rPr>
        <w:t>Dotplot depicting significantly altered genes, broad CNVs, and pathways associated with TLX3 DP-like and Immature subgroups. Dot color represents odds ratio, and dot size reflects -log10 FDR values. Odds ratio values are capped at 10. Genes are ordered by significance within each subtype</w:t>
      </w:r>
      <w:r>
        <w:rPr>
          <w:sz w:val="20"/>
          <w:szCs w:val="20"/>
        </w:rPr>
        <w:t>;</w:t>
      </w:r>
      <w:r>
        <w:rPr>
          <w:b/>
          <w:bCs/>
          <w:sz w:val="20"/>
          <w:szCs w:val="20"/>
        </w:rPr>
        <w:t xml:space="preserve"> c, </w:t>
      </w:r>
      <w:r w:rsidRPr="009347EF">
        <w:rPr>
          <w:sz w:val="20"/>
          <w:szCs w:val="20"/>
        </w:rPr>
        <w:t>UMAP scatter plots showcasing selected gene and lesion alterations (green) for TLX3 samples</w:t>
      </w:r>
      <w:r>
        <w:rPr>
          <w:sz w:val="20"/>
          <w:szCs w:val="20"/>
        </w:rPr>
        <w:t xml:space="preserve">; </w:t>
      </w:r>
      <w:r w:rsidRPr="00854EC6">
        <w:rPr>
          <w:b/>
          <w:bCs/>
          <w:sz w:val="20"/>
          <w:szCs w:val="20"/>
        </w:rPr>
        <w:t>d,</w:t>
      </w:r>
      <w:r>
        <w:rPr>
          <w:sz w:val="20"/>
          <w:szCs w:val="20"/>
        </w:rPr>
        <w:t xml:space="preserve"> </w:t>
      </w:r>
      <w:r w:rsidRPr="009347EF">
        <w:rPr>
          <w:sz w:val="20"/>
          <w:szCs w:val="20"/>
        </w:rPr>
        <w:t>UMAP plots representing TLX3 DP-like and Immature subgroups</w:t>
      </w:r>
      <w:r>
        <w:rPr>
          <w:sz w:val="20"/>
          <w:szCs w:val="20"/>
        </w:rPr>
        <w:t>;</w:t>
      </w:r>
      <w:r>
        <w:rPr>
          <w:b/>
          <w:bCs/>
          <w:sz w:val="20"/>
          <w:szCs w:val="20"/>
        </w:rPr>
        <w:t xml:space="preserve"> e, </w:t>
      </w:r>
      <w:r w:rsidRPr="009347EF">
        <w:rPr>
          <w:sz w:val="20"/>
          <w:szCs w:val="20"/>
        </w:rPr>
        <w:t>UMAP plot displaying TCR rearrangement status for TLX3 cases</w:t>
      </w:r>
      <w:r>
        <w:rPr>
          <w:sz w:val="20"/>
          <w:szCs w:val="20"/>
        </w:rPr>
        <w:t xml:space="preserve">; </w:t>
      </w:r>
      <w:r w:rsidRPr="00854EC6">
        <w:rPr>
          <w:b/>
          <w:bCs/>
          <w:sz w:val="20"/>
          <w:szCs w:val="20"/>
        </w:rPr>
        <w:t>f</w:t>
      </w:r>
      <w:r>
        <w:rPr>
          <w:sz w:val="20"/>
          <w:szCs w:val="20"/>
        </w:rPr>
        <w:t xml:space="preserve">, </w:t>
      </w:r>
      <w:r w:rsidRPr="009347EF">
        <w:rPr>
          <w:sz w:val="20"/>
          <w:szCs w:val="20"/>
        </w:rPr>
        <w:t>UMAP plot illustrating ETP-status for TLX3 cases</w:t>
      </w:r>
      <w:r>
        <w:rPr>
          <w:sz w:val="20"/>
          <w:szCs w:val="20"/>
        </w:rPr>
        <w:t>;</w:t>
      </w:r>
      <w:r>
        <w:rPr>
          <w:b/>
          <w:bCs/>
          <w:sz w:val="20"/>
          <w:szCs w:val="20"/>
        </w:rPr>
        <w:t xml:space="preserve"> g, </w:t>
      </w:r>
      <w:r w:rsidRPr="009347EF">
        <w:rPr>
          <w:sz w:val="20"/>
          <w:szCs w:val="20"/>
        </w:rPr>
        <w:t>Dotplot visualizing expression of TLX3 DP-like and Immature gene expression signatures in healthy normal BM/Thymic single-cell RNA data. Detection percentage is represented by dot size, while mean signature enrichment by normal cell type is indicated by color. TLX3 subgroup is further divided based on ETP-status and TCR rearrangement status</w:t>
      </w:r>
      <w:r>
        <w:rPr>
          <w:sz w:val="20"/>
          <w:szCs w:val="20"/>
        </w:rPr>
        <w:t xml:space="preserve">; </w:t>
      </w:r>
      <w:r w:rsidRPr="00854EC6">
        <w:rPr>
          <w:b/>
          <w:bCs/>
          <w:sz w:val="20"/>
          <w:szCs w:val="20"/>
        </w:rPr>
        <w:t>h</w:t>
      </w:r>
      <w:r>
        <w:rPr>
          <w:sz w:val="20"/>
          <w:szCs w:val="20"/>
        </w:rPr>
        <w:t xml:space="preserve">, </w:t>
      </w:r>
      <w:r w:rsidRPr="009347EF">
        <w:rPr>
          <w:sz w:val="20"/>
          <w:szCs w:val="20"/>
        </w:rPr>
        <w:t xml:space="preserve">Similar to </w:t>
      </w:r>
      <w:r w:rsidRPr="00854EC6">
        <w:rPr>
          <w:b/>
          <w:bCs/>
          <w:sz w:val="20"/>
          <w:szCs w:val="20"/>
        </w:rPr>
        <w:t>a</w:t>
      </w:r>
      <w:r w:rsidRPr="009347EF">
        <w:rPr>
          <w:sz w:val="20"/>
          <w:szCs w:val="20"/>
        </w:rPr>
        <w:t>, this section presents the oncoprint showcasing significantly differing lesions between NKX2-1 TCR and Other subgroups</w:t>
      </w:r>
      <w:r>
        <w:rPr>
          <w:sz w:val="20"/>
          <w:szCs w:val="20"/>
        </w:rPr>
        <w:t xml:space="preserve">; </w:t>
      </w:r>
      <w:r w:rsidRPr="00854EC6">
        <w:rPr>
          <w:b/>
          <w:bCs/>
          <w:sz w:val="20"/>
          <w:szCs w:val="20"/>
        </w:rPr>
        <w:t>i</w:t>
      </w:r>
      <w:r>
        <w:rPr>
          <w:sz w:val="20"/>
          <w:szCs w:val="20"/>
        </w:rPr>
        <w:t xml:space="preserve">, </w:t>
      </w:r>
      <w:r w:rsidRPr="009347EF">
        <w:rPr>
          <w:sz w:val="20"/>
          <w:szCs w:val="20"/>
        </w:rPr>
        <w:t>UMAP scatter plots displaying selected gene and lesion alterations (green) for NKX2-1 samples</w:t>
      </w:r>
      <w:r>
        <w:rPr>
          <w:sz w:val="20"/>
          <w:szCs w:val="20"/>
        </w:rPr>
        <w:t xml:space="preserve">; </w:t>
      </w:r>
      <w:r w:rsidRPr="00854EC6">
        <w:rPr>
          <w:b/>
          <w:bCs/>
          <w:sz w:val="20"/>
          <w:szCs w:val="20"/>
        </w:rPr>
        <w:t>j</w:t>
      </w:r>
      <w:r>
        <w:rPr>
          <w:sz w:val="20"/>
          <w:szCs w:val="20"/>
        </w:rPr>
        <w:t xml:space="preserve">, </w:t>
      </w:r>
      <w:r w:rsidRPr="009347EF">
        <w:rPr>
          <w:sz w:val="20"/>
          <w:szCs w:val="20"/>
        </w:rPr>
        <w:t>UMAP scatter plot illustrating labels for NKX2-1 TCR and Other subgroups.</w:t>
      </w:r>
    </w:p>
    <w:p w14:paraId="5214F888" w14:textId="77777777" w:rsidR="00C659E8" w:rsidRDefault="00C659E8" w:rsidP="00C659E8">
      <w:pPr>
        <w:rPr>
          <w:b/>
          <w:bCs/>
          <w:sz w:val="20"/>
          <w:szCs w:val="20"/>
        </w:rPr>
      </w:pPr>
    </w:p>
    <w:p w14:paraId="774C14E5" w14:textId="77777777" w:rsidR="00252775" w:rsidRPr="009347EF" w:rsidRDefault="00252775" w:rsidP="00252775">
      <w:pPr>
        <w:rPr>
          <w:sz w:val="20"/>
          <w:szCs w:val="20"/>
        </w:rPr>
      </w:pPr>
    </w:p>
    <w:p w14:paraId="3CCA9EE9" w14:textId="77777777" w:rsidR="00252775" w:rsidRPr="009347EF" w:rsidRDefault="00252775" w:rsidP="00252775">
      <w:pPr>
        <w:ind w:left="720"/>
        <w:rPr>
          <w:sz w:val="20"/>
          <w:szCs w:val="20"/>
        </w:rPr>
      </w:pPr>
    </w:p>
    <w:p w14:paraId="443F24F0" w14:textId="77777777" w:rsidR="00252775" w:rsidRPr="009347EF" w:rsidRDefault="00252775" w:rsidP="00252775">
      <w:pPr>
        <w:rPr>
          <w:sz w:val="20"/>
          <w:szCs w:val="20"/>
        </w:rPr>
      </w:pPr>
      <w:r>
        <w:rPr>
          <w:noProof/>
          <w:sz w:val="20"/>
          <w:szCs w:val="20"/>
        </w:rPr>
        <w:lastRenderedPageBreak/>
        <w:drawing>
          <wp:inline distT="0" distB="0" distL="0" distR="0" wp14:anchorId="69C66FD4" wp14:editId="7CBCF526">
            <wp:extent cx="5871411" cy="6664960"/>
            <wp:effectExtent l="0" t="0" r="0" b="2540"/>
            <wp:docPr id="886056992" name="Picture 2" descr="A screenshot of a computer generated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056992" name="Picture 2" descr="A screenshot of a computer generated data&#10;&#10;Description automatically generated"/>
                    <pic:cNvPicPr/>
                  </pic:nvPicPr>
                  <pic:blipFill rotWithShape="1">
                    <a:blip r:embed="rId14" cstate="print">
                      <a:extLst>
                        <a:ext uri="{28A0092B-C50C-407E-A947-70E740481C1C}">
                          <a14:useLocalDpi xmlns:a14="http://schemas.microsoft.com/office/drawing/2010/main" val="0"/>
                        </a:ext>
                      </a:extLst>
                    </a:blip>
                    <a:srcRect r="1207" b="8196"/>
                    <a:stretch/>
                  </pic:blipFill>
                  <pic:spPr bwMode="auto">
                    <a:xfrm>
                      <a:off x="0" y="0"/>
                      <a:ext cx="5871882" cy="6665495"/>
                    </a:xfrm>
                    <a:prstGeom prst="rect">
                      <a:avLst/>
                    </a:prstGeom>
                    <a:ln>
                      <a:noFill/>
                    </a:ln>
                    <a:extLst>
                      <a:ext uri="{53640926-AAD7-44D8-BBD7-CCE9431645EC}">
                        <a14:shadowObscured xmlns:a14="http://schemas.microsoft.com/office/drawing/2010/main"/>
                      </a:ext>
                    </a:extLst>
                  </pic:spPr>
                </pic:pic>
              </a:graphicData>
            </a:graphic>
          </wp:inline>
        </w:drawing>
      </w:r>
    </w:p>
    <w:p w14:paraId="2B92CAAF" w14:textId="77777777" w:rsidR="00C659E8" w:rsidRPr="00A417B3" w:rsidRDefault="00C659E8" w:rsidP="00C659E8">
      <w:pPr>
        <w:rPr>
          <w:b/>
          <w:bCs/>
          <w:sz w:val="20"/>
          <w:szCs w:val="20"/>
        </w:rPr>
      </w:pPr>
      <w:r w:rsidRPr="00A417B3">
        <w:rPr>
          <w:b/>
          <w:bCs/>
          <w:sz w:val="20"/>
          <w:szCs w:val="20"/>
        </w:rPr>
        <w:t>Extended</w:t>
      </w:r>
      <w:r>
        <w:rPr>
          <w:b/>
          <w:bCs/>
          <w:sz w:val="20"/>
          <w:szCs w:val="20"/>
        </w:rPr>
        <w:t xml:space="preserve"> Data</w:t>
      </w:r>
      <w:r w:rsidRPr="00A417B3">
        <w:rPr>
          <w:b/>
          <w:bCs/>
          <w:sz w:val="20"/>
          <w:szCs w:val="20"/>
        </w:rPr>
        <w:t xml:space="preserve"> Figure 6: TAL1 Group </w:t>
      </w:r>
      <w:r>
        <w:rPr>
          <w:b/>
          <w:bCs/>
          <w:sz w:val="20"/>
          <w:szCs w:val="20"/>
        </w:rPr>
        <w:t xml:space="preserve">genetic subtypes; </w:t>
      </w:r>
      <w:r w:rsidRPr="00A417B3">
        <w:rPr>
          <w:b/>
          <w:bCs/>
          <w:sz w:val="20"/>
          <w:szCs w:val="20"/>
        </w:rPr>
        <w:t>a</w:t>
      </w:r>
      <w:r>
        <w:rPr>
          <w:sz w:val="20"/>
          <w:szCs w:val="20"/>
        </w:rPr>
        <w:t>,</w:t>
      </w:r>
      <w:r w:rsidRPr="009347EF">
        <w:rPr>
          <w:sz w:val="20"/>
          <w:szCs w:val="20"/>
        </w:rPr>
        <w:t xml:space="preserve"> UMAP plot displaying the distribution of oncogene alterations within the TAL1 group</w:t>
      </w:r>
      <w:r>
        <w:rPr>
          <w:sz w:val="20"/>
          <w:szCs w:val="20"/>
        </w:rPr>
        <w:t>;</w:t>
      </w:r>
      <w:r>
        <w:rPr>
          <w:b/>
          <w:bCs/>
          <w:sz w:val="20"/>
          <w:szCs w:val="20"/>
        </w:rPr>
        <w:t xml:space="preserve"> </w:t>
      </w:r>
      <w:r w:rsidRPr="00A417B3">
        <w:rPr>
          <w:b/>
          <w:bCs/>
          <w:sz w:val="20"/>
          <w:szCs w:val="20"/>
        </w:rPr>
        <w:t>b</w:t>
      </w:r>
      <w:r>
        <w:rPr>
          <w:sz w:val="20"/>
          <w:szCs w:val="20"/>
        </w:rPr>
        <w:t>,</w:t>
      </w:r>
      <w:r w:rsidRPr="009347EF">
        <w:rPr>
          <w:sz w:val="20"/>
          <w:szCs w:val="20"/>
        </w:rPr>
        <w:t xml:space="preserve"> Heatmap showcasing mutually exclusive and co-occurring patterns of TAL1 group driver alterations. Color represents log2 odds ratio. Significant pairs are indicated by stars: (*** = FDR&lt;0.001, ** = FDR&lt;0.01, * = FDR&lt;0.05)</w:t>
      </w:r>
      <w:r>
        <w:rPr>
          <w:sz w:val="20"/>
          <w:szCs w:val="20"/>
        </w:rPr>
        <w:t>;</w:t>
      </w:r>
      <w:r>
        <w:rPr>
          <w:b/>
          <w:bCs/>
          <w:sz w:val="20"/>
          <w:szCs w:val="20"/>
        </w:rPr>
        <w:t xml:space="preserve"> </w:t>
      </w:r>
      <w:r w:rsidRPr="00A417B3">
        <w:rPr>
          <w:b/>
          <w:bCs/>
          <w:sz w:val="20"/>
          <w:szCs w:val="20"/>
        </w:rPr>
        <w:t>c</w:t>
      </w:r>
      <w:r>
        <w:rPr>
          <w:sz w:val="20"/>
          <w:szCs w:val="20"/>
        </w:rPr>
        <w:t>,</w:t>
      </w:r>
      <w:r w:rsidRPr="009347EF">
        <w:rPr>
          <w:sz w:val="20"/>
          <w:szCs w:val="20"/>
        </w:rPr>
        <w:t xml:space="preserve"> Volcano plot visualizing differential flow cytometry markers between LMO2 γδ-like and TAL1 αβ-like subtypes. Significantly altered markers are labeled with their respective protein names</w:t>
      </w:r>
      <w:r>
        <w:rPr>
          <w:sz w:val="20"/>
          <w:szCs w:val="20"/>
        </w:rPr>
        <w:t>;</w:t>
      </w:r>
      <w:r>
        <w:rPr>
          <w:b/>
          <w:bCs/>
          <w:sz w:val="20"/>
          <w:szCs w:val="20"/>
        </w:rPr>
        <w:t xml:space="preserve"> </w:t>
      </w:r>
      <w:r w:rsidRPr="00A417B3">
        <w:rPr>
          <w:b/>
          <w:bCs/>
          <w:sz w:val="20"/>
          <w:szCs w:val="20"/>
        </w:rPr>
        <w:t>d</w:t>
      </w:r>
      <w:r>
        <w:rPr>
          <w:sz w:val="20"/>
          <w:szCs w:val="20"/>
        </w:rPr>
        <w:t>,</w:t>
      </w:r>
      <w:r w:rsidRPr="009347EF">
        <w:rPr>
          <w:sz w:val="20"/>
          <w:szCs w:val="20"/>
        </w:rPr>
        <w:t xml:space="preserve"> Similar to </w:t>
      </w:r>
      <w:r w:rsidRPr="00A417B3">
        <w:rPr>
          <w:b/>
          <w:bCs/>
          <w:sz w:val="20"/>
          <w:szCs w:val="20"/>
        </w:rPr>
        <w:t>c</w:t>
      </w:r>
      <w:r w:rsidRPr="009347EF">
        <w:rPr>
          <w:sz w:val="20"/>
          <w:szCs w:val="20"/>
        </w:rPr>
        <w:t>, this section presents a volcano plot comparing flow cytometry markers between LMO2 γδ-like and TAL1 DP-like subtypes</w:t>
      </w:r>
      <w:r>
        <w:rPr>
          <w:sz w:val="20"/>
          <w:szCs w:val="20"/>
        </w:rPr>
        <w:t>;</w:t>
      </w:r>
      <w:r>
        <w:rPr>
          <w:b/>
          <w:bCs/>
          <w:sz w:val="20"/>
          <w:szCs w:val="20"/>
        </w:rPr>
        <w:t xml:space="preserve"> </w:t>
      </w:r>
      <w:r w:rsidRPr="00A417B3">
        <w:rPr>
          <w:b/>
          <w:bCs/>
          <w:sz w:val="20"/>
          <w:szCs w:val="20"/>
        </w:rPr>
        <w:t>e</w:t>
      </w:r>
      <w:r>
        <w:rPr>
          <w:sz w:val="20"/>
          <w:szCs w:val="20"/>
        </w:rPr>
        <w:t>,</w:t>
      </w:r>
      <w:r w:rsidRPr="009347EF">
        <w:rPr>
          <w:sz w:val="20"/>
          <w:szCs w:val="20"/>
        </w:rPr>
        <w:t xml:space="preserve"> Similar to </w:t>
      </w:r>
      <w:r w:rsidRPr="00A417B3">
        <w:rPr>
          <w:b/>
          <w:bCs/>
          <w:sz w:val="20"/>
          <w:szCs w:val="20"/>
        </w:rPr>
        <w:t>c</w:t>
      </w:r>
      <w:r w:rsidRPr="009347EF">
        <w:rPr>
          <w:sz w:val="20"/>
          <w:szCs w:val="20"/>
        </w:rPr>
        <w:t>, this plot displays differential flow cytometry markers in STAG2/LMO2 group</w:t>
      </w:r>
      <w:r>
        <w:rPr>
          <w:sz w:val="20"/>
          <w:szCs w:val="20"/>
        </w:rPr>
        <w:t>;</w:t>
      </w:r>
      <w:r>
        <w:rPr>
          <w:b/>
          <w:bCs/>
          <w:sz w:val="20"/>
          <w:szCs w:val="20"/>
        </w:rPr>
        <w:t xml:space="preserve"> </w:t>
      </w:r>
      <w:r w:rsidRPr="00A417B3">
        <w:rPr>
          <w:b/>
          <w:bCs/>
          <w:sz w:val="20"/>
          <w:szCs w:val="20"/>
        </w:rPr>
        <w:t>f</w:t>
      </w:r>
      <w:r>
        <w:rPr>
          <w:sz w:val="20"/>
          <w:szCs w:val="20"/>
        </w:rPr>
        <w:t>,</w:t>
      </w:r>
      <w:r w:rsidRPr="009347EF">
        <w:rPr>
          <w:sz w:val="20"/>
          <w:szCs w:val="20"/>
        </w:rPr>
        <w:t xml:space="preserve"> Similar to </w:t>
      </w:r>
      <w:r w:rsidRPr="00A417B3">
        <w:rPr>
          <w:b/>
          <w:bCs/>
          <w:sz w:val="20"/>
          <w:szCs w:val="20"/>
        </w:rPr>
        <w:t>c</w:t>
      </w:r>
      <w:r w:rsidRPr="009347EF">
        <w:rPr>
          <w:sz w:val="20"/>
          <w:szCs w:val="20"/>
        </w:rPr>
        <w:t>, this plot displays differential flow cytometry markers between STAG2/LMO2 and TAL1 DP-like subtypes</w:t>
      </w:r>
      <w:r>
        <w:rPr>
          <w:sz w:val="20"/>
          <w:szCs w:val="20"/>
        </w:rPr>
        <w:t>;</w:t>
      </w:r>
      <w:r>
        <w:rPr>
          <w:b/>
          <w:bCs/>
          <w:sz w:val="20"/>
          <w:szCs w:val="20"/>
        </w:rPr>
        <w:t xml:space="preserve"> </w:t>
      </w:r>
      <w:r w:rsidRPr="00A417B3">
        <w:rPr>
          <w:b/>
          <w:bCs/>
          <w:sz w:val="20"/>
          <w:szCs w:val="20"/>
        </w:rPr>
        <w:t>g</w:t>
      </w:r>
      <w:r>
        <w:rPr>
          <w:sz w:val="20"/>
          <w:szCs w:val="20"/>
        </w:rPr>
        <w:t>,</w:t>
      </w:r>
      <w:r w:rsidRPr="009347EF">
        <w:rPr>
          <w:sz w:val="20"/>
          <w:szCs w:val="20"/>
        </w:rPr>
        <w:t xml:space="preserve"> Oncoprint highlighting lesions that exhibit significant differences between TAL1 DP-like and αβ-like subgroups. </w:t>
      </w:r>
      <w:r w:rsidRPr="009347EF">
        <w:rPr>
          <w:sz w:val="20"/>
          <w:szCs w:val="20"/>
        </w:rPr>
        <w:lastRenderedPageBreak/>
        <w:t>Significance levels are marked by stars on the left side</w:t>
      </w:r>
      <w:r>
        <w:rPr>
          <w:sz w:val="20"/>
          <w:szCs w:val="20"/>
        </w:rPr>
        <w:t>;</w:t>
      </w:r>
      <w:r>
        <w:rPr>
          <w:b/>
          <w:bCs/>
          <w:sz w:val="20"/>
          <w:szCs w:val="20"/>
        </w:rPr>
        <w:t xml:space="preserve"> </w:t>
      </w:r>
      <w:r w:rsidRPr="00A417B3">
        <w:rPr>
          <w:b/>
          <w:bCs/>
          <w:sz w:val="20"/>
          <w:szCs w:val="20"/>
        </w:rPr>
        <w:t>h</w:t>
      </w:r>
      <w:r>
        <w:rPr>
          <w:sz w:val="20"/>
          <w:szCs w:val="20"/>
        </w:rPr>
        <w:t>,</w:t>
      </w:r>
      <w:r w:rsidRPr="009347EF">
        <w:rPr>
          <w:sz w:val="20"/>
          <w:szCs w:val="20"/>
        </w:rPr>
        <w:t xml:space="preserve"> Comparable illustration as </w:t>
      </w:r>
      <w:r>
        <w:rPr>
          <w:b/>
          <w:bCs/>
          <w:sz w:val="20"/>
          <w:szCs w:val="20"/>
        </w:rPr>
        <w:t>b</w:t>
      </w:r>
      <w:r w:rsidRPr="009347EF">
        <w:rPr>
          <w:sz w:val="20"/>
          <w:szCs w:val="20"/>
        </w:rPr>
        <w:t>, but showcasing genes and lesions associated with the TAL1 group or differing between TAL1 DP-like and αβ-like subgroups</w:t>
      </w:r>
      <w:r>
        <w:rPr>
          <w:sz w:val="20"/>
          <w:szCs w:val="20"/>
        </w:rPr>
        <w:t>;</w:t>
      </w:r>
      <w:r>
        <w:rPr>
          <w:b/>
          <w:bCs/>
          <w:sz w:val="20"/>
          <w:szCs w:val="20"/>
        </w:rPr>
        <w:t xml:space="preserve"> </w:t>
      </w:r>
      <w:r w:rsidRPr="00A417B3">
        <w:rPr>
          <w:b/>
          <w:bCs/>
          <w:sz w:val="20"/>
          <w:szCs w:val="20"/>
        </w:rPr>
        <w:t>i</w:t>
      </w:r>
      <w:r>
        <w:rPr>
          <w:sz w:val="20"/>
          <w:szCs w:val="20"/>
        </w:rPr>
        <w:t>,</w:t>
      </w:r>
      <w:r w:rsidRPr="009347EF">
        <w:rPr>
          <w:sz w:val="20"/>
          <w:szCs w:val="20"/>
        </w:rPr>
        <w:t xml:space="preserve"> UMAP plot representing the alterations associated with the TAL1 group.</w:t>
      </w:r>
    </w:p>
    <w:p w14:paraId="39765857" w14:textId="77777777" w:rsidR="00C659E8" w:rsidRDefault="00C659E8" w:rsidP="00C659E8">
      <w:pPr>
        <w:rPr>
          <w:b/>
          <w:bCs/>
          <w:sz w:val="20"/>
          <w:szCs w:val="20"/>
        </w:rPr>
      </w:pPr>
    </w:p>
    <w:p w14:paraId="4BF3D853" w14:textId="77777777" w:rsidR="00252775" w:rsidRPr="009347EF" w:rsidRDefault="00252775" w:rsidP="00252775">
      <w:pPr>
        <w:rPr>
          <w:sz w:val="20"/>
          <w:szCs w:val="20"/>
        </w:rPr>
      </w:pPr>
      <w:r w:rsidRPr="009347EF">
        <w:rPr>
          <w:noProof/>
          <w:sz w:val="20"/>
          <w:szCs w:val="20"/>
        </w:rPr>
        <w:drawing>
          <wp:inline distT="0" distB="0" distL="0" distR="0" wp14:anchorId="7815AA89" wp14:editId="723C5402">
            <wp:extent cx="5943600" cy="7260590"/>
            <wp:effectExtent l="0" t="0" r="0" b="3810"/>
            <wp:docPr id="2025327109" name="Picture 7"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27109" name="Picture 7" descr="A close-up of a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7260590"/>
                    </a:xfrm>
                    <a:prstGeom prst="rect">
                      <a:avLst/>
                    </a:prstGeom>
                  </pic:spPr>
                </pic:pic>
              </a:graphicData>
            </a:graphic>
          </wp:inline>
        </w:drawing>
      </w:r>
    </w:p>
    <w:p w14:paraId="64BEC104" w14:textId="77777777" w:rsidR="00252775" w:rsidRPr="009347EF" w:rsidRDefault="00252775" w:rsidP="00252775">
      <w:pPr>
        <w:rPr>
          <w:sz w:val="20"/>
          <w:szCs w:val="20"/>
        </w:rPr>
      </w:pPr>
    </w:p>
    <w:p w14:paraId="3DFB2B85" w14:textId="5F4B22FF" w:rsidR="00C659E8" w:rsidRPr="00A417B3" w:rsidRDefault="00C659E8" w:rsidP="00C659E8">
      <w:pPr>
        <w:rPr>
          <w:b/>
          <w:bCs/>
          <w:sz w:val="20"/>
          <w:szCs w:val="20"/>
        </w:rPr>
      </w:pPr>
      <w:r w:rsidRPr="00A417B3">
        <w:rPr>
          <w:b/>
          <w:bCs/>
          <w:sz w:val="20"/>
          <w:szCs w:val="20"/>
        </w:rPr>
        <w:lastRenderedPageBreak/>
        <w:t>Extended</w:t>
      </w:r>
      <w:r w:rsidR="005C31AC">
        <w:rPr>
          <w:b/>
          <w:bCs/>
          <w:sz w:val="20"/>
          <w:szCs w:val="20"/>
        </w:rPr>
        <w:t xml:space="preserve"> Data</w:t>
      </w:r>
      <w:r w:rsidRPr="00A417B3">
        <w:rPr>
          <w:b/>
          <w:bCs/>
          <w:sz w:val="20"/>
          <w:szCs w:val="20"/>
        </w:rPr>
        <w:t xml:space="preserve"> Figure 7: ETP/ETP-like genomics</w:t>
      </w:r>
      <w:r>
        <w:rPr>
          <w:b/>
          <w:bCs/>
          <w:sz w:val="20"/>
          <w:szCs w:val="20"/>
        </w:rPr>
        <w:t>, immunophenotype</w:t>
      </w:r>
      <w:r w:rsidRPr="00A417B3">
        <w:rPr>
          <w:b/>
          <w:bCs/>
          <w:sz w:val="20"/>
          <w:szCs w:val="20"/>
        </w:rPr>
        <w:t xml:space="preserve"> and clinical associations.</w:t>
      </w:r>
      <w:r>
        <w:rPr>
          <w:b/>
          <w:bCs/>
          <w:sz w:val="20"/>
          <w:szCs w:val="20"/>
        </w:rPr>
        <w:t xml:space="preserve"> a, </w:t>
      </w:r>
      <w:r w:rsidRPr="009347EF">
        <w:rPr>
          <w:sz w:val="20"/>
          <w:szCs w:val="20"/>
        </w:rPr>
        <w:t xml:space="preserve">UMAP plot revealing distinct </w:t>
      </w:r>
      <w:r w:rsidRPr="005009EF">
        <w:rPr>
          <w:i/>
          <w:iCs/>
          <w:sz w:val="20"/>
          <w:szCs w:val="20"/>
        </w:rPr>
        <w:t>MLLT10</w:t>
      </w:r>
      <w:r w:rsidRPr="009347EF">
        <w:rPr>
          <w:sz w:val="20"/>
          <w:szCs w:val="20"/>
        </w:rPr>
        <w:t xml:space="preserve"> and </w:t>
      </w:r>
      <w:r w:rsidRPr="005009EF">
        <w:rPr>
          <w:i/>
          <w:iCs/>
          <w:sz w:val="20"/>
          <w:szCs w:val="20"/>
        </w:rPr>
        <w:t>KMT2A</w:t>
      </w:r>
      <w:r w:rsidRPr="009347EF">
        <w:rPr>
          <w:sz w:val="20"/>
          <w:szCs w:val="20"/>
        </w:rPr>
        <w:t xml:space="preserve"> fusion partners</w:t>
      </w:r>
      <w:r>
        <w:rPr>
          <w:sz w:val="20"/>
          <w:szCs w:val="20"/>
        </w:rPr>
        <w:t xml:space="preserve">; </w:t>
      </w:r>
      <w:r w:rsidRPr="00A417B3">
        <w:rPr>
          <w:b/>
          <w:bCs/>
          <w:sz w:val="20"/>
          <w:szCs w:val="20"/>
        </w:rPr>
        <w:t>b</w:t>
      </w:r>
      <w:r>
        <w:rPr>
          <w:sz w:val="20"/>
          <w:szCs w:val="20"/>
        </w:rPr>
        <w:t xml:space="preserve">, </w:t>
      </w:r>
      <w:r w:rsidRPr="009347EF">
        <w:rPr>
          <w:sz w:val="20"/>
          <w:szCs w:val="20"/>
        </w:rPr>
        <w:t>Dotplot showcasing significant gene, CNV, and pathway alterations linked with ETP-like genetic subtypes, with dot color indicating odds ratio and dot size reflecting -log10 FDR. Odds ratio capped at 10, with genes/lesions ordered by significance within each subtype</w:t>
      </w:r>
      <w:r>
        <w:rPr>
          <w:sz w:val="20"/>
          <w:szCs w:val="20"/>
        </w:rPr>
        <w:t xml:space="preserve">; </w:t>
      </w:r>
      <w:r w:rsidRPr="00A417B3">
        <w:rPr>
          <w:b/>
          <w:bCs/>
          <w:sz w:val="20"/>
          <w:szCs w:val="20"/>
        </w:rPr>
        <w:t>c</w:t>
      </w:r>
      <w:r>
        <w:rPr>
          <w:sz w:val="20"/>
          <w:szCs w:val="20"/>
        </w:rPr>
        <w:t xml:space="preserve">, </w:t>
      </w:r>
      <w:r w:rsidRPr="009347EF">
        <w:rPr>
          <w:sz w:val="20"/>
          <w:szCs w:val="20"/>
        </w:rPr>
        <w:t>Dotplot displaying GSEA enrichment result for significant pathways in MED12</w:t>
      </w:r>
      <w:r w:rsidRPr="009347EF">
        <w:rPr>
          <w:sz w:val="20"/>
          <w:szCs w:val="20"/>
          <w:vertAlign w:val="superscript"/>
        </w:rPr>
        <w:t>KO</w:t>
      </w:r>
      <w:r w:rsidRPr="009347EF">
        <w:rPr>
          <w:sz w:val="20"/>
          <w:szCs w:val="20"/>
        </w:rPr>
        <w:t xml:space="preserve"> vs. wt and MED12 subtype, where dot size is -log10 FDR and dot color is Normalized Enrichment Score (NES)</w:t>
      </w:r>
      <w:r>
        <w:rPr>
          <w:b/>
          <w:bCs/>
          <w:sz w:val="20"/>
          <w:szCs w:val="20"/>
        </w:rPr>
        <w:t xml:space="preserve">; d, </w:t>
      </w:r>
      <w:r w:rsidRPr="009347EF">
        <w:rPr>
          <w:sz w:val="20"/>
          <w:szCs w:val="20"/>
        </w:rPr>
        <w:t xml:space="preserve">Volcano plot illustrating significantly differentially expressed genes between LOUCY </w:t>
      </w:r>
      <w:r w:rsidRPr="005009EF">
        <w:rPr>
          <w:i/>
          <w:iCs/>
          <w:sz w:val="20"/>
          <w:szCs w:val="20"/>
        </w:rPr>
        <w:t>MED12</w:t>
      </w:r>
      <w:r w:rsidRPr="009347EF">
        <w:rPr>
          <w:sz w:val="20"/>
          <w:szCs w:val="20"/>
        </w:rPr>
        <w:t xml:space="preserve"> knockout (KO) and wild-type (WT) samples. The analysis is restricted to genes that exhibited differential expression in MED12 subtype</w:t>
      </w:r>
      <w:r>
        <w:rPr>
          <w:sz w:val="20"/>
          <w:szCs w:val="20"/>
        </w:rPr>
        <w:t>;</w:t>
      </w:r>
      <w:r>
        <w:rPr>
          <w:b/>
          <w:bCs/>
          <w:sz w:val="20"/>
          <w:szCs w:val="20"/>
        </w:rPr>
        <w:t xml:space="preserve"> e, </w:t>
      </w:r>
      <w:r w:rsidRPr="009347EF">
        <w:rPr>
          <w:sz w:val="20"/>
          <w:szCs w:val="20"/>
        </w:rPr>
        <w:t>Heatmap of select differentially expressed cell type markers. FDR is shown on the left, comparing MED12wt and MED12KO in LOUCY cell line</w:t>
      </w:r>
      <w:r>
        <w:rPr>
          <w:sz w:val="20"/>
          <w:szCs w:val="20"/>
        </w:rPr>
        <w:t xml:space="preserve">; </w:t>
      </w:r>
      <w:r w:rsidRPr="00A417B3">
        <w:rPr>
          <w:b/>
          <w:bCs/>
          <w:sz w:val="20"/>
          <w:szCs w:val="20"/>
        </w:rPr>
        <w:t>f</w:t>
      </w:r>
      <w:r>
        <w:rPr>
          <w:sz w:val="20"/>
          <w:szCs w:val="20"/>
        </w:rPr>
        <w:t xml:space="preserve">, </w:t>
      </w:r>
      <w:r w:rsidRPr="009347EF">
        <w:rPr>
          <w:sz w:val="20"/>
          <w:szCs w:val="20"/>
        </w:rPr>
        <w:t xml:space="preserve">Dotplot of panel </w:t>
      </w:r>
      <w:r>
        <w:rPr>
          <w:b/>
          <w:bCs/>
          <w:sz w:val="20"/>
          <w:szCs w:val="20"/>
        </w:rPr>
        <w:t>e</w:t>
      </w:r>
      <w:r w:rsidRPr="009347EF">
        <w:rPr>
          <w:sz w:val="20"/>
          <w:szCs w:val="20"/>
        </w:rPr>
        <w:t xml:space="preserve"> genes in normal healthy scRNA, depicting average expression (dot color) and detection percentage (dot size)</w:t>
      </w:r>
      <w:r>
        <w:rPr>
          <w:sz w:val="20"/>
          <w:szCs w:val="20"/>
        </w:rPr>
        <w:t>;</w:t>
      </w:r>
      <w:r>
        <w:rPr>
          <w:b/>
          <w:bCs/>
          <w:sz w:val="20"/>
          <w:szCs w:val="20"/>
        </w:rPr>
        <w:t xml:space="preserve"> g, </w:t>
      </w:r>
      <w:r w:rsidRPr="009347EF">
        <w:rPr>
          <w:sz w:val="20"/>
          <w:szCs w:val="20"/>
        </w:rPr>
        <w:t>Heatmap of HOXA gene expression, samples ordered by distance to HOXA9 TSS, and driver/alteration type annotations on top</w:t>
      </w:r>
      <w:r>
        <w:rPr>
          <w:sz w:val="20"/>
          <w:szCs w:val="20"/>
        </w:rPr>
        <w:t>;</w:t>
      </w:r>
      <w:r>
        <w:rPr>
          <w:b/>
          <w:bCs/>
          <w:sz w:val="20"/>
          <w:szCs w:val="20"/>
        </w:rPr>
        <w:t xml:space="preserve"> h, </w:t>
      </w:r>
      <w:r w:rsidRPr="009347EF">
        <w:rPr>
          <w:sz w:val="20"/>
          <w:szCs w:val="20"/>
        </w:rPr>
        <w:t>Oncoprint of ETP-like group altered drivers and pathways, divided by ETP-status, with Day29 MRD barplot, clinical characteristics, morphological response, relapses, and TCR rearrangement status annotations. FDR between ETP categories and genomics indicated on the plot's left</w:t>
      </w:r>
      <w:r>
        <w:rPr>
          <w:sz w:val="20"/>
          <w:szCs w:val="20"/>
        </w:rPr>
        <w:t>;</w:t>
      </w:r>
      <w:r>
        <w:rPr>
          <w:b/>
          <w:bCs/>
          <w:sz w:val="20"/>
          <w:szCs w:val="20"/>
        </w:rPr>
        <w:t xml:space="preserve"> i, </w:t>
      </w:r>
      <w:r w:rsidRPr="009347EF">
        <w:rPr>
          <w:sz w:val="20"/>
          <w:szCs w:val="20"/>
        </w:rPr>
        <w:t>Volcano plot depicting differential flow cytometry markers between ETP-like cases without TCR rearrangement versus those with TCRγδ rearrangement, with significantly altered markers labeled by protein names</w:t>
      </w:r>
      <w:r>
        <w:rPr>
          <w:sz w:val="20"/>
          <w:szCs w:val="20"/>
        </w:rPr>
        <w:t>;</w:t>
      </w:r>
      <w:r w:rsidRPr="009347EF">
        <w:rPr>
          <w:sz w:val="20"/>
          <w:szCs w:val="20"/>
        </w:rPr>
        <w:t xml:space="preserve"> </w:t>
      </w:r>
      <w:r>
        <w:rPr>
          <w:b/>
          <w:bCs/>
          <w:sz w:val="20"/>
          <w:szCs w:val="20"/>
        </w:rPr>
        <w:t xml:space="preserve">j, </w:t>
      </w:r>
      <w:r w:rsidRPr="00943FDA">
        <w:rPr>
          <w:sz w:val="20"/>
          <w:szCs w:val="20"/>
        </w:rPr>
        <w:t xml:space="preserve">Similar to </w:t>
      </w:r>
      <w:r>
        <w:rPr>
          <w:b/>
          <w:bCs/>
          <w:sz w:val="20"/>
          <w:szCs w:val="20"/>
        </w:rPr>
        <w:t>i</w:t>
      </w:r>
      <w:r w:rsidRPr="00943FDA">
        <w:rPr>
          <w:sz w:val="20"/>
          <w:szCs w:val="20"/>
        </w:rPr>
        <w:t>, this plot compares flow cytometry markers between ETP-like MLLT10 cases and other MLLT10 cases.</w:t>
      </w:r>
    </w:p>
    <w:p w14:paraId="67C1729E" w14:textId="77777777" w:rsidR="00C659E8" w:rsidRPr="009347EF" w:rsidRDefault="00C659E8" w:rsidP="00C659E8">
      <w:pPr>
        <w:rPr>
          <w:sz w:val="20"/>
          <w:szCs w:val="20"/>
        </w:rPr>
      </w:pPr>
    </w:p>
    <w:p w14:paraId="5DC202B9" w14:textId="77777777" w:rsidR="00252775" w:rsidRPr="009347EF" w:rsidRDefault="00252775" w:rsidP="00252775">
      <w:pPr>
        <w:rPr>
          <w:sz w:val="20"/>
          <w:szCs w:val="20"/>
        </w:rPr>
      </w:pPr>
    </w:p>
    <w:p w14:paraId="76EF62EC" w14:textId="77777777" w:rsidR="00252775" w:rsidRPr="009347EF" w:rsidRDefault="00252775" w:rsidP="00252775">
      <w:pPr>
        <w:rPr>
          <w:sz w:val="20"/>
          <w:szCs w:val="20"/>
        </w:rPr>
      </w:pPr>
      <w:r w:rsidRPr="009347EF">
        <w:rPr>
          <w:noProof/>
          <w:sz w:val="20"/>
          <w:szCs w:val="20"/>
        </w:rPr>
        <w:lastRenderedPageBreak/>
        <w:drawing>
          <wp:inline distT="0" distB="0" distL="0" distR="0" wp14:anchorId="0F6FD5E1" wp14:editId="506CC3AC">
            <wp:extent cx="5943600" cy="7260590"/>
            <wp:effectExtent l="0" t="0" r="0" b="3810"/>
            <wp:docPr id="1955949453" name="Picture 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49453" name="Picture 8" descr="A screenshot of a computer scree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7260590"/>
                    </a:xfrm>
                    <a:prstGeom prst="rect">
                      <a:avLst/>
                    </a:prstGeom>
                  </pic:spPr>
                </pic:pic>
              </a:graphicData>
            </a:graphic>
          </wp:inline>
        </w:drawing>
      </w:r>
    </w:p>
    <w:p w14:paraId="17E715FC" w14:textId="5B5D3384" w:rsidR="00C659E8" w:rsidRPr="00C3417C" w:rsidRDefault="00C659E8" w:rsidP="00C659E8">
      <w:pPr>
        <w:rPr>
          <w:b/>
          <w:bCs/>
          <w:sz w:val="20"/>
          <w:szCs w:val="20"/>
        </w:rPr>
      </w:pPr>
      <w:r w:rsidRPr="00C3417C">
        <w:rPr>
          <w:b/>
          <w:bCs/>
          <w:sz w:val="20"/>
          <w:szCs w:val="20"/>
        </w:rPr>
        <w:t xml:space="preserve">Extended </w:t>
      </w:r>
      <w:r>
        <w:rPr>
          <w:b/>
          <w:bCs/>
          <w:sz w:val="20"/>
          <w:szCs w:val="20"/>
        </w:rPr>
        <w:t xml:space="preserve">Data </w:t>
      </w:r>
      <w:r w:rsidRPr="00C3417C">
        <w:rPr>
          <w:b/>
          <w:bCs/>
          <w:sz w:val="20"/>
          <w:szCs w:val="20"/>
        </w:rPr>
        <w:t xml:space="preserve">Figure 8. T-ALL Genomic </w:t>
      </w:r>
      <w:r w:rsidR="00045E05">
        <w:rPr>
          <w:b/>
          <w:bCs/>
          <w:sz w:val="20"/>
          <w:szCs w:val="20"/>
        </w:rPr>
        <w:t>r</w:t>
      </w:r>
      <w:r w:rsidRPr="00C3417C">
        <w:rPr>
          <w:b/>
          <w:bCs/>
          <w:sz w:val="20"/>
          <w:szCs w:val="20"/>
        </w:rPr>
        <w:t xml:space="preserve">isk </w:t>
      </w:r>
      <w:r w:rsidR="00045E05">
        <w:rPr>
          <w:b/>
          <w:bCs/>
          <w:sz w:val="20"/>
          <w:szCs w:val="20"/>
        </w:rPr>
        <w:t>f</w:t>
      </w:r>
      <w:r w:rsidRPr="00C3417C">
        <w:rPr>
          <w:b/>
          <w:bCs/>
          <w:sz w:val="20"/>
          <w:szCs w:val="20"/>
        </w:rPr>
        <w:t xml:space="preserve">actors and </w:t>
      </w:r>
      <w:r w:rsidR="00045E05">
        <w:rPr>
          <w:b/>
          <w:bCs/>
          <w:sz w:val="20"/>
          <w:szCs w:val="20"/>
        </w:rPr>
        <w:t>c</w:t>
      </w:r>
      <w:r w:rsidRPr="00C3417C">
        <w:rPr>
          <w:b/>
          <w:bCs/>
          <w:sz w:val="20"/>
          <w:szCs w:val="20"/>
        </w:rPr>
        <w:t xml:space="preserve">linical </w:t>
      </w:r>
      <w:r w:rsidR="00045E05">
        <w:rPr>
          <w:b/>
          <w:bCs/>
          <w:sz w:val="20"/>
          <w:szCs w:val="20"/>
        </w:rPr>
        <w:t>o</w:t>
      </w:r>
      <w:r w:rsidRPr="00C3417C">
        <w:rPr>
          <w:b/>
          <w:bCs/>
          <w:sz w:val="20"/>
          <w:szCs w:val="20"/>
        </w:rPr>
        <w:t>utcomes considering MRD, DFS, OS</w:t>
      </w:r>
      <w:r>
        <w:rPr>
          <w:b/>
          <w:bCs/>
          <w:sz w:val="20"/>
          <w:szCs w:val="20"/>
        </w:rPr>
        <w:t xml:space="preserve">. </w:t>
      </w:r>
      <w:r w:rsidRPr="00C3417C">
        <w:rPr>
          <w:b/>
          <w:bCs/>
          <w:sz w:val="20"/>
          <w:szCs w:val="20"/>
        </w:rPr>
        <w:t>a</w:t>
      </w:r>
      <w:r>
        <w:rPr>
          <w:sz w:val="20"/>
          <w:szCs w:val="20"/>
        </w:rPr>
        <w:t>,</w:t>
      </w:r>
      <w:r w:rsidRPr="009347EF">
        <w:rPr>
          <w:sz w:val="20"/>
          <w:szCs w:val="20"/>
        </w:rPr>
        <w:t xml:space="preserve"> Proportions of induction failure and residual disease per genetic subtype</w:t>
      </w:r>
      <w:r>
        <w:rPr>
          <w:sz w:val="20"/>
          <w:szCs w:val="20"/>
        </w:rPr>
        <w:t>;</w:t>
      </w:r>
      <w:r>
        <w:rPr>
          <w:b/>
          <w:bCs/>
          <w:sz w:val="20"/>
          <w:szCs w:val="20"/>
        </w:rPr>
        <w:t xml:space="preserve"> </w:t>
      </w:r>
      <w:r w:rsidRPr="00C3417C">
        <w:rPr>
          <w:b/>
          <w:bCs/>
          <w:sz w:val="20"/>
          <w:szCs w:val="20"/>
        </w:rPr>
        <w:t>b</w:t>
      </w:r>
      <w:r>
        <w:rPr>
          <w:sz w:val="20"/>
          <w:szCs w:val="20"/>
        </w:rPr>
        <w:t>,</w:t>
      </w:r>
      <w:r w:rsidRPr="009347EF">
        <w:rPr>
          <w:sz w:val="20"/>
          <w:szCs w:val="20"/>
        </w:rPr>
        <w:t xml:space="preserve"> Oncoprint of alterations significantly associated with MRD. Log odds ratios and confidence intervals presented on the left from Firth penalized logistic regression. Day29 MRD displayed as a barplot on top alongside other clinical annotations. Genomic data was divided to Residual disease, and Negative groups</w:t>
      </w:r>
      <w:r>
        <w:rPr>
          <w:sz w:val="20"/>
          <w:szCs w:val="20"/>
        </w:rPr>
        <w:t xml:space="preserve">; </w:t>
      </w:r>
      <w:r w:rsidRPr="00C3417C">
        <w:rPr>
          <w:b/>
          <w:bCs/>
          <w:sz w:val="20"/>
          <w:szCs w:val="20"/>
        </w:rPr>
        <w:t>c</w:t>
      </w:r>
      <w:r>
        <w:rPr>
          <w:sz w:val="20"/>
          <w:szCs w:val="20"/>
        </w:rPr>
        <w:t>,</w:t>
      </w:r>
      <w:r w:rsidRPr="009347EF">
        <w:rPr>
          <w:sz w:val="20"/>
          <w:szCs w:val="20"/>
        </w:rPr>
        <w:t xml:space="preserve"> Forest plot </w:t>
      </w:r>
      <w:r w:rsidRPr="009347EF">
        <w:rPr>
          <w:sz w:val="20"/>
          <w:szCs w:val="20"/>
        </w:rPr>
        <w:lastRenderedPageBreak/>
        <w:t>illustrating hazard ratios and 95th percentile confidence intervals for subtypes and genetic subtypes, considering DFS and OS as outcomes. Significant associations highlighted in red</w:t>
      </w:r>
      <w:r>
        <w:rPr>
          <w:sz w:val="20"/>
          <w:szCs w:val="20"/>
        </w:rPr>
        <w:t>.</w:t>
      </w:r>
    </w:p>
    <w:p w14:paraId="174329DC" w14:textId="77777777" w:rsidR="00C659E8" w:rsidRPr="006664CF" w:rsidRDefault="00C659E8" w:rsidP="00C659E8">
      <w:pPr>
        <w:rPr>
          <w:b/>
          <w:bCs/>
          <w:sz w:val="20"/>
          <w:szCs w:val="20"/>
        </w:rPr>
      </w:pPr>
    </w:p>
    <w:p w14:paraId="63DEAF5E" w14:textId="77777777" w:rsidR="00252775" w:rsidRPr="009347EF" w:rsidRDefault="00252775" w:rsidP="00252775">
      <w:pPr>
        <w:rPr>
          <w:sz w:val="20"/>
          <w:szCs w:val="20"/>
        </w:rPr>
      </w:pPr>
      <w:r w:rsidRPr="009347EF">
        <w:rPr>
          <w:sz w:val="20"/>
          <w:szCs w:val="20"/>
        </w:rPr>
        <w:br w:type="page"/>
      </w:r>
    </w:p>
    <w:p w14:paraId="53D44E17" w14:textId="264BF155" w:rsidR="00C659E8" w:rsidRPr="00953090" w:rsidRDefault="00252775" w:rsidP="00C659E8">
      <w:pPr>
        <w:rPr>
          <w:b/>
          <w:bCs/>
          <w:sz w:val="20"/>
          <w:szCs w:val="20"/>
        </w:rPr>
      </w:pPr>
      <w:r w:rsidRPr="007A3F1E">
        <w:rPr>
          <w:b/>
          <w:bCs/>
          <w:noProof/>
          <w:sz w:val="20"/>
          <w:szCs w:val="20"/>
        </w:rPr>
        <w:lastRenderedPageBreak/>
        <w:drawing>
          <wp:inline distT="0" distB="0" distL="0" distR="0" wp14:anchorId="779B7A64" wp14:editId="22B35786">
            <wp:extent cx="5943600" cy="6332220"/>
            <wp:effectExtent l="0" t="0" r="0" b="5080"/>
            <wp:docPr id="1203201685"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201685" name="Picture 4" descr="A screenshot of a graph&#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6332220"/>
                    </a:xfrm>
                    <a:prstGeom prst="rect">
                      <a:avLst/>
                    </a:prstGeom>
                  </pic:spPr>
                </pic:pic>
              </a:graphicData>
            </a:graphic>
          </wp:inline>
        </w:drawing>
      </w:r>
      <w:r w:rsidR="00C659E8" w:rsidRPr="00C659E8">
        <w:rPr>
          <w:b/>
          <w:bCs/>
          <w:sz w:val="20"/>
          <w:szCs w:val="20"/>
        </w:rPr>
        <w:t xml:space="preserve"> </w:t>
      </w:r>
      <w:r w:rsidR="00C659E8" w:rsidRPr="00953090">
        <w:rPr>
          <w:b/>
          <w:bCs/>
          <w:sz w:val="20"/>
          <w:szCs w:val="20"/>
        </w:rPr>
        <w:t xml:space="preserve">Extended Data Figure 9. Genomic </w:t>
      </w:r>
      <w:r w:rsidR="00412C39">
        <w:rPr>
          <w:b/>
          <w:bCs/>
          <w:sz w:val="20"/>
          <w:szCs w:val="20"/>
        </w:rPr>
        <w:t>r</w:t>
      </w:r>
      <w:r w:rsidR="00C659E8" w:rsidRPr="00953090">
        <w:rPr>
          <w:b/>
          <w:bCs/>
          <w:sz w:val="20"/>
          <w:szCs w:val="20"/>
        </w:rPr>
        <w:t xml:space="preserve">isk </w:t>
      </w:r>
      <w:r w:rsidR="00412C39">
        <w:rPr>
          <w:b/>
          <w:bCs/>
          <w:sz w:val="20"/>
          <w:szCs w:val="20"/>
        </w:rPr>
        <w:t>f</w:t>
      </w:r>
      <w:r w:rsidR="00C659E8" w:rsidRPr="00953090">
        <w:rPr>
          <w:b/>
          <w:bCs/>
          <w:sz w:val="20"/>
          <w:szCs w:val="20"/>
        </w:rPr>
        <w:t xml:space="preserve">actors and </w:t>
      </w:r>
      <w:r w:rsidR="00412C39">
        <w:rPr>
          <w:b/>
          <w:bCs/>
          <w:sz w:val="20"/>
          <w:szCs w:val="20"/>
        </w:rPr>
        <w:t>c</w:t>
      </w:r>
      <w:r w:rsidR="00C659E8" w:rsidRPr="00953090">
        <w:rPr>
          <w:b/>
          <w:bCs/>
          <w:sz w:val="20"/>
          <w:szCs w:val="20"/>
        </w:rPr>
        <w:t xml:space="preserve">umulative </w:t>
      </w:r>
      <w:r w:rsidR="00412C39">
        <w:rPr>
          <w:b/>
          <w:bCs/>
          <w:sz w:val="20"/>
          <w:szCs w:val="20"/>
        </w:rPr>
        <w:t>i</w:t>
      </w:r>
      <w:r w:rsidR="00C659E8" w:rsidRPr="00953090">
        <w:rPr>
          <w:b/>
          <w:bCs/>
          <w:sz w:val="20"/>
          <w:szCs w:val="20"/>
        </w:rPr>
        <w:t xml:space="preserve">ncidence of </w:t>
      </w:r>
      <w:r w:rsidR="00412C39">
        <w:rPr>
          <w:b/>
          <w:bCs/>
          <w:sz w:val="20"/>
          <w:szCs w:val="20"/>
        </w:rPr>
        <w:t>r</w:t>
      </w:r>
      <w:r w:rsidR="00C659E8" w:rsidRPr="00953090">
        <w:rPr>
          <w:b/>
          <w:bCs/>
          <w:sz w:val="20"/>
          <w:szCs w:val="20"/>
        </w:rPr>
        <w:t>elapse in T-ALL</w:t>
      </w:r>
      <w:r w:rsidR="00C659E8">
        <w:rPr>
          <w:b/>
          <w:bCs/>
          <w:sz w:val="20"/>
          <w:szCs w:val="20"/>
        </w:rPr>
        <w:t xml:space="preserve">. </w:t>
      </w:r>
      <w:r w:rsidR="00C659E8" w:rsidRPr="00953090">
        <w:rPr>
          <w:b/>
          <w:bCs/>
          <w:sz w:val="20"/>
          <w:szCs w:val="20"/>
        </w:rPr>
        <w:t>a</w:t>
      </w:r>
      <w:r w:rsidR="00C659E8">
        <w:rPr>
          <w:sz w:val="20"/>
          <w:szCs w:val="20"/>
        </w:rPr>
        <w:t>,</w:t>
      </w:r>
      <w:r w:rsidR="00C659E8" w:rsidRPr="009347EF">
        <w:rPr>
          <w:sz w:val="20"/>
          <w:szCs w:val="20"/>
        </w:rPr>
        <w:t xml:space="preserve"> Forest plot depicting hazard ratios and 95th percentile confidence intervals for variants, utilizing EFS, DFS, and OS as outcomes. Significant associations are highlighted in red</w:t>
      </w:r>
      <w:r w:rsidR="00C659E8">
        <w:rPr>
          <w:sz w:val="20"/>
          <w:szCs w:val="20"/>
        </w:rPr>
        <w:t xml:space="preserve">; </w:t>
      </w:r>
      <w:r w:rsidR="00C659E8" w:rsidRPr="00953090">
        <w:rPr>
          <w:b/>
          <w:bCs/>
          <w:sz w:val="20"/>
          <w:szCs w:val="20"/>
        </w:rPr>
        <w:t>b</w:t>
      </w:r>
      <w:r w:rsidR="00C659E8">
        <w:rPr>
          <w:sz w:val="20"/>
          <w:szCs w:val="20"/>
        </w:rPr>
        <w:t xml:space="preserve">, </w:t>
      </w:r>
      <w:r w:rsidR="00C659E8" w:rsidRPr="009347EF">
        <w:rPr>
          <w:sz w:val="20"/>
          <w:szCs w:val="20"/>
        </w:rPr>
        <w:t>The Kaplan-Meier curve</w:t>
      </w:r>
      <w:r w:rsidR="00C659E8">
        <w:rPr>
          <w:sz w:val="20"/>
          <w:szCs w:val="20"/>
        </w:rPr>
        <w:t xml:space="preserve"> of NOTCH pathway mutated vs. not mutated cases, divided by MRD percentage (%); </w:t>
      </w:r>
      <w:r w:rsidR="00C659E8" w:rsidRPr="00953090">
        <w:rPr>
          <w:b/>
          <w:bCs/>
          <w:sz w:val="20"/>
          <w:szCs w:val="20"/>
        </w:rPr>
        <w:t>c</w:t>
      </w:r>
      <w:r w:rsidR="00C659E8">
        <w:rPr>
          <w:sz w:val="20"/>
          <w:szCs w:val="20"/>
        </w:rPr>
        <w:t>,</w:t>
      </w:r>
      <w:r w:rsidR="00C659E8" w:rsidRPr="009347EF">
        <w:rPr>
          <w:sz w:val="20"/>
          <w:szCs w:val="20"/>
        </w:rPr>
        <w:t xml:space="preserve"> Cumulative incidence of relapse plot, revealing distinct risk disparities between PI3K and Notch pathway alterations</w:t>
      </w:r>
      <w:r w:rsidR="00C659E8">
        <w:rPr>
          <w:sz w:val="20"/>
          <w:szCs w:val="20"/>
        </w:rPr>
        <w:t>;</w:t>
      </w:r>
    </w:p>
    <w:p w14:paraId="12C4A56B" w14:textId="77777777" w:rsidR="00C659E8" w:rsidRDefault="00C659E8" w:rsidP="00C659E8">
      <w:pPr>
        <w:rPr>
          <w:sz w:val="20"/>
          <w:szCs w:val="20"/>
        </w:rPr>
      </w:pPr>
      <w:r w:rsidRPr="00953090">
        <w:rPr>
          <w:b/>
          <w:bCs/>
          <w:sz w:val="20"/>
          <w:szCs w:val="20"/>
        </w:rPr>
        <w:t>d</w:t>
      </w:r>
      <w:r>
        <w:rPr>
          <w:sz w:val="20"/>
          <w:szCs w:val="20"/>
        </w:rPr>
        <w:t>,</w:t>
      </w:r>
      <w:r w:rsidRPr="009347EF">
        <w:rPr>
          <w:sz w:val="20"/>
          <w:szCs w:val="20"/>
        </w:rPr>
        <w:t xml:space="preserve"> Comparison of </w:t>
      </w:r>
      <w:r w:rsidRPr="005009EF">
        <w:rPr>
          <w:i/>
          <w:iCs/>
          <w:sz w:val="20"/>
          <w:szCs w:val="20"/>
        </w:rPr>
        <w:t>PTEN</w:t>
      </w:r>
      <w:r w:rsidRPr="009347EF">
        <w:rPr>
          <w:sz w:val="20"/>
          <w:szCs w:val="20"/>
        </w:rPr>
        <w:t xml:space="preserve"> deletions to other </w:t>
      </w:r>
      <w:r w:rsidRPr="005009EF">
        <w:rPr>
          <w:i/>
          <w:iCs/>
          <w:sz w:val="20"/>
          <w:szCs w:val="20"/>
        </w:rPr>
        <w:t>PTEN</w:t>
      </w:r>
      <w:r w:rsidRPr="009347EF">
        <w:rPr>
          <w:sz w:val="20"/>
          <w:szCs w:val="20"/>
        </w:rPr>
        <w:t xml:space="preserve"> alterations in terms of cumulative relapse incidence</w:t>
      </w:r>
      <w:r>
        <w:rPr>
          <w:sz w:val="20"/>
          <w:szCs w:val="20"/>
        </w:rPr>
        <w:t xml:space="preserve">; </w:t>
      </w:r>
      <w:r w:rsidRPr="00953090">
        <w:rPr>
          <w:b/>
          <w:bCs/>
          <w:sz w:val="20"/>
          <w:szCs w:val="20"/>
        </w:rPr>
        <w:t>e</w:t>
      </w:r>
      <w:r>
        <w:rPr>
          <w:sz w:val="20"/>
          <w:szCs w:val="20"/>
        </w:rPr>
        <w:t>,</w:t>
      </w:r>
      <w:r w:rsidRPr="009347EF">
        <w:rPr>
          <w:sz w:val="20"/>
          <w:szCs w:val="20"/>
        </w:rPr>
        <w:t xml:space="preserve"> Comparison of </w:t>
      </w:r>
      <w:r w:rsidRPr="005009EF">
        <w:rPr>
          <w:i/>
          <w:iCs/>
          <w:sz w:val="20"/>
          <w:szCs w:val="20"/>
        </w:rPr>
        <w:t>NOTCH1</w:t>
      </w:r>
      <w:r w:rsidRPr="009347EF">
        <w:rPr>
          <w:sz w:val="20"/>
          <w:szCs w:val="20"/>
        </w:rPr>
        <w:t xml:space="preserve"> intragenic loss to other </w:t>
      </w:r>
      <w:r w:rsidRPr="005009EF">
        <w:rPr>
          <w:i/>
          <w:iCs/>
          <w:sz w:val="20"/>
          <w:szCs w:val="20"/>
        </w:rPr>
        <w:t>NOTCH1</w:t>
      </w:r>
      <w:r w:rsidRPr="009347EF">
        <w:rPr>
          <w:sz w:val="20"/>
          <w:szCs w:val="20"/>
        </w:rPr>
        <w:t xml:space="preserve"> alterations regarding cumulative relapse incidence</w:t>
      </w:r>
      <w:r>
        <w:rPr>
          <w:sz w:val="20"/>
          <w:szCs w:val="20"/>
        </w:rPr>
        <w:t xml:space="preserve">; </w:t>
      </w:r>
      <w:r w:rsidRPr="00953090">
        <w:rPr>
          <w:b/>
          <w:bCs/>
          <w:sz w:val="20"/>
          <w:szCs w:val="20"/>
        </w:rPr>
        <w:t>f</w:t>
      </w:r>
      <w:r>
        <w:rPr>
          <w:sz w:val="20"/>
          <w:szCs w:val="20"/>
        </w:rPr>
        <w:t>,</w:t>
      </w:r>
      <w:r w:rsidRPr="009347EF">
        <w:rPr>
          <w:sz w:val="20"/>
          <w:szCs w:val="20"/>
        </w:rPr>
        <w:t xml:space="preserve"> Comparison of </w:t>
      </w:r>
      <w:r w:rsidRPr="005009EF">
        <w:rPr>
          <w:i/>
          <w:iCs/>
          <w:sz w:val="20"/>
          <w:szCs w:val="20"/>
        </w:rPr>
        <w:t>MYC TCR</w:t>
      </w:r>
      <w:r w:rsidRPr="009347EF">
        <w:rPr>
          <w:sz w:val="20"/>
          <w:szCs w:val="20"/>
        </w:rPr>
        <w:t xml:space="preserve"> alterations to other </w:t>
      </w:r>
      <w:r w:rsidRPr="005009EF">
        <w:rPr>
          <w:i/>
          <w:iCs/>
          <w:sz w:val="20"/>
          <w:szCs w:val="20"/>
        </w:rPr>
        <w:t>MYC</w:t>
      </w:r>
      <w:r w:rsidRPr="009347EF">
        <w:rPr>
          <w:sz w:val="20"/>
          <w:szCs w:val="20"/>
        </w:rPr>
        <w:t xml:space="preserve"> alterations in relation to cumulative relapse incidence</w:t>
      </w:r>
      <w:r>
        <w:rPr>
          <w:sz w:val="20"/>
          <w:szCs w:val="20"/>
        </w:rPr>
        <w:t xml:space="preserve">; </w:t>
      </w:r>
      <w:r w:rsidRPr="00953090">
        <w:rPr>
          <w:b/>
          <w:bCs/>
          <w:sz w:val="20"/>
          <w:szCs w:val="20"/>
        </w:rPr>
        <w:t>g</w:t>
      </w:r>
      <w:r>
        <w:rPr>
          <w:sz w:val="20"/>
          <w:szCs w:val="20"/>
        </w:rPr>
        <w:t>,</w:t>
      </w:r>
      <w:r w:rsidRPr="009347EF">
        <w:rPr>
          <w:sz w:val="20"/>
          <w:szCs w:val="20"/>
        </w:rPr>
        <w:t xml:space="preserve"> Comparison of </w:t>
      </w:r>
      <w:r w:rsidRPr="005009EF">
        <w:rPr>
          <w:i/>
          <w:iCs/>
          <w:sz w:val="20"/>
          <w:szCs w:val="20"/>
        </w:rPr>
        <w:t>LMO2</w:t>
      </w:r>
      <w:r w:rsidRPr="009347EF">
        <w:rPr>
          <w:sz w:val="20"/>
          <w:szCs w:val="20"/>
        </w:rPr>
        <w:t xml:space="preserve"> intergenic loss to other </w:t>
      </w:r>
      <w:r w:rsidRPr="005009EF">
        <w:rPr>
          <w:i/>
          <w:iCs/>
          <w:sz w:val="20"/>
          <w:szCs w:val="20"/>
        </w:rPr>
        <w:t>LMO2</w:t>
      </w:r>
      <w:r w:rsidRPr="009347EF">
        <w:rPr>
          <w:sz w:val="20"/>
          <w:szCs w:val="20"/>
        </w:rPr>
        <w:t xml:space="preserve"> alterations with respect to cumulative relapse incidence</w:t>
      </w:r>
      <w:r>
        <w:rPr>
          <w:sz w:val="20"/>
          <w:szCs w:val="20"/>
        </w:rPr>
        <w:t xml:space="preserve">; </w:t>
      </w:r>
      <w:r w:rsidRPr="00953090">
        <w:rPr>
          <w:b/>
          <w:bCs/>
          <w:sz w:val="20"/>
          <w:szCs w:val="20"/>
        </w:rPr>
        <w:t>h</w:t>
      </w:r>
      <w:r>
        <w:rPr>
          <w:sz w:val="20"/>
          <w:szCs w:val="20"/>
        </w:rPr>
        <w:t>,</w:t>
      </w:r>
      <w:r w:rsidRPr="009347EF">
        <w:rPr>
          <w:sz w:val="20"/>
          <w:szCs w:val="20"/>
        </w:rPr>
        <w:t xml:space="preserve"> Comparison of </w:t>
      </w:r>
      <w:r w:rsidRPr="005009EF">
        <w:rPr>
          <w:i/>
          <w:iCs/>
          <w:sz w:val="20"/>
          <w:szCs w:val="20"/>
        </w:rPr>
        <w:t>TAL1</w:t>
      </w:r>
      <w:r w:rsidRPr="009347EF">
        <w:rPr>
          <w:sz w:val="20"/>
          <w:szCs w:val="20"/>
        </w:rPr>
        <w:t xml:space="preserve"> upstream enhancer Indel to other </w:t>
      </w:r>
      <w:r w:rsidRPr="005009EF">
        <w:rPr>
          <w:i/>
          <w:iCs/>
          <w:sz w:val="20"/>
          <w:szCs w:val="20"/>
        </w:rPr>
        <w:t>TAL1</w:t>
      </w:r>
      <w:r w:rsidRPr="009347EF">
        <w:rPr>
          <w:sz w:val="20"/>
          <w:szCs w:val="20"/>
        </w:rPr>
        <w:t xml:space="preserve"> alterations in terms of cumulative relapse incidence</w:t>
      </w:r>
      <w:r>
        <w:rPr>
          <w:sz w:val="20"/>
          <w:szCs w:val="20"/>
        </w:rPr>
        <w:t xml:space="preserve">; </w:t>
      </w:r>
      <w:r w:rsidRPr="00953090">
        <w:rPr>
          <w:b/>
          <w:bCs/>
          <w:sz w:val="20"/>
          <w:szCs w:val="20"/>
        </w:rPr>
        <w:t>i</w:t>
      </w:r>
      <w:r w:rsidRPr="009347EF">
        <w:rPr>
          <w:sz w:val="20"/>
          <w:szCs w:val="20"/>
        </w:rPr>
        <w:t xml:space="preserve">. Comparison of TAL1 genetic subtypes in relation to </w:t>
      </w:r>
      <w:r w:rsidRPr="009347EF">
        <w:rPr>
          <w:sz w:val="20"/>
          <w:szCs w:val="20"/>
        </w:rPr>
        <w:lastRenderedPageBreak/>
        <w:t>cumulative relapse incidence</w:t>
      </w:r>
      <w:r>
        <w:rPr>
          <w:sz w:val="20"/>
          <w:szCs w:val="20"/>
        </w:rPr>
        <w:t xml:space="preserve">; </w:t>
      </w:r>
      <w:r w:rsidRPr="00953090">
        <w:rPr>
          <w:b/>
          <w:bCs/>
          <w:sz w:val="20"/>
          <w:szCs w:val="20"/>
        </w:rPr>
        <w:t>j</w:t>
      </w:r>
      <w:r>
        <w:rPr>
          <w:sz w:val="20"/>
          <w:szCs w:val="20"/>
        </w:rPr>
        <w:t>,</w:t>
      </w:r>
      <w:r w:rsidRPr="009347EF">
        <w:rPr>
          <w:sz w:val="20"/>
          <w:szCs w:val="20"/>
        </w:rPr>
        <w:t xml:space="preserve"> Contingency table comparing </w:t>
      </w:r>
      <w:r w:rsidRPr="005009EF">
        <w:rPr>
          <w:i/>
          <w:iCs/>
          <w:sz w:val="20"/>
          <w:szCs w:val="20"/>
        </w:rPr>
        <w:t>TAL1</w:t>
      </w:r>
      <w:r w:rsidRPr="009347EF">
        <w:rPr>
          <w:sz w:val="20"/>
          <w:szCs w:val="20"/>
        </w:rPr>
        <w:t xml:space="preserve"> upstream enhancer Indel and </w:t>
      </w:r>
      <w:r w:rsidRPr="005009EF">
        <w:rPr>
          <w:i/>
          <w:iCs/>
          <w:sz w:val="20"/>
          <w:szCs w:val="20"/>
        </w:rPr>
        <w:t>LMO1 TCR</w:t>
      </w:r>
      <w:r w:rsidRPr="009347EF">
        <w:rPr>
          <w:sz w:val="20"/>
          <w:szCs w:val="20"/>
        </w:rPr>
        <w:t xml:space="preserve"> to induction failure, demonstrating no association.</w:t>
      </w:r>
    </w:p>
    <w:p w14:paraId="75C6605B" w14:textId="77777777" w:rsidR="00AF3BF7" w:rsidRDefault="00AF3BF7" w:rsidP="00C659E8">
      <w:pPr>
        <w:rPr>
          <w:sz w:val="20"/>
          <w:szCs w:val="20"/>
        </w:rPr>
      </w:pPr>
    </w:p>
    <w:p w14:paraId="1D0AC447" w14:textId="77777777" w:rsidR="00C659E8" w:rsidRDefault="00C659E8" w:rsidP="00C659E8">
      <w:pPr>
        <w:rPr>
          <w:sz w:val="20"/>
          <w:szCs w:val="20"/>
        </w:rPr>
      </w:pPr>
    </w:p>
    <w:p w14:paraId="48C0F533" w14:textId="3B73C15A" w:rsidR="00C659E8" w:rsidRPr="000F7110" w:rsidRDefault="00252775" w:rsidP="00C659E8">
      <w:pPr>
        <w:rPr>
          <w:b/>
          <w:bCs/>
          <w:sz w:val="20"/>
          <w:szCs w:val="20"/>
        </w:rPr>
      </w:pPr>
      <w:r>
        <w:rPr>
          <w:noProof/>
          <w:sz w:val="20"/>
          <w:szCs w:val="20"/>
        </w:rPr>
        <w:drawing>
          <wp:inline distT="0" distB="0" distL="0" distR="0" wp14:anchorId="553179A2" wp14:editId="50C79F4C">
            <wp:extent cx="5943600" cy="5421664"/>
            <wp:effectExtent l="0" t="0" r="0" b="1270"/>
            <wp:docPr id="1846349106"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349106" name="Picture 3" descr="A screenshot of a graph&#10;&#10;Description automatically generated"/>
                    <pic:cNvPicPr/>
                  </pic:nvPicPr>
                  <pic:blipFill rotWithShape="1">
                    <a:blip r:embed="rId18" cstate="print">
                      <a:extLst>
                        <a:ext uri="{28A0092B-C50C-407E-A947-70E740481C1C}">
                          <a14:useLocalDpi xmlns:a14="http://schemas.microsoft.com/office/drawing/2010/main" val="0"/>
                        </a:ext>
                      </a:extLst>
                    </a:blip>
                    <a:srcRect b="3284"/>
                    <a:stretch/>
                  </pic:blipFill>
                  <pic:spPr bwMode="auto">
                    <a:xfrm>
                      <a:off x="0" y="0"/>
                      <a:ext cx="5943600" cy="5421664"/>
                    </a:xfrm>
                    <a:prstGeom prst="rect">
                      <a:avLst/>
                    </a:prstGeom>
                    <a:ln>
                      <a:noFill/>
                    </a:ln>
                    <a:extLst>
                      <a:ext uri="{53640926-AAD7-44D8-BBD7-CCE9431645EC}">
                        <a14:shadowObscured xmlns:a14="http://schemas.microsoft.com/office/drawing/2010/main"/>
                      </a:ext>
                    </a:extLst>
                  </pic:spPr>
                </pic:pic>
              </a:graphicData>
            </a:graphic>
          </wp:inline>
        </w:drawing>
      </w:r>
      <w:r w:rsidR="00C659E8" w:rsidRPr="00C659E8">
        <w:rPr>
          <w:b/>
          <w:bCs/>
          <w:sz w:val="20"/>
          <w:szCs w:val="20"/>
        </w:rPr>
        <w:t xml:space="preserve"> </w:t>
      </w:r>
      <w:r w:rsidR="00C659E8" w:rsidRPr="00953090">
        <w:rPr>
          <w:b/>
          <w:bCs/>
          <w:sz w:val="20"/>
          <w:szCs w:val="20"/>
        </w:rPr>
        <w:t>Extended</w:t>
      </w:r>
      <w:r w:rsidR="005C31AC">
        <w:rPr>
          <w:b/>
          <w:bCs/>
          <w:sz w:val="20"/>
          <w:szCs w:val="20"/>
        </w:rPr>
        <w:t xml:space="preserve"> Data</w:t>
      </w:r>
      <w:r w:rsidR="00C659E8" w:rsidRPr="00953090">
        <w:rPr>
          <w:b/>
          <w:bCs/>
          <w:sz w:val="20"/>
          <w:szCs w:val="20"/>
        </w:rPr>
        <w:t xml:space="preserve"> Figure 10. Multivariable outcome</w:t>
      </w:r>
      <w:r w:rsidR="00C659E8">
        <w:rPr>
          <w:b/>
          <w:bCs/>
          <w:sz w:val="20"/>
          <w:szCs w:val="20"/>
        </w:rPr>
        <w:t xml:space="preserve"> model evaluation. a, </w:t>
      </w:r>
      <w:r w:rsidR="00C659E8" w:rsidRPr="00953090">
        <w:rPr>
          <w:sz w:val="20"/>
          <w:szCs w:val="20"/>
        </w:rPr>
        <w:t xml:space="preserve">The mean validation concordance and associated 95% confidence intervals are shown, derived from 100 random splits (70% training, 30% validation) of the data for three distinct survival models. These models were fitted using different data types, with binary Day29 MRD (≥0.01%) employed as the baseline, shown as red line. The baseline condordance results are denoted by grey rectangles, where binary MRD, numeric MRD, and a combination of clinical features (MRD, Sex, WBC, CNS) and previously reported </w:t>
      </w:r>
      <w:r w:rsidR="00C659E8">
        <w:rPr>
          <w:sz w:val="20"/>
          <w:szCs w:val="20"/>
        </w:rPr>
        <w:t xml:space="preserve"> four </w:t>
      </w:r>
      <w:r w:rsidR="00C659E8" w:rsidRPr="00953090">
        <w:rPr>
          <w:sz w:val="20"/>
          <w:szCs w:val="20"/>
        </w:rPr>
        <w:t>gene classifier are shown. The blue rectangle represents models fitted using single data types, including numeric MRD, Sex, WBC, and CNS as predictors. The pink rectangles denote combinations of genomic and clinical features. Model coefficient numbers are shown on top of the figure as barplots for penalized Cox regression and Survival Trees. Model concordance is shown on top of the best performing model for each algorithm and highest concordance annotated as blue line. Select subtype denotes data where the main subtype is further divided into genetic subtypes when available</w:t>
      </w:r>
      <w:r w:rsidR="00C659E8">
        <w:rPr>
          <w:sz w:val="20"/>
          <w:szCs w:val="20"/>
        </w:rPr>
        <w:t xml:space="preserve">; </w:t>
      </w:r>
      <w:r w:rsidR="00C659E8" w:rsidRPr="00953090">
        <w:rPr>
          <w:b/>
          <w:bCs/>
          <w:sz w:val="20"/>
          <w:szCs w:val="20"/>
        </w:rPr>
        <w:t>b</w:t>
      </w:r>
      <w:r w:rsidR="00C659E8">
        <w:rPr>
          <w:b/>
          <w:bCs/>
          <w:sz w:val="20"/>
          <w:szCs w:val="20"/>
        </w:rPr>
        <w:t xml:space="preserve">, </w:t>
      </w:r>
      <w:r w:rsidR="00C659E8" w:rsidRPr="00953090">
        <w:rPr>
          <w:sz w:val="20"/>
          <w:szCs w:val="20"/>
        </w:rPr>
        <w:t>This stacked barplot portrays a four-node survival tree that was generated from 1000 bootstrap resamples. The proportion of bootstrap samples in which each subtype was classified into various risk groups is shown</w:t>
      </w:r>
      <w:r w:rsidR="00C659E8">
        <w:rPr>
          <w:sz w:val="20"/>
          <w:szCs w:val="20"/>
        </w:rPr>
        <w:t>;</w:t>
      </w:r>
      <w:r w:rsidR="00C659E8">
        <w:rPr>
          <w:b/>
          <w:bCs/>
          <w:sz w:val="20"/>
          <w:szCs w:val="20"/>
        </w:rPr>
        <w:t xml:space="preserve"> c, </w:t>
      </w:r>
      <w:r w:rsidR="00C659E8" w:rsidRPr="00953090">
        <w:rPr>
          <w:sz w:val="20"/>
          <w:szCs w:val="20"/>
        </w:rPr>
        <w:t xml:space="preserve">The Kaplan-Meier curve illustrates the risk score (divided into four quartiles) derived from a penalized Cox regression multivariable model, </w:t>
      </w:r>
      <w:r w:rsidR="00C659E8" w:rsidRPr="00953090">
        <w:rPr>
          <w:sz w:val="20"/>
          <w:szCs w:val="20"/>
        </w:rPr>
        <w:lastRenderedPageBreak/>
        <w:t>limited to ETP-IP cases. Log-rank test p-value is shown</w:t>
      </w:r>
      <w:r w:rsidR="00C659E8">
        <w:rPr>
          <w:sz w:val="20"/>
          <w:szCs w:val="20"/>
        </w:rPr>
        <w:t xml:space="preserve">; </w:t>
      </w:r>
      <w:r w:rsidR="00C659E8" w:rsidRPr="00953090">
        <w:rPr>
          <w:b/>
          <w:bCs/>
          <w:sz w:val="20"/>
          <w:szCs w:val="20"/>
        </w:rPr>
        <w:t>d</w:t>
      </w:r>
      <w:r w:rsidR="00C659E8">
        <w:rPr>
          <w:sz w:val="20"/>
          <w:szCs w:val="20"/>
        </w:rPr>
        <w:t xml:space="preserve">, </w:t>
      </w:r>
      <w:r w:rsidR="00C659E8" w:rsidRPr="00953090">
        <w:rPr>
          <w:sz w:val="20"/>
          <w:szCs w:val="20"/>
        </w:rPr>
        <w:t xml:space="preserve">Same as </w:t>
      </w:r>
      <w:r w:rsidR="00C659E8">
        <w:rPr>
          <w:b/>
          <w:bCs/>
          <w:sz w:val="20"/>
          <w:szCs w:val="20"/>
        </w:rPr>
        <w:t>c</w:t>
      </w:r>
      <w:r w:rsidR="00C659E8" w:rsidRPr="00953090">
        <w:rPr>
          <w:sz w:val="20"/>
          <w:szCs w:val="20"/>
        </w:rPr>
        <w:t>, for Near-ETP-IP cases</w:t>
      </w:r>
      <w:r w:rsidR="00C659E8">
        <w:rPr>
          <w:sz w:val="20"/>
          <w:szCs w:val="20"/>
        </w:rPr>
        <w:t>;</w:t>
      </w:r>
      <w:r w:rsidR="00C659E8">
        <w:rPr>
          <w:b/>
          <w:bCs/>
          <w:sz w:val="20"/>
          <w:szCs w:val="20"/>
        </w:rPr>
        <w:t xml:space="preserve"> e, </w:t>
      </w:r>
      <w:r w:rsidR="00C659E8" w:rsidRPr="000F7110">
        <w:rPr>
          <w:sz w:val="20"/>
          <w:szCs w:val="20"/>
        </w:rPr>
        <w:t xml:space="preserve">Same as </w:t>
      </w:r>
      <w:r w:rsidR="00C659E8">
        <w:rPr>
          <w:b/>
          <w:bCs/>
          <w:sz w:val="20"/>
          <w:szCs w:val="20"/>
        </w:rPr>
        <w:t>c</w:t>
      </w:r>
      <w:r w:rsidR="00C659E8" w:rsidRPr="000F7110">
        <w:rPr>
          <w:sz w:val="20"/>
          <w:szCs w:val="20"/>
        </w:rPr>
        <w:t>, for ETP-IP and Near-ETP-IP cases</w:t>
      </w:r>
      <w:r w:rsidR="00C659E8">
        <w:rPr>
          <w:sz w:val="20"/>
          <w:szCs w:val="20"/>
        </w:rPr>
        <w:t>;</w:t>
      </w:r>
      <w:r w:rsidR="00C659E8">
        <w:rPr>
          <w:b/>
          <w:bCs/>
          <w:sz w:val="20"/>
          <w:szCs w:val="20"/>
        </w:rPr>
        <w:t xml:space="preserve"> f, </w:t>
      </w:r>
      <w:r w:rsidR="00C659E8" w:rsidRPr="000F7110">
        <w:rPr>
          <w:sz w:val="20"/>
          <w:szCs w:val="20"/>
        </w:rPr>
        <w:t xml:space="preserve">Same as </w:t>
      </w:r>
      <w:r w:rsidR="00C659E8">
        <w:rPr>
          <w:b/>
          <w:bCs/>
          <w:sz w:val="20"/>
          <w:szCs w:val="20"/>
        </w:rPr>
        <w:t>c</w:t>
      </w:r>
      <w:r w:rsidR="00C659E8" w:rsidRPr="000F7110">
        <w:rPr>
          <w:sz w:val="20"/>
          <w:szCs w:val="20"/>
        </w:rPr>
        <w:t>, for Non-ETP-IP cases</w:t>
      </w:r>
      <w:r w:rsidR="00C659E8">
        <w:rPr>
          <w:sz w:val="20"/>
          <w:szCs w:val="20"/>
        </w:rPr>
        <w:t xml:space="preserve">; </w:t>
      </w:r>
      <w:r w:rsidR="00C659E8" w:rsidRPr="000F7110">
        <w:rPr>
          <w:b/>
          <w:bCs/>
          <w:sz w:val="20"/>
          <w:szCs w:val="20"/>
        </w:rPr>
        <w:t>g</w:t>
      </w:r>
      <w:r w:rsidR="00C659E8">
        <w:rPr>
          <w:sz w:val="20"/>
          <w:szCs w:val="20"/>
        </w:rPr>
        <w:t xml:space="preserve">, </w:t>
      </w:r>
      <w:r w:rsidR="00C659E8" w:rsidRPr="000F7110">
        <w:rPr>
          <w:sz w:val="20"/>
          <w:szCs w:val="20"/>
        </w:rPr>
        <w:t>The Kaplan-Meier curve splitting ETP-like group by ETP-status</w:t>
      </w:r>
      <w:r w:rsidR="00C659E8">
        <w:rPr>
          <w:sz w:val="20"/>
          <w:szCs w:val="20"/>
        </w:rPr>
        <w:t xml:space="preserve">; </w:t>
      </w:r>
      <w:r w:rsidR="00C659E8" w:rsidRPr="000F7110">
        <w:rPr>
          <w:b/>
          <w:bCs/>
          <w:sz w:val="20"/>
          <w:szCs w:val="20"/>
        </w:rPr>
        <w:t>h,</w:t>
      </w:r>
      <w:r w:rsidR="00C659E8">
        <w:rPr>
          <w:sz w:val="20"/>
          <w:szCs w:val="20"/>
        </w:rPr>
        <w:t xml:space="preserve"> </w:t>
      </w:r>
      <w:r w:rsidR="00C659E8" w:rsidRPr="000F7110">
        <w:rPr>
          <w:sz w:val="20"/>
          <w:szCs w:val="20"/>
        </w:rPr>
        <w:t xml:space="preserve">Same as </w:t>
      </w:r>
      <w:r w:rsidR="00C659E8">
        <w:rPr>
          <w:b/>
          <w:bCs/>
          <w:sz w:val="20"/>
          <w:szCs w:val="20"/>
        </w:rPr>
        <w:t>c</w:t>
      </w:r>
      <w:r w:rsidR="00C659E8" w:rsidRPr="000F7110">
        <w:rPr>
          <w:sz w:val="20"/>
          <w:szCs w:val="20"/>
        </w:rPr>
        <w:t>, for ETP-like subtype ETP-IP cases</w:t>
      </w:r>
      <w:r w:rsidR="00C659E8">
        <w:rPr>
          <w:sz w:val="20"/>
          <w:szCs w:val="20"/>
        </w:rPr>
        <w:t>;</w:t>
      </w:r>
      <w:r w:rsidR="00C659E8">
        <w:rPr>
          <w:b/>
          <w:bCs/>
          <w:sz w:val="20"/>
          <w:szCs w:val="20"/>
        </w:rPr>
        <w:t xml:space="preserve"> i, </w:t>
      </w:r>
      <w:r w:rsidR="00C659E8" w:rsidRPr="000F7110">
        <w:rPr>
          <w:sz w:val="20"/>
          <w:szCs w:val="20"/>
        </w:rPr>
        <w:t xml:space="preserve">Same as </w:t>
      </w:r>
      <w:r w:rsidR="00C659E8" w:rsidRPr="00737AC4">
        <w:rPr>
          <w:b/>
          <w:bCs/>
          <w:sz w:val="20"/>
          <w:szCs w:val="20"/>
        </w:rPr>
        <w:t>c</w:t>
      </w:r>
      <w:r w:rsidR="00C659E8" w:rsidRPr="000F7110">
        <w:rPr>
          <w:sz w:val="20"/>
          <w:szCs w:val="20"/>
        </w:rPr>
        <w:t>, for ETP-like subtype ETP-IP and Near-ETP-IP cases</w:t>
      </w:r>
      <w:r w:rsidR="00C659E8">
        <w:rPr>
          <w:sz w:val="20"/>
          <w:szCs w:val="20"/>
        </w:rPr>
        <w:t>;</w:t>
      </w:r>
      <w:r w:rsidR="00C659E8">
        <w:rPr>
          <w:b/>
          <w:bCs/>
          <w:sz w:val="20"/>
          <w:szCs w:val="20"/>
        </w:rPr>
        <w:t xml:space="preserve"> j, </w:t>
      </w:r>
      <w:r w:rsidR="00C659E8" w:rsidRPr="000F7110">
        <w:rPr>
          <w:sz w:val="20"/>
          <w:szCs w:val="20"/>
        </w:rPr>
        <w:t xml:space="preserve">Same as </w:t>
      </w:r>
      <w:r w:rsidR="00C659E8" w:rsidRPr="00737AC4">
        <w:rPr>
          <w:b/>
          <w:bCs/>
          <w:sz w:val="20"/>
          <w:szCs w:val="20"/>
        </w:rPr>
        <w:t>c</w:t>
      </w:r>
      <w:r w:rsidR="00C659E8" w:rsidRPr="000F7110">
        <w:rPr>
          <w:sz w:val="20"/>
          <w:szCs w:val="20"/>
        </w:rPr>
        <w:t>, for ETP-like subtype Non-ETP-IP cases.</w:t>
      </w:r>
    </w:p>
    <w:p w14:paraId="32B55B64" w14:textId="2D8B8F2D" w:rsidR="00252775" w:rsidRPr="007A3F1E" w:rsidRDefault="00252775" w:rsidP="00252775">
      <w:pPr>
        <w:rPr>
          <w:b/>
          <w:bCs/>
          <w:sz w:val="20"/>
          <w:szCs w:val="20"/>
        </w:rPr>
      </w:pPr>
    </w:p>
    <w:p w14:paraId="4C52FC9A" w14:textId="77777777" w:rsidR="005A0AB2" w:rsidRDefault="005A0AB2"/>
    <w:sectPr w:rsidR="005A0AB2">
      <w:footerReference w:type="default" r:id="rId1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1715E7" w14:textId="77777777" w:rsidR="006448A4" w:rsidRDefault="006448A4" w:rsidP="00B23FCC">
      <w:r>
        <w:separator/>
      </w:r>
    </w:p>
  </w:endnote>
  <w:endnote w:type="continuationSeparator" w:id="0">
    <w:p w14:paraId="7B82C367" w14:textId="77777777" w:rsidR="006448A4" w:rsidRDefault="006448A4" w:rsidP="00B23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34946042"/>
      <w:docPartObj>
        <w:docPartGallery w:val="Page Numbers (Bottom of Page)"/>
        <w:docPartUnique/>
      </w:docPartObj>
    </w:sdtPr>
    <w:sdtEndPr>
      <w:rPr>
        <w:noProof/>
      </w:rPr>
    </w:sdtEndPr>
    <w:sdtContent>
      <w:p w14:paraId="53177521" w14:textId="6F37EB2F" w:rsidR="00B23FCC" w:rsidRDefault="00B23FC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8D4278" w14:textId="77777777" w:rsidR="00B23FCC" w:rsidRDefault="00B23F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3235EB" w14:textId="77777777" w:rsidR="006448A4" w:rsidRDefault="006448A4" w:rsidP="00B23FCC">
      <w:r>
        <w:separator/>
      </w:r>
    </w:p>
  </w:footnote>
  <w:footnote w:type="continuationSeparator" w:id="0">
    <w:p w14:paraId="347C6569" w14:textId="77777777" w:rsidR="006448A4" w:rsidRDefault="006448A4" w:rsidP="00B23F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55CAA"/>
    <w:multiLevelType w:val="multilevel"/>
    <w:tmpl w:val="6F10300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5886EE6"/>
    <w:multiLevelType w:val="multilevel"/>
    <w:tmpl w:val="7DBE4BF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29653674"/>
    <w:multiLevelType w:val="multilevel"/>
    <w:tmpl w:val="9C72665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2CBE2C40"/>
    <w:multiLevelType w:val="multilevel"/>
    <w:tmpl w:val="77BABBF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30821F63"/>
    <w:multiLevelType w:val="multilevel"/>
    <w:tmpl w:val="AD22A2F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503B33BC"/>
    <w:multiLevelType w:val="multilevel"/>
    <w:tmpl w:val="9C72665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6668749D"/>
    <w:multiLevelType w:val="hybridMultilevel"/>
    <w:tmpl w:val="1B1C557C"/>
    <w:lvl w:ilvl="0" w:tplc="A6DCDC9E">
      <w:start w:val="1"/>
      <w:numFmt w:val="lowerLetter"/>
      <w:lvlText w:val="%1."/>
      <w:lvlJc w:val="left"/>
      <w:pPr>
        <w:ind w:left="720" w:hanging="360"/>
      </w:pPr>
      <w:rPr>
        <w:u w:val="none"/>
      </w:rPr>
    </w:lvl>
    <w:lvl w:ilvl="1" w:tplc="15966154">
      <w:start w:val="1"/>
      <w:numFmt w:val="lowerRoman"/>
      <w:lvlText w:val="%2."/>
      <w:lvlJc w:val="right"/>
      <w:pPr>
        <w:ind w:left="1440" w:hanging="360"/>
      </w:pPr>
      <w:rPr>
        <w:u w:val="none"/>
      </w:rPr>
    </w:lvl>
    <w:lvl w:ilvl="2" w:tplc="4B3824D2">
      <w:start w:val="1"/>
      <w:numFmt w:val="decimal"/>
      <w:lvlText w:val="%3."/>
      <w:lvlJc w:val="left"/>
      <w:pPr>
        <w:ind w:left="2160" w:hanging="360"/>
      </w:pPr>
      <w:rPr>
        <w:u w:val="none"/>
      </w:rPr>
    </w:lvl>
    <w:lvl w:ilvl="3" w:tplc="DDF80FF6">
      <w:start w:val="1"/>
      <w:numFmt w:val="lowerLetter"/>
      <w:lvlText w:val="%4."/>
      <w:lvlJc w:val="left"/>
      <w:pPr>
        <w:ind w:left="2880" w:hanging="360"/>
      </w:pPr>
      <w:rPr>
        <w:u w:val="none"/>
      </w:rPr>
    </w:lvl>
    <w:lvl w:ilvl="4" w:tplc="CC78D778">
      <w:start w:val="1"/>
      <w:numFmt w:val="lowerRoman"/>
      <w:lvlText w:val="%5."/>
      <w:lvlJc w:val="right"/>
      <w:pPr>
        <w:ind w:left="3600" w:hanging="360"/>
      </w:pPr>
      <w:rPr>
        <w:u w:val="none"/>
      </w:rPr>
    </w:lvl>
    <w:lvl w:ilvl="5" w:tplc="C716448C">
      <w:start w:val="1"/>
      <w:numFmt w:val="decimal"/>
      <w:lvlText w:val="%6."/>
      <w:lvlJc w:val="left"/>
      <w:pPr>
        <w:ind w:left="4320" w:hanging="360"/>
      </w:pPr>
      <w:rPr>
        <w:u w:val="none"/>
      </w:rPr>
    </w:lvl>
    <w:lvl w:ilvl="6" w:tplc="4394CF44">
      <w:start w:val="1"/>
      <w:numFmt w:val="lowerLetter"/>
      <w:lvlText w:val="%7."/>
      <w:lvlJc w:val="left"/>
      <w:pPr>
        <w:ind w:left="5040" w:hanging="360"/>
      </w:pPr>
      <w:rPr>
        <w:u w:val="none"/>
      </w:rPr>
    </w:lvl>
    <w:lvl w:ilvl="7" w:tplc="0CDA5FE6">
      <w:start w:val="1"/>
      <w:numFmt w:val="lowerRoman"/>
      <w:lvlText w:val="%8."/>
      <w:lvlJc w:val="right"/>
      <w:pPr>
        <w:ind w:left="5760" w:hanging="360"/>
      </w:pPr>
      <w:rPr>
        <w:u w:val="none"/>
      </w:rPr>
    </w:lvl>
    <w:lvl w:ilvl="8" w:tplc="535C7EA8">
      <w:start w:val="1"/>
      <w:numFmt w:val="decimal"/>
      <w:lvlText w:val="%9."/>
      <w:lvlJc w:val="left"/>
      <w:pPr>
        <w:ind w:left="6480" w:hanging="360"/>
      </w:pPr>
      <w:rPr>
        <w:u w:val="none"/>
      </w:rPr>
    </w:lvl>
  </w:abstractNum>
  <w:num w:numId="1">
    <w:abstractNumId w:val="4"/>
  </w:num>
  <w:num w:numId="2">
    <w:abstractNumId w:val="2"/>
  </w:num>
  <w:num w:numId="3">
    <w:abstractNumId w:val="6"/>
  </w:num>
  <w:num w:numId="4">
    <w:abstractNumId w:val="0"/>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xzsafv6fz994e5wvc5f2pe2xzdr02sx0vf&quot;&gt;My Publications&lt;record-ids&gt;&lt;item&gt;38&lt;/item&gt;&lt;item&gt;39&lt;/item&gt;&lt;item&gt;42&lt;/item&gt;&lt;item&gt;43&lt;/item&gt;&lt;item&gt;45&lt;/item&gt;&lt;item&gt;49&lt;/item&gt;&lt;item&gt;61&lt;/item&gt;&lt;item&gt;81&lt;/item&gt;&lt;item&gt;82&lt;/item&gt;&lt;item&gt;83&lt;/item&gt;&lt;item&gt;84&lt;/item&gt;&lt;item&gt;85&lt;/item&gt;&lt;item&gt;86&lt;/item&gt;&lt;item&gt;92&lt;/item&gt;&lt;item&gt;102&lt;/item&gt;&lt;item&gt;103&lt;/item&gt;&lt;item&gt;105&lt;/item&gt;&lt;item&gt;106&lt;/item&gt;&lt;item&gt;107&lt;/item&gt;&lt;/record-ids&gt;&lt;/item&gt;&lt;/Libraries&gt;"/>
  </w:docVars>
  <w:rsids>
    <w:rsidRoot w:val="005A0AB2"/>
    <w:rsid w:val="00003615"/>
    <w:rsid w:val="00016553"/>
    <w:rsid w:val="00025875"/>
    <w:rsid w:val="000258C3"/>
    <w:rsid w:val="000274DF"/>
    <w:rsid w:val="00027F54"/>
    <w:rsid w:val="00030234"/>
    <w:rsid w:val="00030B81"/>
    <w:rsid w:val="00030F9E"/>
    <w:rsid w:val="00031574"/>
    <w:rsid w:val="00031CEC"/>
    <w:rsid w:val="00032EB4"/>
    <w:rsid w:val="00033EC4"/>
    <w:rsid w:val="0004123F"/>
    <w:rsid w:val="0004235D"/>
    <w:rsid w:val="00045C01"/>
    <w:rsid w:val="00045E05"/>
    <w:rsid w:val="0005272E"/>
    <w:rsid w:val="00052E57"/>
    <w:rsid w:val="00053E15"/>
    <w:rsid w:val="00054136"/>
    <w:rsid w:val="00055D56"/>
    <w:rsid w:val="000562D6"/>
    <w:rsid w:val="00056828"/>
    <w:rsid w:val="00056B8A"/>
    <w:rsid w:val="0006469F"/>
    <w:rsid w:val="00065A99"/>
    <w:rsid w:val="00070DBB"/>
    <w:rsid w:val="00071017"/>
    <w:rsid w:val="00072064"/>
    <w:rsid w:val="00074A37"/>
    <w:rsid w:val="00076A0A"/>
    <w:rsid w:val="000803DE"/>
    <w:rsid w:val="00080BE8"/>
    <w:rsid w:val="000813D4"/>
    <w:rsid w:val="000843CA"/>
    <w:rsid w:val="00086295"/>
    <w:rsid w:val="00087FF7"/>
    <w:rsid w:val="000A0351"/>
    <w:rsid w:val="000A2AA8"/>
    <w:rsid w:val="000A3890"/>
    <w:rsid w:val="000A391C"/>
    <w:rsid w:val="000A461F"/>
    <w:rsid w:val="000A7072"/>
    <w:rsid w:val="000A75EC"/>
    <w:rsid w:val="000B0328"/>
    <w:rsid w:val="000B59D6"/>
    <w:rsid w:val="000B7C14"/>
    <w:rsid w:val="000C5FB7"/>
    <w:rsid w:val="000C643C"/>
    <w:rsid w:val="000D26E2"/>
    <w:rsid w:val="000D2A95"/>
    <w:rsid w:val="000D4172"/>
    <w:rsid w:val="000D6693"/>
    <w:rsid w:val="000E02BB"/>
    <w:rsid w:val="000E68B5"/>
    <w:rsid w:val="000F541B"/>
    <w:rsid w:val="000F7110"/>
    <w:rsid w:val="0010167A"/>
    <w:rsid w:val="001029DE"/>
    <w:rsid w:val="00103CB0"/>
    <w:rsid w:val="00110836"/>
    <w:rsid w:val="00112423"/>
    <w:rsid w:val="001209C6"/>
    <w:rsid w:val="00121F9D"/>
    <w:rsid w:val="00126924"/>
    <w:rsid w:val="0013028F"/>
    <w:rsid w:val="00130BBA"/>
    <w:rsid w:val="00136A99"/>
    <w:rsid w:val="00140355"/>
    <w:rsid w:val="00141109"/>
    <w:rsid w:val="0014175C"/>
    <w:rsid w:val="00141C4F"/>
    <w:rsid w:val="00142213"/>
    <w:rsid w:val="00147ABC"/>
    <w:rsid w:val="001508A5"/>
    <w:rsid w:val="0015218D"/>
    <w:rsid w:val="00155C5F"/>
    <w:rsid w:val="00156898"/>
    <w:rsid w:val="001573F6"/>
    <w:rsid w:val="00161276"/>
    <w:rsid w:val="00164AD3"/>
    <w:rsid w:val="00164B9B"/>
    <w:rsid w:val="00165EFF"/>
    <w:rsid w:val="00166F2B"/>
    <w:rsid w:val="00167CE0"/>
    <w:rsid w:val="0017201C"/>
    <w:rsid w:val="00174C27"/>
    <w:rsid w:val="001779C3"/>
    <w:rsid w:val="00177BC9"/>
    <w:rsid w:val="00187645"/>
    <w:rsid w:val="00190289"/>
    <w:rsid w:val="00191C3E"/>
    <w:rsid w:val="001924C4"/>
    <w:rsid w:val="0019290E"/>
    <w:rsid w:val="0019415A"/>
    <w:rsid w:val="00194A67"/>
    <w:rsid w:val="00196F68"/>
    <w:rsid w:val="001A24AF"/>
    <w:rsid w:val="001A2F39"/>
    <w:rsid w:val="001A403D"/>
    <w:rsid w:val="001A55A6"/>
    <w:rsid w:val="001A5A07"/>
    <w:rsid w:val="001A5BFE"/>
    <w:rsid w:val="001A7FCA"/>
    <w:rsid w:val="001B41AD"/>
    <w:rsid w:val="001B4498"/>
    <w:rsid w:val="001C272A"/>
    <w:rsid w:val="001C29CB"/>
    <w:rsid w:val="001C6E29"/>
    <w:rsid w:val="001D1995"/>
    <w:rsid w:val="001D7B21"/>
    <w:rsid w:val="001E0786"/>
    <w:rsid w:val="001E19BA"/>
    <w:rsid w:val="001E1B58"/>
    <w:rsid w:val="001E72C1"/>
    <w:rsid w:val="001F0384"/>
    <w:rsid w:val="001F13D8"/>
    <w:rsid w:val="001F14ED"/>
    <w:rsid w:val="001F1B85"/>
    <w:rsid w:val="001F1D0A"/>
    <w:rsid w:val="001F1FF6"/>
    <w:rsid w:val="001F7250"/>
    <w:rsid w:val="002005B0"/>
    <w:rsid w:val="00200B09"/>
    <w:rsid w:val="00201FF7"/>
    <w:rsid w:val="002036DF"/>
    <w:rsid w:val="00205F88"/>
    <w:rsid w:val="00207696"/>
    <w:rsid w:val="00211684"/>
    <w:rsid w:val="0021321C"/>
    <w:rsid w:val="00213B8D"/>
    <w:rsid w:val="00213CFC"/>
    <w:rsid w:val="00214E4C"/>
    <w:rsid w:val="00215C0B"/>
    <w:rsid w:val="00220E87"/>
    <w:rsid w:val="00223EEF"/>
    <w:rsid w:val="00225770"/>
    <w:rsid w:val="00235271"/>
    <w:rsid w:val="00237C48"/>
    <w:rsid w:val="0024061A"/>
    <w:rsid w:val="002418AE"/>
    <w:rsid w:val="00242BCA"/>
    <w:rsid w:val="00245CA4"/>
    <w:rsid w:val="00251DF8"/>
    <w:rsid w:val="00252775"/>
    <w:rsid w:val="002572B3"/>
    <w:rsid w:val="00257D85"/>
    <w:rsid w:val="00261DBF"/>
    <w:rsid w:val="0026757C"/>
    <w:rsid w:val="0027420C"/>
    <w:rsid w:val="00274EE8"/>
    <w:rsid w:val="002752A0"/>
    <w:rsid w:val="00282D42"/>
    <w:rsid w:val="00284053"/>
    <w:rsid w:val="00286258"/>
    <w:rsid w:val="00287161"/>
    <w:rsid w:val="002938F6"/>
    <w:rsid w:val="002939B5"/>
    <w:rsid w:val="00294019"/>
    <w:rsid w:val="002951FC"/>
    <w:rsid w:val="002A00E7"/>
    <w:rsid w:val="002A29FF"/>
    <w:rsid w:val="002A3D89"/>
    <w:rsid w:val="002A431D"/>
    <w:rsid w:val="002A700C"/>
    <w:rsid w:val="002B0952"/>
    <w:rsid w:val="002B1099"/>
    <w:rsid w:val="002B1B3A"/>
    <w:rsid w:val="002B2B23"/>
    <w:rsid w:val="002B35B2"/>
    <w:rsid w:val="002C46A5"/>
    <w:rsid w:val="002C6517"/>
    <w:rsid w:val="002D036C"/>
    <w:rsid w:val="002D10CE"/>
    <w:rsid w:val="002D33EA"/>
    <w:rsid w:val="002D532E"/>
    <w:rsid w:val="002E1FEB"/>
    <w:rsid w:val="002E37B3"/>
    <w:rsid w:val="002E38F8"/>
    <w:rsid w:val="002E406B"/>
    <w:rsid w:val="002E52B5"/>
    <w:rsid w:val="002E623D"/>
    <w:rsid w:val="002F3314"/>
    <w:rsid w:val="002F58B9"/>
    <w:rsid w:val="002F7717"/>
    <w:rsid w:val="003064B9"/>
    <w:rsid w:val="003145C7"/>
    <w:rsid w:val="0031468D"/>
    <w:rsid w:val="00317AAD"/>
    <w:rsid w:val="00320C25"/>
    <w:rsid w:val="003213BB"/>
    <w:rsid w:val="00324968"/>
    <w:rsid w:val="00326BC8"/>
    <w:rsid w:val="00327A45"/>
    <w:rsid w:val="00330A32"/>
    <w:rsid w:val="003357AB"/>
    <w:rsid w:val="00335C7C"/>
    <w:rsid w:val="00336EAE"/>
    <w:rsid w:val="00341791"/>
    <w:rsid w:val="00343640"/>
    <w:rsid w:val="0034571E"/>
    <w:rsid w:val="00350A83"/>
    <w:rsid w:val="00352505"/>
    <w:rsid w:val="0035270C"/>
    <w:rsid w:val="00352F93"/>
    <w:rsid w:val="00356FA6"/>
    <w:rsid w:val="00356FDE"/>
    <w:rsid w:val="0035721D"/>
    <w:rsid w:val="00362F35"/>
    <w:rsid w:val="003648B2"/>
    <w:rsid w:val="003676D3"/>
    <w:rsid w:val="00371EF8"/>
    <w:rsid w:val="00372358"/>
    <w:rsid w:val="00377C69"/>
    <w:rsid w:val="00380D7B"/>
    <w:rsid w:val="00381267"/>
    <w:rsid w:val="003849AA"/>
    <w:rsid w:val="00390F01"/>
    <w:rsid w:val="003939B3"/>
    <w:rsid w:val="00397B93"/>
    <w:rsid w:val="003A38EE"/>
    <w:rsid w:val="003A4CD3"/>
    <w:rsid w:val="003A6982"/>
    <w:rsid w:val="003A7173"/>
    <w:rsid w:val="003A7326"/>
    <w:rsid w:val="003A757B"/>
    <w:rsid w:val="003B037B"/>
    <w:rsid w:val="003B03E6"/>
    <w:rsid w:val="003B3EE6"/>
    <w:rsid w:val="003B5768"/>
    <w:rsid w:val="003B6B38"/>
    <w:rsid w:val="003B765A"/>
    <w:rsid w:val="003C69FB"/>
    <w:rsid w:val="003C6CDD"/>
    <w:rsid w:val="003D005F"/>
    <w:rsid w:val="003D1A55"/>
    <w:rsid w:val="003D2806"/>
    <w:rsid w:val="003D7269"/>
    <w:rsid w:val="003E070F"/>
    <w:rsid w:val="003E1873"/>
    <w:rsid w:val="003E2C0F"/>
    <w:rsid w:val="003E32FF"/>
    <w:rsid w:val="003E47C7"/>
    <w:rsid w:val="003F04F3"/>
    <w:rsid w:val="003F12E7"/>
    <w:rsid w:val="003F2553"/>
    <w:rsid w:val="003F3C8C"/>
    <w:rsid w:val="003F62BF"/>
    <w:rsid w:val="00400095"/>
    <w:rsid w:val="00403FB9"/>
    <w:rsid w:val="00404720"/>
    <w:rsid w:val="0041263C"/>
    <w:rsid w:val="00412C39"/>
    <w:rsid w:val="0041635D"/>
    <w:rsid w:val="004217AE"/>
    <w:rsid w:val="00425448"/>
    <w:rsid w:val="00425F3C"/>
    <w:rsid w:val="00431B2B"/>
    <w:rsid w:val="004320DE"/>
    <w:rsid w:val="00432266"/>
    <w:rsid w:val="00435054"/>
    <w:rsid w:val="00437BEA"/>
    <w:rsid w:val="00440A93"/>
    <w:rsid w:val="00440B51"/>
    <w:rsid w:val="00444534"/>
    <w:rsid w:val="00447512"/>
    <w:rsid w:val="00451106"/>
    <w:rsid w:val="004514DA"/>
    <w:rsid w:val="00452B50"/>
    <w:rsid w:val="00452CFE"/>
    <w:rsid w:val="00456C53"/>
    <w:rsid w:val="00457BD9"/>
    <w:rsid w:val="00463204"/>
    <w:rsid w:val="004739DE"/>
    <w:rsid w:val="00476118"/>
    <w:rsid w:val="00477197"/>
    <w:rsid w:val="004803C0"/>
    <w:rsid w:val="0048055A"/>
    <w:rsid w:val="00481789"/>
    <w:rsid w:val="00490D76"/>
    <w:rsid w:val="00492612"/>
    <w:rsid w:val="004A2FE6"/>
    <w:rsid w:val="004A7695"/>
    <w:rsid w:val="004B4B2B"/>
    <w:rsid w:val="004B6503"/>
    <w:rsid w:val="004B7863"/>
    <w:rsid w:val="004C0383"/>
    <w:rsid w:val="004C1E7B"/>
    <w:rsid w:val="004C2055"/>
    <w:rsid w:val="004C2213"/>
    <w:rsid w:val="004C3F89"/>
    <w:rsid w:val="004C547D"/>
    <w:rsid w:val="004D24B7"/>
    <w:rsid w:val="004D4F83"/>
    <w:rsid w:val="004D7A16"/>
    <w:rsid w:val="004D7CBF"/>
    <w:rsid w:val="004E4486"/>
    <w:rsid w:val="004F3450"/>
    <w:rsid w:val="004F4091"/>
    <w:rsid w:val="004F57D2"/>
    <w:rsid w:val="004F62FA"/>
    <w:rsid w:val="004F7647"/>
    <w:rsid w:val="00510A33"/>
    <w:rsid w:val="0051172C"/>
    <w:rsid w:val="00512504"/>
    <w:rsid w:val="0051366C"/>
    <w:rsid w:val="00515DA1"/>
    <w:rsid w:val="005202B8"/>
    <w:rsid w:val="005257B8"/>
    <w:rsid w:val="00527F64"/>
    <w:rsid w:val="0053035F"/>
    <w:rsid w:val="005304C3"/>
    <w:rsid w:val="005308C5"/>
    <w:rsid w:val="005313DB"/>
    <w:rsid w:val="0053183A"/>
    <w:rsid w:val="00531956"/>
    <w:rsid w:val="00531A17"/>
    <w:rsid w:val="00531FD6"/>
    <w:rsid w:val="00531FF6"/>
    <w:rsid w:val="005341B7"/>
    <w:rsid w:val="00541597"/>
    <w:rsid w:val="00543266"/>
    <w:rsid w:val="00550011"/>
    <w:rsid w:val="0055146D"/>
    <w:rsid w:val="00552D10"/>
    <w:rsid w:val="00561923"/>
    <w:rsid w:val="00572806"/>
    <w:rsid w:val="00576993"/>
    <w:rsid w:val="00577055"/>
    <w:rsid w:val="005802ED"/>
    <w:rsid w:val="005841C1"/>
    <w:rsid w:val="00584C80"/>
    <w:rsid w:val="005859B1"/>
    <w:rsid w:val="00590A84"/>
    <w:rsid w:val="005932C6"/>
    <w:rsid w:val="005A0AB2"/>
    <w:rsid w:val="005A0F3F"/>
    <w:rsid w:val="005A2F4B"/>
    <w:rsid w:val="005A4833"/>
    <w:rsid w:val="005A6F17"/>
    <w:rsid w:val="005A7097"/>
    <w:rsid w:val="005A7794"/>
    <w:rsid w:val="005A7F72"/>
    <w:rsid w:val="005B066F"/>
    <w:rsid w:val="005B5369"/>
    <w:rsid w:val="005B5E5E"/>
    <w:rsid w:val="005C216C"/>
    <w:rsid w:val="005C2B88"/>
    <w:rsid w:val="005C31AC"/>
    <w:rsid w:val="005C665D"/>
    <w:rsid w:val="005D08DD"/>
    <w:rsid w:val="005D1853"/>
    <w:rsid w:val="005D406C"/>
    <w:rsid w:val="005D5534"/>
    <w:rsid w:val="005D56F2"/>
    <w:rsid w:val="005D6A47"/>
    <w:rsid w:val="005D6E5A"/>
    <w:rsid w:val="005E06C8"/>
    <w:rsid w:val="005E0B7B"/>
    <w:rsid w:val="005E0BA2"/>
    <w:rsid w:val="005E230E"/>
    <w:rsid w:val="005E2394"/>
    <w:rsid w:val="005E27B1"/>
    <w:rsid w:val="005F67AA"/>
    <w:rsid w:val="00600586"/>
    <w:rsid w:val="00600BBC"/>
    <w:rsid w:val="00600BF9"/>
    <w:rsid w:val="00602980"/>
    <w:rsid w:val="0060324F"/>
    <w:rsid w:val="0061312A"/>
    <w:rsid w:val="00614B52"/>
    <w:rsid w:val="00615C3C"/>
    <w:rsid w:val="00616E0C"/>
    <w:rsid w:val="00623596"/>
    <w:rsid w:val="00623C6A"/>
    <w:rsid w:val="00625CB4"/>
    <w:rsid w:val="00626335"/>
    <w:rsid w:val="00626771"/>
    <w:rsid w:val="00630886"/>
    <w:rsid w:val="00630F18"/>
    <w:rsid w:val="00632377"/>
    <w:rsid w:val="00633A3F"/>
    <w:rsid w:val="00633EAC"/>
    <w:rsid w:val="00635172"/>
    <w:rsid w:val="006429F0"/>
    <w:rsid w:val="00643C24"/>
    <w:rsid w:val="006448A4"/>
    <w:rsid w:val="00650846"/>
    <w:rsid w:val="0065133D"/>
    <w:rsid w:val="00652156"/>
    <w:rsid w:val="00652498"/>
    <w:rsid w:val="006533E7"/>
    <w:rsid w:val="00655002"/>
    <w:rsid w:val="00655960"/>
    <w:rsid w:val="00655DD1"/>
    <w:rsid w:val="006626F2"/>
    <w:rsid w:val="00662A7B"/>
    <w:rsid w:val="006664CF"/>
    <w:rsid w:val="006718AB"/>
    <w:rsid w:val="00672EAE"/>
    <w:rsid w:val="00675C06"/>
    <w:rsid w:val="00676571"/>
    <w:rsid w:val="00680780"/>
    <w:rsid w:val="00687C66"/>
    <w:rsid w:val="00687D2B"/>
    <w:rsid w:val="006906CD"/>
    <w:rsid w:val="00691D27"/>
    <w:rsid w:val="00692C98"/>
    <w:rsid w:val="0069419B"/>
    <w:rsid w:val="006952E5"/>
    <w:rsid w:val="00696984"/>
    <w:rsid w:val="006A1270"/>
    <w:rsid w:val="006A13EC"/>
    <w:rsid w:val="006A6395"/>
    <w:rsid w:val="006B124B"/>
    <w:rsid w:val="006B2688"/>
    <w:rsid w:val="006B532A"/>
    <w:rsid w:val="006B57A8"/>
    <w:rsid w:val="006B7B8A"/>
    <w:rsid w:val="006C0595"/>
    <w:rsid w:val="006C4ACC"/>
    <w:rsid w:val="006C4F28"/>
    <w:rsid w:val="006C6766"/>
    <w:rsid w:val="006C7299"/>
    <w:rsid w:val="006D122F"/>
    <w:rsid w:val="006D22C5"/>
    <w:rsid w:val="006D4722"/>
    <w:rsid w:val="006D4E75"/>
    <w:rsid w:val="006D5527"/>
    <w:rsid w:val="006E4F56"/>
    <w:rsid w:val="006E58D2"/>
    <w:rsid w:val="006E7650"/>
    <w:rsid w:val="006F003E"/>
    <w:rsid w:val="006F1F27"/>
    <w:rsid w:val="006F446B"/>
    <w:rsid w:val="00701C37"/>
    <w:rsid w:val="00701F63"/>
    <w:rsid w:val="007035EF"/>
    <w:rsid w:val="00703CE4"/>
    <w:rsid w:val="00710710"/>
    <w:rsid w:val="007114E7"/>
    <w:rsid w:val="0071169A"/>
    <w:rsid w:val="007117C5"/>
    <w:rsid w:val="007220BC"/>
    <w:rsid w:val="0072292D"/>
    <w:rsid w:val="00727848"/>
    <w:rsid w:val="007318FF"/>
    <w:rsid w:val="00737AC4"/>
    <w:rsid w:val="0074285C"/>
    <w:rsid w:val="00743BC8"/>
    <w:rsid w:val="00744CA0"/>
    <w:rsid w:val="00751E16"/>
    <w:rsid w:val="0075227C"/>
    <w:rsid w:val="007526BF"/>
    <w:rsid w:val="007533E2"/>
    <w:rsid w:val="007534AC"/>
    <w:rsid w:val="00757817"/>
    <w:rsid w:val="00760698"/>
    <w:rsid w:val="00761C99"/>
    <w:rsid w:val="00764EEC"/>
    <w:rsid w:val="0076591F"/>
    <w:rsid w:val="00772082"/>
    <w:rsid w:val="007726ED"/>
    <w:rsid w:val="007736C5"/>
    <w:rsid w:val="00776CE7"/>
    <w:rsid w:val="00777EFA"/>
    <w:rsid w:val="00780882"/>
    <w:rsid w:val="00780E98"/>
    <w:rsid w:val="00781D05"/>
    <w:rsid w:val="00782308"/>
    <w:rsid w:val="00783A25"/>
    <w:rsid w:val="00786C41"/>
    <w:rsid w:val="0078726F"/>
    <w:rsid w:val="00790A60"/>
    <w:rsid w:val="00790B1C"/>
    <w:rsid w:val="00790B31"/>
    <w:rsid w:val="00791696"/>
    <w:rsid w:val="0079371E"/>
    <w:rsid w:val="0079710E"/>
    <w:rsid w:val="007A20F2"/>
    <w:rsid w:val="007A3CED"/>
    <w:rsid w:val="007A594C"/>
    <w:rsid w:val="007A5AFA"/>
    <w:rsid w:val="007A5D0E"/>
    <w:rsid w:val="007A6A0D"/>
    <w:rsid w:val="007A7DDA"/>
    <w:rsid w:val="007B0FDC"/>
    <w:rsid w:val="007B1941"/>
    <w:rsid w:val="007B2732"/>
    <w:rsid w:val="007B2C75"/>
    <w:rsid w:val="007B2DAE"/>
    <w:rsid w:val="007B4D29"/>
    <w:rsid w:val="007B688C"/>
    <w:rsid w:val="007C29A0"/>
    <w:rsid w:val="007C4D57"/>
    <w:rsid w:val="007C521C"/>
    <w:rsid w:val="007C6D2F"/>
    <w:rsid w:val="007C7926"/>
    <w:rsid w:val="007D0ADF"/>
    <w:rsid w:val="007D1758"/>
    <w:rsid w:val="007D2AF5"/>
    <w:rsid w:val="007D59E2"/>
    <w:rsid w:val="007D7366"/>
    <w:rsid w:val="007E0697"/>
    <w:rsid w:val="007F0E5C"/>
    <w:rsid w:val="007F45BD"/>
    <w:rsid w:val="007F4D1C"/>
    <w:rsid w:val="007F6853"/>
    <w:rsid w:val="007F7452"/>
    <w:rsid w:val="00801904"/>
    <w:rsid w:val="008022CC"/>
    <w:rsid w:val="00803EBF"/>
    <w:rsid w:val="00810434"/>
    <w:rsid w:val="0081106D"/>
    <w:rsid w:val="0081365D"/>
    <w:rsid w:val="00817622"/>
    <w:rsid w:val="00821110"/>
    <w:rsid w:val="00822772"/>
    <w:rsid w:val="00822B47"/>
    <w:rsid w:val="00831AB9"/>
    <w:rsid w:val="00834BAB"/>
    <w:rsid w:val="00836D3B"/>
    <w:rsid w:val="008404A6"/>
    <w:rsid w:val="0084435B"/>
    <w:rsid w:val="00853767"/>
    <w:rsid w:val="00854C11"/>
    <w:rsid w:val="00854EC6"/>
    <w:rsid w:val="008565C3"/>
    <w:rsid w:val="00856D76"/>
    <w:rsid w:val="00857C24"/>
    <w:rsid w:val="00860979"/>
    <w:rsid w:val="00864C0D"/>
    <w:rsid w:val="008665B9"/>
    <w:rsid w:val="00866616"/>
    <w:rsid w:val="0087024E"/>
    <w:rsid w:val="00871B28"/>
    <w:rsid w:val="008743C2"/>
    <w:rsid w:val="008749C2"/>
    <w:rsid w:val="0087606F"/>
    <w:rsid w:val="008763EE"/>
    <w:rsid w:val="00876634"/>
    <w:rsid w:val="008814F1"/>
    <w:rsid w:val="00881F6F"/>
    <w:rsid w:val="0088296D"/>
    <w:rsid w:val="00882A17"/>
    <w:rsid w:val="00890485"/>
    <w:rsid w:val="00891E3D"/>
    <w:rsid w:val="0089244B"/>
    <w:rsid w:val="008942DF"/>
    <w:rsid w:val="00896D8A"/>
    <w:rsid w:val="0089760D"/>
    <w:rsid w:val="008A23B7"/>
    <w:rsid w:val="008A6D14"/>
    <w:rsid w:val="008B172A"/>
    <w:rsid w:val="008B17FE"/>
    <w:rsid w:val="008B1CB2"/>
    <w:rsid w:val="008B3432"/>
    <w:rsid w:val="008B49A0"/>
    <w:rsid w:val="008B534A"/>
    <w:rsid w:val="008B570B"/>
    <w:rsid w:val="008B666C"/>
    <w:rsid w:val="008C0210"/>
    <w:rsid w:val="008C381D"/>
    <w:rsid w:val="008C47A7"/>
    <w:rsid w:val="008D0AAC"/>
    <w:rsid w:val="008D4D73"/>
    <w:rsid w:val="008D4F94"/>
    <w:rsid w:val="008E218E"/>
    <w:rsid w:val="008E280C"/>
    <w:rsid w:val="008E29AB"/>
    <w:rsid w:val="008E2B41"/>
    <w:rsid w:val="008E3FEF"/>
    <w:rsid w:val="008E5AE1"/>
    <w:rsid w:val="008E5F92"/>
    <w:rsid w:val="008E7A45"/>
    <w:rsid w:val="008F03F0"/>
    <w:rsid w:val="008F108A"/>
    <w:rsid w:val="008F20E0"/>
    <w:rsid w:val="008F2E2B"/>
    <w:rsid w:val="008F43A3"/>
    <w:rsid w:val="008F4978"/>
    <w:rsid w:val="008F4A3A"/>
    <w:rsid w:val="008F6958"/>
    <w:rsid w:val="009078DD"/>
    <w:rsid w:val="00907AE2"/>
    <w:rsid w:val="00907E22"/>
    <w:rsid w:val="00911BB3"/>
    <w:rsid w:val="00914B2B"/>
    <w:rsid w:val="0091668A"/>
    <w:rsid w:val="00917459"/>
    <w:rsid w:val="00917AF7"/>
    <w:rsid w:val="00920685"/>
    <w:rsid w:val="0092285D"/>
    <w:rsid w:val="009234B4"/>
    <w:rsid w:val="00923589"/>
    <w:rsid w:val="0092399D"/>
    <w:rsid w:val="00923BCE"/>
    <w:rsid w:val="00926E9B"/>
    <w:rsid w:val="009273B6"/>
    <w:rsid w:val="00930467"/>
    <w:rsid w:val="009324B7"/>
    <w:rsid w:val="00934DDF"/>
    <w:rsid w:val="00934F8B"/>
    <w:rsid w:val="0093791D"/>
    <w:rsid w:val="00940325"/>
    <w:rsid w:val="00945EA6"/>
    <w:rsid w:val="00946281"/>
    <w:rsid w:val="00946EEE"/>
    <w:rsid w:val="0095165C"/>
    <w:rsid w:val="00951A19"/>
    <w:rsid w:val="00953090"/>
    <w:rsid w:val="0095318E"/>
    <w:rsid w:val="0095418D"/>
    <w:rsid w:val="00954206"/>
    <w:rsid w:val="00956C04"/>
    <w:rsid w:val="00960959"/>
    <w:rsid w:val="00961643"/>
    <w:rsid w:val="00963BE5"/>
    <w:rsid w:val="0096448F"/>
    <w:rsid w:val="00964552"/>
    <w:rsid w:val="00967A21"/>
    <w:rsid w:val="00970529"/>
    <w:rsid w:val="00972931"/>
    <w:rsid w:val="00972FAA"/>
    <w:rsid w:val="0097553F"/>
    <w:rsid w:val="00975F15"/>
    <w:rsid w:val="009764B1"/>
    <w:rsid w:val="009808F4"/>
    <w:rsid w:val="00987A1B"/>
    <w:rsid w:val="009938CB"/>
    <w:rsid w:val="00994AB4"/>
    <w:rsid w:val="00995B1C"/>
    <w:rsid w:val="0099679A"/>
    <w:rsid w:val="009979DF"/>
    <w:rsid w:val="009A24A8"/>
    <w:rsid w:val="009A43CA"/>
    <w:rsid w:val="009A6D15"/>
    <w:rsid w:val="009B0702"/>
    <w:rsid w:val="009B55C9"/>
    <w:rsid w:val="009B5F4C"/>
    <w:rsid w:val="009B6960"/>
    <w:rsid w:val="009B728D"/>
    <w:rsid w:val="009C2036"/>
    <w:rsid w:val="009C2F4F"/>
    <w:rsid w:val="009C3731"/>
    <w:rsid w:val="009C3A34"/>
    <w:rsid w:val="009C45CF"/>
    <w:rsid w:val="009C479E"/>
    <w:rsid w:val="009C50CF"/>
    <w:rsid w:val="009C5F87"/>
    <w:rsid w:val="009C73FE"/>
    <w:rsid w:val="009D6CDC"/>
    <w:rsid w:val="009D78E4"/>
    <w:rsid w:val="009E1EC5"/>
    <w:rsid w:val="009E432B"/>
    <w:rsid w:val="009E4B82"/>
    <w:rsid w:val="009E636C"/>
    <w:rsid w:val="009F5E68"/>
    <w:rsid w:val="00A00C38"/>
    <w:rsid w:val="00A10C3D"/>
    <w:rsid w:val="00A12854"/>
    <w:rsid w:val="00A13E7A"/>
    <w:rsid w:val="00A1432D"/>
    <w:rsid w:val="00A17724"/>
    <w:rsid w:val="00A2221A"/>
    <w:rsid w:val="00A224DA"/>
    <w:rsid w:val="00A23B05"/>
    <w:rsid w:val="00A23F8D"/>
    <w:rsid w:val="00A2415F"/>
    <w:rsid w:val="00A24E39"/>
    <w:rsid w:val="00A25FF8"/>
    <w:rsid w:val="00A26348"/>
    <w:rsid w:val="00A2726E"/>
    <w:rsid w:val="00A27FE2"/>
    <w:rsid w:val="00A324B2"/>
    <w:rsid w:val="00A35876"/>
    <w:rsid w:val="00A366DD"/>
    <w:rsid w:val="00A36D88"/>
    <w:rsid w:val="00A417B3"/>
    <w:rsid w:val="00A41AF8"/>
    <w:rsid w:val="00A44671"/>
    <w:rsid w:val="00A46D1B"/>
    <w:rsid w:val="00A47B83"/>
    <w:rsid w:val="00A5271D"/>
    <w:rsid w:val="00A54ABD"/>
    <w:rsid w:val="00A615A1"/>
    <w:rsid w:val="00A61FD8"/>
    <w:rsid w:val="00A61FFF"/>
    <w:rsid w:val="00A621ED"/>
    <w:rsid w:val="00A63E2E"/>
    <w:rsid w:val="00A64F96"/>
    <w:rsid w:val="00A65210"/>
    <w:rsid w:val="00A66D06"/>
    <w:rsid w:val="00A7349F"/>
    <w:rsid w:val="00A7355B"/>
    <w:rsid w:val="00A74A60"/>
    <w:rsid w:val="00A7508A"/>
    <w:rsid w:val="00A76B6B"/>
    <w:rsid w:val="00A77488"/>
    <w:rsid w:val="00A77D79"/>
    <w:rsid w:val="00A80CD3"/>
    <w:rsid w:val="00A8540F"/>
    <w:rsid w:val="00A939F3"/>
    <w:rsid w:val="00A971C5"/>
    <w:rsid w:val="00AA0270"/>
    <w:rsid w:val="00AA1DBA"/>
    <w:rsid w:val="00AA25A9"/>
    <w:rsid w:val="00AA3881"/>
    <w:rsid w:val="00AA5A60"/>
    <w:rsid w:val="00AA7A83"/>
    <w:rsid w:val="00AB0394"/>
    <w:rsid w:val="00AB1142"/>
    <w:rsid w:val="00AB479E"/>
    <w:rsid w:val="00AB4C68"/>
    <w:rsid w:val="00AB7CDC"/>
    <w:rsid w:val="00AC1E99"/>
    <w:rsid w:val="00AC241E"/>
    <w:rsid w:val="00AC5B74"/>
    <w:rsid w:val="00AC63E6"/>
    <w:rsid w:val="00AD09F3"/>
    <w:rsid w:val="00AD1AD6"/>
    <w:rsid w:val="00AD2EA9"/>
    <w:rsid w:val="00AD5256"/>
    <w:rsid w:val="00AE07BA"/>
    <w:rsid w:val="00AE0EFD"/>
    <w:rsid w:val="00AE36B9"/>
    <w:rsid w:val="00AE585E"/>
    <w:rsid w:val="00AE6868"/>
    <w:rsid w:val="00AF0AE7"/>
    <w:rsid w:val="00AF0B4C"/>
    <w:rsid w:val="00AF38FC"/>
    <w:rsid w:val="00AF39BD"/>
    <w:rsid w:val="00AF3BF7"/>
    <w:rsid w:val="00AF549E"/>
    <w:rsid w:val="00AF7817"/>
    <w:rsid w:val="00B018BD"/>
    <w:rsid w:val="00B021E3"/>
    <w:rsid w:val="00B076F4"/>
    <w:rsid w:val="00B1032A"/>
    <w:rsid w:val="00B11C1B"/>
    <w:rsid w:val="00B1455A"/>
    <w:rsid w:val="00B16495"/>
    <w:rsid w:val="00B16AD8"/>
    <w:rsid w:val="00B17D9D"/>
    <w:rsid w:val="00B2182D"/>
    <w:rsid w:val="00B23FCC"/>
    <w:rsid w:val="00B33FEE"/>
    <w:rsid w:val="00B35352"/>
    <w:rsid w:val="00B3584A"/>
    <w:rsid w:val="00B3585B"/>
    <w:rsid w:val="00B3771E"/>
    <w:rsid w:val="00B3796F"/>
    <w:rsid w:val="00B40B26"/>
    <w:rsid w:val="00B4140B"/>
    <w:rsid w:val="00B42DA6"/>
    <w:rsid w:val="00B441D1"/>
    <w:rsid w:val="00B46B2B"/>
    <w:rsid w:val="00B47F52"/>
    <w:rsid w:val="00B55958"/>
    <w:rsid w:val="00B56B0E"/>
    <w:rsid w:val="00B57CEB"/>
    <w:rsid w:val="00B6006E"/>
    <w:rsid w:val="00B6026E"/>
    <w:rsid w:val="00B6371D"/>
    <w:rsid w:val="00B63A0A"/>
    <w:rsid w:val="00B63EA6"/>
    <w:rsid w:val="00B65DD9"/>
    <w:rsid w:val="00B67415"/>
    <w:rsid w:val="00B70816"/>
    <w:rsid w:val="00B74861"/>
    <w:rsid w:val="00B75745"/>
    <w:rsid w:val="00B76936"/>
    <w:rsid w:val="00B77062"/>
    <w:rsid w:val="00B86480"/>
    <w:rsid w:val="00B87ECC"/>
    <w:rsid w:val="00B92BF8"/>
    <w:rsid w:val="00B94BEA"/>
    <w:rsid w:val="00BA0F63"/>
    <w:rsid w:val="00BA1493"/>
    <w:rsid w:val="00BA33E3"/>
    <w:rsid w:val="00BA6899"/>
    <w:rsid w:val="00BB4779"/>
    <w:rsid w:val="00BB5B4C"/>
    <w:rsid w:val="00BB7944"/>
    <w:rsid w:val="00BB7D9A"/>
    <w:rsid w:val="00BC0C2E"/>
    <w:rsid w:val="00BC1A5D"/>
    <w:rsid w:val="00BC2DF4"/>
    <w:rsid w:val="00BC2E2E"/>
    <w:rsid w:val="00BC393B"/>
    <w:rsid w:val="00BC4194"/>
    <w:rsid w:val="00BC4C29"/>
    <w:rsid w:val="00BC576E"/>
    <w:rsid w:val="00BC6091"/>
    <w:rsid w:val="00BD45DD"/>
    <w:rsid w:val="00BD52CA"/>
    <w:rsid w:val="00BD56B4"/>
    <w:rsid w:val="00BD6EE5"/>
    <w:rsid w:val="00BE0888"/>
    <w:rsid w:val="00BE0D35"/>
    <w:rsid w:val="00BE19BF"/>
    <w:rsid w:val="00BE4344"/>
    <w:rsid w:val="00BE6CA3"/>
    <w:rsid w:val="00BE6CB7"/>
    <w:rsid w:val="00BF06C1"/>
    <w:rsid w:val="00BF18DC"/>
    <w:rsid w:val="00BF3312"/>
    <w:rsid w:val="00BF5148"/>
    <w:rsid w:val="00BF7BF3"/>
    <w:rsid w:val="00C009B7"/>
    <w:rsid w:val="00C04BEF"/>
    <w:rsid w:val="00C0689B"/>
    <w:rsid w:val="00C07CA9"/>
    <w:rsid w:val="00C1132F"/>
    <w:rsid w:val="00C151EB"/>
    <w:rsid w:val="00C154EE"/>
    <w:rsid w:val="00C16C19"/>
    <w:rsid w:val="00C2160B"/>
    <w:rsid w:val="00C22478"/>
    <w:rsid w:val="00C22774"/>
    <w:rsid w:val="00C248A3"/>
    <w:rsid w:val="00C24F6E"/>
    <w:rsid w:val="00C26782"/>
    <w:rsid w:val="00C27C57"/>
    <w:rsid w:val="00C323A7"/>
    <w:rsid w:val="00C326F6"/>
    <w:rsid w:val="00C337C2"/>
    <w:rsid w:val="00C3417C"/>
    <w:rsid w:val="00C36296"/>
    <w:rsid w:val="00C3733A"/>
    <w:rsid w:val="00C37392"/>
    <w:rsid w:val="00C421F6"/>
    <w:rsid w:val="00C46052"/>
    <w:rsid w:val="00C46F0B"/>
    <w:rsid w:val="00C5114A"/>
    <w:rsid w:val="00C51CF5"/>
    <w:rsid w:val="00C5280B"/>
    <w:rsid w:val="00C548BC"/>
    <w:rsid w:val="00C550C0"/>
    <w:rsid w:val="00C55AC6"/>
    <w:rsid w:val="00C61523"/>
    <w:rsid w:val="00C64B35"/>
    <w:rsid w:val="00C651A4"/>
    <w:rsid w:val="00C659E8"/>
    <w:rsid w:val="00C66BFB"/>
    <w:rsid w:val="00C71A1B"/>
    <w:rsid w:val="00C71CD6"/>
    <w:rsid w:val="00C74A9B"/>
    <w:rsid w:val="00C775E2"/>
    <w:rsid w:val="00C7794D"/>
    <w:rsid w:val="00C84270"/>
    <w:rsid w:val="00C843CE"/>
    <w:rsid w:val="00C846BC"/>
    <w:rsid w:val="00C8499B"/>
    <w:rsid w:val="00C87556"/>
    <w:rsid w:val="00C91AEB"/>
    <w:rsid w:val="00C94AB3"/>
    <w:rsid w:val="00C958B4"/>
    <w:rsid w:val="00C95CBB"/>
    <w:rsid w:val="00C966BE"/>
    <w:rsid w:val="00C97708"/>
    <w:rsid w:val="00CA0A7C"/>
    <w:rsid w:val="00CA4F67"/>
    <w:rsid w:val="00CA54CC"/>
    <w:rsid w:val="00CA6766"/>
    <w:rsid w:val="00CA6B15"/>
    <w:rsid w:val="00CA7C6F"/>
    <w:rsid w:val="00CB0851"/>
    <w:rsid w:val="00CB2A65"/>
    <w:rsid w:val="00CB3C3E"/>
    <w:rsid w:val="00CB471C"/>
    <w:rsid w:val="00CC1358"/>
    <w:rsid w:val="00CC21AD"/>
    <w:rsid w:val="00CC30ED"/>
    <w:rsid w:val="00CC5704"/>
    <w:rsid w:val="00CC5B94"/>
    <w:rsid w:val="00CD101D"/>
    <w:rsid w:val="00CD1617"/>
    <w:rsid w:val="00CD191B"/>
    <w:rsid w:val="00CD2098"/>
    <w:rsid w:val="00CD4814"/>
    <w:rsid w:val="00CD55BA"/>
    <w:rsid w:val="00CD647E"/>
    <w:rsid w:val="00CD79E1"/>
    <w:rsid w:val="00CE1F4E"/>
    <w:rsid w:val="00CE4FE6"/>
    <w:rsid w:val="00CE625A"/>
    <w:rsid w:val="00CE6968"/>
    <w:rsid w:val="00CE7ED4"/>
    <w:rsid w:val="00CF0447"/>
    <w:rsid w:val="00CF3995"/>
    <w:rsid w:val="00CF4495"/>
    <w:rsid w:val="00CF749B"/>
    <w:rsid w:val="00D017C9"/>
    <w:rsid w:val="00D02B40"/>
    <w:rsid w:val="00D12644"/>
    <w:rsid w:val="00D130A8"/>
    <w:rsid w:val="00D16995"/>
    <w:rsid w:val="00D16EF2"/>
    <w:rsid w:val="00D20015"/>
    <w:rsid w:val="00D211F7"/>
    <w:rsid w:val="00D2171C"/>
    <w:rsid w:val="00D221A1"/>
    <w:rsid w:val="00D241E7"/>
    <w:rsid w:val="00D250FD"/>
    <w:rsid w:val="00D31B1C"/>
    <w:rsid w:val="00D339DE"/>
    <w:rsid w:val="00D34755"/>
    <w:rsid w:val="00D35D24"/>
    <w:rsid w:val="00D36563"/>
    <w:rsid w:val="00D3704C"/>
    <w:rsid w:val="00D4094B"/>
    <w:rsid w:val="00D43AE9"/>
    <w:rsid w:val="00D43B3C"/>
    <w:rsid w:val="00D46EB7"/>
    <w:rsid w:val="00D55182"/>
    <w:rsid w:val="00D57B16"/>
    <w:rsid w:val="00D57B78"/>
    <w:rsid w:val="00D606F5"/>
    <w:rsid w:val="00D60FAD"/>
    <w:rsid w:val="00D60FC5"/>
    <w:rsid w:val="00D6146B"/>
    <w:rsid w:val="00D61AA7"/>
    <w:rsid w:val="00D6221F"/>
    <w:rsid w:val="00D661A7"/>
    <w:rsid w:val="00D66371"/>
    <w:rsid w:val="00D66A8A"/>
    <w:rsid w:val="00D72CD7"/>
    <w:rsid w:val="00D732A5"/>
    <w:rsid w:val="00D7760C"/>
    <w:rsid w:val="00D81729"/>
    <w:rsid w:val="00D82AFB"/>
    <w:rsid w:val="00D84E2E"/>
    <w:rsid w:val="00D86102"/>
    <w:rsid w:val="00D87B13"/>
    <w:rsid w:val="00D90A0F"/>
    <w:rsid w:val="00D90E29"/>
    <w:rsid w:val="00D951DE"/>
    <w:rsid w:val="00D9740E"/>
    <w:rsid w:val="00DA0FB2"/>
    <w:rsid w:val="00DA35A0"/>
    <w:rsid w:val="00DA3640"/>
    <w:rsid w:val="00DA4AE2"/>
    <w:rsid w:val="00DA6A7C"/>
    <w:rsid w:val="00DA79F6"/>
    <w:rsid w:val="00DA7BD3"/>
    <w:rsid w:val="00DB07CB"/>
    <w:rsid w:val="00DB08AA"/>
    <w:rsid w:val="00DB2E05"/>
    <w:rsid w:val="00DB3A0C"/>
    <w:rsid w:val="00DB7B62"/>
    <w:rsid w:val="00DC30AB"/>
    <w:rsid w:val="00DC4C0A"/>
    <w:rsid w:val="00DC731B"/>
    <w:rsid w:val="00DD3338"/>
    <w:rsid w:val="00DD335F"/>
    <w:rsid w:val="00DD3564"/>
    <w:rsid w:val="00DE10F0"/>
    <w:rsid w:val="00DE1EA2"/>
    <w:rsid w:val="00DE226C"/>
    <w:rsid w:val="00DE2A93"/>
    <w:rsid w:val="00DE78B3"/>
    <w:rsid w:val="00DF0054"/>
    <w:rsid w:val="00DF25EA"/>
    <w:rsid w:val="00DF4447"/>
    <w:rsid w:val="00DF5106"/>
    <w:rsid w:val="00E0062C"/>
    <w:rsid w:val="00E01A1E"/>
    <w:rsid w:val="00E02C27"/>
    <w:rsid w:val="00E031F5"/>
    <w:rsid w:val="00E03621"/>
    <w:rsid w:val="00E041EF"/>
    <w:rsid w:val="00E06E48"/>
    <w:rsid w:val="00E12EC4"/>
    <w:rsid w:val="00E14F71"/>
    <w:rsid w:val="00E15FCB"/>
    <w:rsid w:val="00E1642F"/>
    <w:rsid w:val="00E1675F"/>
    <w:rsid w:val="00E17FF2"/>
    <w:rsid w:val="00E20CDC"/>
    <w:rsid w:val="00E2266F"/>
    <w:rsid w:val="00E22AA9"/>
    <w:rsid w:val="00E22FA3"/>
    <w:rsid w:val="00E25CEA"/>
    <w:rsid w:val="00E260E1"/>
    <w:rsid w:val="00E31716"/>
    <w:rsid w:val="00E31A8A"/>
    <w:rsid w:val="00E32A7A"/>
    <w:rsid w:val="00E32E87"/>
    <w:rsid w:val="00E341EF"/>
    <w:rsid w:val="00E34D32"/>
    <w:rsid w:val="00E4126C"/>
    <w:rsid w:val="00E454DB"/>
    <w:rsid w:val="00E52618"/>
    <w:rsid w:val="00E56C84"/>
    <w:rsid w:val="00E57101"/>
    <w:rsid w:val="00E57E5E"/>
    <w:rsid w:val="00E62720"/>
    <w:rsid w:val="00E63ADF"/>
    <w:rsid w:val="00E646BB"/>
    <w:rsid w:val="00E64B1C"/>
    <w:rsid w:val="00E6514F"/>
    <w:rsid w:val="00E66195"/>
    <w:rsid w:val="00E70A59"/>
    <w:rsid w:val="00E70F75"/>
    <w:rsid w:val="00E72194"/>
    <w:rsid w:val="00E735CE"/>
    <w:rsid w:val="00E744E8"/>
    <w:rsid w:val="00E745DB"/>
    <w:rsid w:val="00E7603B"/>
    <w:rsid w:val="00E771A0"/>
    <w:rsid w:val="00E80DB5"/>
    <w:rsid w:val="00E8166D"/>
    <w:rsid w:val="00E82C71"/>
    <w:rsid w:val="00E833B5"/>
    <w:rsid w:val="00E93091"/>
    <w:rsid w:val="00E939D4"/>
    <w:rsid w:val="00E94116"/>
    <w:rsid w:val="00E95343"/>
    <w:rsid w:val="00E95830"/>
    <w:rsid w:val="00EA1913"/>
    <w:rsid w:val="00EA1D5C"/>
    <w:rsid w:val="00EA3742"/>
    <w:rsid w:val="00EA3C00"/>
    <w:rsid w:val="00EA4A0F"/>
    <w:rsid w:val="00EA4DE2"/>
    <w:rsid w:val="00EB0411"/>
    <w:rsid w:val="00EB13FE"/>
    <w:rsid w:val="00EB6B48"/>
    <w:rsid w:val="00EB710C"/>
    <w:rsid w:val="00EC1145"/>
    <w:rsid w:val="00EC3DBA"/>
    <w:rsid w:val="00EC693D"/>
    <w:rsid w:val="00ED0EC5"/>
    <w:rsid w:val="00ED15D2"/>
    <w:rsid w:val="00ED2C42"/>
    <w:rsid w:val="00ED368C"/>
    <w:rsid w:val="00ED3B06"/>
    <w:rsid w:val="00ED6534"/>
    <w:rsid w:val="00EE0861"/>
    <w:rsid w:val="00EE18ED"/>
    <w:rsid w:val="00EE5F48"/>
    <w:rsid w:val="00EE649C"/>
    <w:rsid w:val="00EE6517"/>
    <w:rsid w:val="00EE7B81"/>
    <w:rsid w:val="00EF06CF"/>
    <w:rsid w:val="00EF2152"/>
    <w:rsid w:val="00EF4350"/>
    <w:rsid w:val="00EF664D"/>
    <w:rsid w:val="00F00A41"/>
    <w:rsid w:val="00F01672"/>
    <w:rsid w:val="00F0271E"/>
    <w:rsid w:val="00F0312B"/>
    <w:rsid w:val="00F039E1"/>
    <w:rsid w:val="00F06B33"/>
    <w:rsid w:val="00F07CEF"/>
    <w:rsid w:val="00F12490"/>
    <w:rsid w:val="00F13FBF"/>
    <w:rsid w:val="00F14547"/>
    <w:rsid w:val="00F14F2A"/>
    <w:rsid w:val="00F20BD8"/>
    <w:rsid w:val="00F21183"/>
    <w:rsid w:val="00F25B3E"/>
    <w:rsid w:val="00F26AC0"/>
    <w:rsid w:val="00F32B6D"/>
    <w:rsid w:val="00F337FB"/>
    <w:rsid w:val="00F35ACB"/>
    <w:rsid w:val="00F36309"/>
    <w:rsid w:val="00F36B1B"/>
    <w:rsid w:val="00F50CE5"/>
    <w:rsid w:val="00F53246"/>
    <w:rsid w:val="00F56759"/>
    <w:rsid w:val="00F577FB"/>
    <w:rsid w:val="00F57B78"/>
    <w:rsid w:val="00F6220B"/>
    <w:rsid w:val="00F62E70"/>
    <w:rsid w:val="00F64ADD"/>
    <w:rsid w:val="00F65617"/>
    <w:rsid w:val="00F65956"/>
    <w:rsid w:val="00F67575"/>
    <w:rsid w:val="00F73911"/>
    <w:rsid w:val="00F73D49"/>
    <w:rsid w:val="00F76169"/>
    <w:rsid w:val="00F77E85"/>
    <w:rsid w:val="00F86856"/>
    <w:rsid w:val="00F86EF6"/>
    <w:rsid w:val="00F87FDD"/>
    <w:rsid w:val="00F91012"/>
    <w:rsid w:val="00F926C9"/>
    <w:rsid w:val="00F92BED"/>
    <w:rsid w:val="00F96D1F"/>
    <w:rsid w:val="00FA04DA"/>
    <w:rsid w:val="00FA0DC1"/>
    <w:rsid w:val="00FA25BA"/>
    <w:rsid w:val="00FA4D6D"/>
    <w:rsid w:val="00FA514A"/>
    <w:rsid w:val="00FA5AEC"/>
    <w:rsid w:val="00FA5F8C"/>
    <w:rsid w:val="00FA6882"/>
    <w:rsid w:val="00FC2808"/>
    <w:rsid w:val="00FC6E19"/>
    <w:rsid w:val="00FD0E19"/>
    <w:rsid w:val="00FD54DF"/>
    <w:rsid w:val="00FD5931"/>
    <w:rsid w:val="00FD64FD"/>
    <w:rsid w:val="00FD6869"/>
    <w:rsid w:val="00FE12A6"/>
    <w:rsid w:val="00FE1507"/>
    <w:rsid w:val="00FE22DF"/>
    <w:rsid w:val="00FE3411"/>
    <w:rsid w:val="00FE43C5"/>
    <w:rsid w:val="00FE4D4A"/>
    <w:rsid w:val="00FE6AF4"/>
    <w:rsid w:val="00FE7DD7"/>
    <w:rsid w:val="00FE7E61"/>
    <w:rsid w:val="00FF0489"/>
    <w:rsid w:val="00FF3F1E"/>
    <w:rsid w:val="00FF6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69BA6D"/>
  <w15:docId w15:val="{4E18BC3A-3EB5-4D41-9637-4678592E7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F65617"/>
    <w:pPr>
      <w:keepNext/>
      <w:keepLines/>
      <w:spacing w:before="480" w:after="240"/>
      <w:outlineLvl w:val="0"/>
    </w:pPr>
    <w:rPr>
      <w:b/>
    </w:rPr>
  </w:style>
  <w:style w:type="paragraph" w:styleId="Heading2">
    <w:name w:val="heading 2"/>
    <w:basedOn w:val="Normal"/>
    <w:next w:val="Normal"/>
    <w:uiPriority w:val="9"/>
    <w:unhideWhenUsed/>
    <w:qFormat/>
    <w:rsid w:val="00615C3C"/>
    <w:pPr>
      <w:keepNext/>
      <w:keepLines/>
      <w:spacing w:before="120" w:line="360" w:lineRule="auto"/>
      <w:outlineLvl w:val="1"/>
    </w:pPr>
    <w:rPr>
      <w:b/>
    </w:rPr>
  </w:style>
  <w:style w:type="paragraph" w:styleId="Heading3">
    <w:name w:val="heading 3"/>
    <w:basedOn w:val="Normal"/>
    <w:next w:val="Normal"/>
    <w:uiPriority w:val="9"/>
    <w:unhideWhenUsed/>
    <w:qFormat/>
    <w:rsid w:val="00761C99"/>
    <w:pPr>
      <w:keepNext/>
      <w:spacing w:before="120" w:line="480" w:lineRule="auto"/>
      <w:outlineLvl w:val="2"/>
    </w:pPr>
    <w:rPr>
      <w:i/>
      <w:sz w:val="20"/>
      <w:szCs w:val="20"/>
      <w:lang w:val="en"/>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2321B9"/>
    <w:rPr>
      <w:sz w:val="16"/>
      <w:szCs w:val="16"/>
    </w:rPr>
  </w:style>
  <w:style w:type="paragraph" w:styleId="CommentText">
    <w:name w:val="annotation text"/>
    <w:basedOn w:val="Normal"/>
    <w:link w:val="CommentTextChar"/>
    <w:uiPriority w:val="99"/>
    <w:unhideWhenUsed/>
    <w:rsid w:val="002321B9"/>
    <w:rPr>
      <w:sz w:val="20"/>
      <w:szCs w:val="20"/>
    </w:rPr>
  </w:style>
  <w:style w:type="character" w:customStyle="1" w:styleId="CommentTextChar">
    <w:name w:val="Comment Text Char"/>
    <w:basedOn w:val="DefaultParagraphFont"/>
    <w:link w:val="CommentText"/>
    <w:uiPriority w:val="99"/>
    <w:rsid w:val="002321B9"/>
    <w:rPr>
      <w:sz w:val="20"/>
      <w:szCs w:val="20"/>
    </w:rPr>
  </w:style>
  <w:style w:type="paragraph" w:styleId="CommentSubject">
    <w:name w:val="annotation subject"/>
    <w:basedOn w:val="CommentText"/>
    <w:next w:val="CommentText"/>
    <w:link w:val="CommentSubjectChar"/>
    <w:uiPriority w:val="99"/>
    <w:semiHidden/>
    <w:unhideWhenUsed/>
    <w:rsid w:val="002321B9"/>
    <w:rPr>
      <w:b/>
      <w:bCs/>
    </w:rPr>
  </w:style>
  <w:style w:type="character" w:customStyle="1" w:styleId="CommentSubjectChar">
    <w:name w:val="Comment Subject Char"/>
    <w:basedOn w:val="CommentTextChar"/>
    <w:link w:val="CommentSubject"/>
    <w:uiPriority w:val="99"/>
    <w:semiHidden/>
    <w:rsid w:val="002321B9"/>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7A5AFA"/>
  </w:style>
  <w:style w:type="paragraph" w:customStyle="1" w:styleId="EndNoteBibliographyTitle">
    <w:name w:val="EndNote Bibliography Title"/>
    <w:basedOn w:val="Normal"/>
    <w:link w:val="EndNoteBibliographyTitleChar"/>
    <w:rsid w:val="006B2688"/>
    <w:pPr>
      <w:jc w:val="center"/>
    </w:pPr>
    <w:rPr>
      <w:noProof/>
    </w:rPr>
  </w:style>
  <w:style w:type="character" w:customStyle="1" w:styleId="EndNoteBibliographyTitleChar">
    <w:name w:val="EndNote Bibliography Title Char"/>
    <w:basedOn w:val="DefaultParagraphFont"/>
    <w:link w:val="EndNoteBibliographyTitle"/>
    <w:rsid w:val="006B2688"/>
    <w:rPr>
      <w:noProof/>
    </w:rPr>
  </w:style>
  <w:style w:type="paragraph" w:customStyle="1" w:styleId="EndNoteBibliography">
    <w:name w:val="EndNote Bibliography"/>
    <w:basedOn w:val="Normal"/>
    <w:link w:val="EndNoteBibliographyChar"/>
    <w:rsid w:val="006B2688"/>
    <w:rPr>
      <w:noProof/>
    </w:rPr>
  </w:style>
  <w:style w:type="character" w:customStyle="1" w:styleId="EndNoteBibliographyChar">
    <w:name w:val="EndNote Bibliography Char"/>
    <w:basedOn w:val="DefaultParagraphFont"/>
    <w:link w:val="EndNoteBibliography"/>
    <w:rsid w:val="006B2688"/>
    <w:rPr>
      <w:noProof/>
    </w:rPr>
  </w:style>
  <w:style w:type="character" w:styleId="Hyperlink">
    <w:name w:val="Hyperlink"/>
    <w:basedOn w:val="DefaultParagraphFont"/>
    <w:uiPriority w:val="99"/>
    <w:unhideWhenUsed/>
    <w:rsid w:val="006B2688"/>
    <w:rPr>
      <w:color w:val="0563C1" w:themeColor="hyperlink"/>
      <w:u w:val="single"/>
    </w:rPr>
  </w:style>
  <w:style w:type="character" w:styleId="UnresolvedMention">
    <w:name w:val="Unresolved Mention"/>
    <w:basedOn w:val="DefaultParagraphFont"/>
    <w:uiPriority w:val="99"/>
    <w:semiHidden/>
    <w:unhideWhenUsed/>
    <w:rsid w:val="006B2688"/>
    <w:rPr>
      <w:color w:val="605E5C"/>
      <w:shd w:val="clear" w:color="auto" w:fill="E1DFDD"/>
    </w:rPr>
  </w:style>
  <w:style w:type="paragraph" w:styleId="Header">
    <w:name w:val="header"/>
    <w:basedOn w:val="Normal"/>
    <w:link w:val="HeaderChar"/>
    <w:uiPriority w:val="99"/>
    <w:unhideWhenUsed/>
    <w:rsid w:val="00B23FCC"/>
    <w:pPr>
      <w:tabs>
        <w:tab w:val="center" w:pos="4680"/>
        <w:tab w:val="right" w:pos="9360"/>
      </w:tabs>
    </w:pPr>
  </w:style>
  <w:style w:type="character" w:customStyle="1" w:styleId="HeaderChar">
    <w:name w:val="Header Char"/>
    <w:basedOn w:val="DefaultParagraphFont"/>
    <w:link w:val="Header"/>
    <w:uiPriority w:val="99"/>
    <w:rsid w:val="00B23FCC"/>
  </w:style>
  <w:style w:type="paragraph" w:styleId="Footer">
    <w:name w:val="footer"/>
    <w:basedOn w:val="Normal"/>
    <w:link w:val="FooterChar"/>
    <w:uiPriority w:val="99"/>
    <w:unhideWhenUsed/>
    <w:rsid w:val="00B23FCC"/>
    <w:pPr>
      <w:tabs>
        <w:tab w:val="center" w:pos="4680"/>
        <w:tab w:val="right" w:pos="9360"/>
      </w:tabs>
    </w:pPr>
  </w:style>
  <w:style w:type="character" w:customStyle="1" w:styleId="FooterChar">
    <w:name w:val="Footer Char"/>
    <w:basedOn w:val="DefaultParagraphFont"/>
    <w:link w:val="Footer"/>
    <w:uiPriority w:val="99"/>
    <w:rsid w:val="00B23FCC"/>
  </w:style>
  <w:style w:type="paragraph" w:customStyle="1" w:styleId="paragraph">
    <w:name w:val="paragraph"/>
    <w:basedOn w:val="Normal"/>
    <w:rsid w:val="0089760D"/>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89760D"/>
  </w:style>
  <w:style w:type="character" w:customStyle="1" w:styleId="eop">
    <w:name w:val="eop"/>
    <w:basedOn w:val="DefaultParagraphFont"/>
    <w:rsid w:val="0089760D"/>
  </w:style>
  <w:style w:type="character" w:customStyle="1" w:styleId="spellingerror">
    <w:name w:val="spellingerror"/>
    <w:basedOn w:val="DefaultParagraphFont"/>
    <w:rsid w:val="0089760D"/>
  </w:style>
  <w:style w:type="character" w:customStyle="1" w:styleId="cf01">
    <w:name w:val="cf01"/>
    <w:basedOn w:val="DefaultParagraphFont"/>
    <w:rsid w:val="006B124B"/>
    <w:rPr>
      <w:rFonts w:ascii="Segoe UI" w:hAnsi="Segoe UI" w:cs="Segoe UI" w:hint="default"/>
      <w:sz w:val="18"/>
      <w:szCs w:val="18"/>
    </w:rPr>
  </w:style>
  <w:style w:type="paragraph" w:styleId="ListParagraph">
    <w:name w:val="List Paragraph"/>
    <w:basedOn w:val="Normal"/>
    <w:uiPriority w:val="34"/>
    <w:qFormat/>
    <w:rsid w:val="00782308"/>
    <w:pPr>
      <w:ind w:left="720"/>
      <w:contextualSpacing/>
    </w:pPr>
  </w:style>
  <w:style w:type="character" w:styleId="FollowedHyperlink">
    <w:name w:val="FollowedHyperlink"/>
    <w:basedOn w:val="DefaultParagraphFont"/>
    <w:uiPriority w:val="99"/>
    <w:semiHidden/>
    <w:unhideWhenUsed/>
    <w:rsid w:val="00E70F75"/>
    <w:rPr>
      <w:color w:val="954F72" w:themeColor="followedHyperlink"/>
      <w:u w:val="single"/>
    </w:rPr>
  </w:style>
  <w:style w:type="paragraph" w:styleId="NormalWeb">
    <w:name w:val="Normal (Web)"/>
    <w:basedOn w:val="Normal"/>
    <w:uiPriority w:val="99"/>
    <w:semiHidden/>
    <w:unhideWhenUsed/>
    <w:rsid w:val="004514DA"/>
    <w:pPr>
      <w:spacing w:before="100" w:beforeAutospacing="1" w:after="100" w:afterAutospacing="1"/>
    </w:pPr>
    <w:rPr>
      <w:rFonts w:ascii="Times New Roman" w:eastAsia="Times New Roman" w:hAnsi="Times New Roman" w:cs="Times New Roman"/>
      <w:sz w:val="24"/>
      <w:szCs w:val="24"/>
    </w:rPr>
  </w:style>
  <w:style w:type="paragraph" w:customStyle="1" w:styleId="contentpasted0">
    <w:name w:val="contentpasted0"/>
    <w:basedOn w:val="Normal"/>
    <w:rsid w:val="004514DA"/>
    <w:pPr>
      <w:spacing w:before="100" w:beforeAutospacing="1" w:after="100" w:afterAutospacing="1"/>
    </w:pPr>
    <w:rPr>
      <w:rFonts w:ascii="Times New Roman" w:eastAsia="Times New Roman" w:hAnsi="Times New Roman" w:cs="Times New Roman"/>
      <w:sz w:val="24"/>
      <w:szCs w:val="24"/>
    </w:rPr>
  </w:style>
  <w:style w:type="character" w:customStyle="1" w:styleId="contentpasted01">
    <w:name w:val="contentpasted01"/>
    <w:basedOn w:val="DefaultParagraphFont"/>
    <w:rsid w:val="004514DA"/>
  </w:style>
  <w:style w:type="character" w:customStyle="1" w:styleId="apple-converted-space">
    <w:name w:val="apple-converted-space"/>
    <w:basedOn w:val="DefaultParagraphFont"/>
    <w:rsid w:val="004514DA"/>
  </w:style>
  <w:style w:type="character" w:customStyle="1" w:styleId="contentpasted1">
    <w:name w:val="contentpasted1"/>
    <w:basedOn w:val="DefaultParagraphFont"/>
    <w:rsid w:val="00451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088650">
      <w:bodyDiv w:val="1"/>
      <w:marLeft w:val="0"/>
      <w:marRight w:val="0"/>
      <w:marTop w:val="0"/>
      <w:marBottom w:val="0"/>
      <w:divBdr>
        <w:top w:val="none" w:sz="0" w:space="0" w:color="auto"/>
        <w:left w:val="none" w:sz="0" w:space="0" w:color="auto"/>
        <w:bottom w:val="none" w:sz="0" w:space="0" w:color="auto"/>
        <w:right w:val="none" w:sz="0" w:space="0" w:color="auto"/>
      </w:divBdr>
    </w:div>
    <w:div w:id="56363225">
      <w:bodyDiv w:val="1"/>
      <w:marLeft w:val="0"/>
      <w:marRight w:val="0"/>
      <w:marTop w:val="0"/>
      <w:marBottom w:val="0"/>
      <w:divBdr>
        <w:top w:val="none" w:sz="0" w:space="0" w:color="auto"/>
        <w:left w:val="none" w:sz="0" w:space="0" w:color="auto"/>
        <w:bottom w:val="none" w:sz="0" w:space="0" w:color="auto"/>
        <w:right w:val="none" w:sz="0" w:space="0" w:color="auto"/>
      </w:divBdr>
    </w:div>
    <w:div w:id="118230989">
      <w:bodyDiv w:val="1"/>
      <w:marLeft w:val="0"/>
      <w:marRight w:val="0"/>
      <w:marTop w:val="0"/>
      <w:marBottom w:val="0"/>
      <w:divBdr>
        <w:top w:val="none" w:sz="0" w:space="0" w:color="auto"/>
        <w:left w:val="none" w:sz="0" w:space="0" w:color="auto"/>
        <w:bottom w:val="none" w:sz="0" w:space="0" w:color="auto"/>
        <w:right w:val="none" w:sz="0" w:space="0" w:color="auto"/>
      </w:divBdr>
    </w:div>
    <w:div w:id="169414907">
      <w:bodyDiv w:val="1"/>
      <w:marLeft w:val="0"/>
      <w:marRight w:val="0"/>
      <w:marTop w:val="0"/>
      <w:marBottom w:val="0"/>
      <w:divBdr>
        <w:top w:val="none" w:sz="0" w:space="0" w:color="auto"/>
        <w:left w:val="none" w:sz="0" w:space="0" w:color="auto"/>
        <w:bottom w:val="none" w:sz="0" w:space="0" w:color="auto"/>
        <w:right w:val="none" w:sz="0" w:space="0" w:color="auto"/>
      </w:divBdr>
    </w:div>
    <w:div w:id="186599119">
      <w:bodyDiv w:val="1"/>
      <w:marLeft w:val="0"/>
      <w:marRight w:val="0"/>
      <w:marTop w:val="0"/>
      <w:marBottom w:val="0"/>
      <w:divBdr>
        <w:top w:val="none" w:sz="0" w:space="0" w:color="auto"/>
        <w:left w:val="none" w:sz="0" w:space="0" w:color="auto"/>
        <w:bottom w:val="none" w:sz="0" w:space="0" w:color="auto"/>
        <w:right w:val="none" w:sz="0" w:space="0" w:color="auto"/>
      </w:divBdr>
    </w:div>
    <w:div w:id="198056774">
      <w:bodyDiv w:val="1"/>
      <w:marLeft w:val="0"/>
      <w:marRight w:val="0"/>
      <w:marTop w:val="0"/>
      <w:marBottom w:val="0"/>
      <w:divBdr>
        <w:top w:val="none" w:sz="0" w:space="0" w:color="auto"/>
        <w:left w:val="none" w:sz="0" w:space="0" w:color="auto"/>
        <w:bottom w:val="none" w:sz="0" w:space="0" w:color="auto"/>
        <w:right w:val="none" w:sz="0" w:space="0" w:color="auto"/>
      </w:divBdr>
    </w:div>
    <w:div w:id="232664167">
      <w:bodyDiv w:val="1"/>
      <w:marLeft w:val="0"/>
      <w:marRight w:val="0"/>
      <w:marTop w:val="0"/>
      <w:marBottom w:val="0"/>
      <w:divBdr>
        <w:top w:val="none" w:sz="0" w:space="0" w:color="auto"/>
        <w:left w:val="none" w:sz="0" w:space="0" w:color="auto"/>
        <w:bottom w:val="none" w:sz="0" w:space="0" w:color="auto"/>
        <w:right w:val="none" w:sz="0" w:space="0" w:color="auto"/>
      </w:divBdr>
    </w:div>
    <w:div w:id="291206986">
      <w:bodyDiv w:val="1"/>
      <w:marLeft w:val="0"/>
      <w:marRight w:val="0"/>
      <w:marTop w:val="0"/>
      <w:marBottom w:val="0"/>
      <w:divBdr>
        <w:top w:val="none" w:sz="0" w:space="0" w:color="auto"/>
        <w:left w:val="none" w:sz="0" w:space="0" w:color="auto"/>
        <w:bottom w:val="none" w:sz="0" w:space="0" w:color="auto"/>
        <w:right w:val="none" w:sz="0" w:space="0" w:color="auto"/>
      </w:divBdr>
    </w:div>
    <w:div w:id="332032171">
      <w:bodyDiv w:val="1"/>
      <w:marLeft w:val="0"/>
      <w:marRight w:val="0"/>
      <w:marTop w:val="0"/>
      <w:marBottom w:val="0"/>
      <w:divBdr>
        <w:top w:val="none" w:sz="0" w:space="0" w:color="auto"/>
        <w:left w:val="none" w:sz="0" w:space="0" w:color="auto"/>
        <w:bottom w:val="none" w:sz="0" w:space="0" w:color="auto"/>
        <w:right w:val="none" w:sz="0" w:space="0" w:color="auto"/>
      </w:divBdr>
    </w:div>
    <w:div w:id="344787903">
      <w:bodyDiv w:val="1"/>
      <w:marLeft w:val="0"/>
      <w:marRight w:val="0"/>
      <w:marTop w:val="0"/>
      <w:marBottom w:val="0"/>
      <w:divBdr>
        <w:top w:val="none" w:sz="0" w:space="0" w:color="auto"/>
        <w:left w:val="none" w:sz="0" w:space="0" w:color="auto"/>
        <w:bottom w:val="none" w:sz="0" w:space="0" w:color="auto"/>
        <w:right w:val="none" w:sz="0" w:space="0" w:color="auto"/>
      </w:divBdr>
    </w:div>
    <w:div w:id="347367236">
      <w:bodyDiv w:val="1"/>
      <w:marLeft w:val="0"/>
      <w:marRight w:val="0"/>
      <w:marTop w:val="0"/>
      <w:marBottom w:val="0"/>
      <w:divBdr>
        <w:top w:val="none" w:sz="0" w:space="0" w:color="auto"/>
        <w:left w:val="none" w:sz="0" w:space="0" w:color="auto"/>
        <w:bottom w:val="none" w:sz="0" w:space="0" w:color="auto"/>
        <w:right w:val="none" w:sz="0" w:space="0" w:color="auto"/>
      </w:divBdr>
    </w:div>
    <w:div w:id="354428321">
      <w:bodyDiv w:val="1"/>
      <w:marLeft w:val="0"/>
      <w:marRight w:val="0"/>
      <w:marTop w:val="0"/>
      <w:marBottom w:val="0"/>
      <w:divBdr>
        <w:top w:val="none" w:sz="0" w:space="0" w:color="auto"/>
        <w:left w:val="none" w:sz="0" w:space="0" w:color="auto"/>
        <w:bottom w:val="none" w:sz="0" w:space="0" w:color="auto"/>
        <w:right w:val="none" w:sz="0" w:space="0" w:color="auto"/>
      </w:divBdr>
    </w:div>
    <w:div w:id="375280328">
      <w:bodyDiv w:val="1"/>
      <w:marLeft w:val="0"/>
      <w:marRight w:val="0"/>
      <w:marTop w:val="0"/>
      <w:marBottom w:val="0"/>
      <w:divBdr>
        <w:top w:val="none" w:sz="0" w:space="0" w:color="auto"/>
        <w:left w:val="none" w:sz="0" w:space="0" w:color="auto"/>
        <w:bottom w:val="none" w:sz="0" w:space="0" w:color="auto"/>
        <w:right w:val="none" w:sz="0" w:space="0" w:color="auto"/>
      </w:divBdr>
    </w:div>
    <w:div w:id="398409981">
      <w:bodyDiv w:val="1"/>
      <w:marLeft w:val="0"/>
      <w:marRight w:val="0"/>
      <w:marTop w:val="0"/>
      <w:marBottom w:val="0"/>
      <w:divBdr>
        <w:top w:val="none" w:sz="0" w:space="0" w:color="auto"/>
        <w:left w:val="none" w:sz="0" w:space="0" w:color="auto"/>
        <w:bottom w:val="none" w:sz="0" w:space="0" w:color="auto"/>
        <w:right w:val="none" w:sz="0" w:space="0" w:color="auto"/>
      </w:divBdr>
    </w:div>
    <w:div w:id="405805504">
      <w:bodyDiv w:val="1"/>
      <w:marLeft w:val="0"/>
      <w:marRight w:val="0"/>
      <w:marTop w:val="0"/>
      <w:marBottom w:val="0"/>
      <w:divBdr>
        <w:top w:val="none" w:sz="0" w:space="0" w:color="auto"/>
        <w:left w:val="none" w:sz="0" w:space="0" w:color="auto"/>
        <w:bottom w:val="none" w:sz="0" w:space="0" w:color="auto"/>
        <w:right w:val="none" w:sz="0" w:space="0" w:color="auto"/>
      </w:divBdr>
    </w:div>
    <w:div w:id="431319135">
      <w:bodyDiv w:val="1"/>
      <w:marLeft w:val="0"/>
      <w:marRight w:val="0"/>
      <w:marTop w:val="0"/>
      <w:marBottom w:val="0"/>
      <w:divBdr>
        <w:top w:val="none" w:sz="0" w:space="0" w:color="auto"/>
        <w:left w:val="none" w:sz="0" w:space="0" w:color="auto"/>
        <w:bottom w:val="none" w:sz="0" w:space="0" w:color="auto"/>
        <w:right w:val="none" w:sz="0" w:space="0" w:color="auto"/>
      </w:divBdr>
    </w:div>
    <w:div w:id="510797063">
      <w:bodyDiv w:val="1"/>
      <w:marLeft w:val="0"/>
      <w:marRight w:val="0"/>
      <w:marTop w:val="0"/>
      <w:marBottom w:val="0"/>
      <w:divBdr>
        <w:top w:val="none" w:sz="0" w:space="0" w:color="auto"/>
        <w:left w:val="none" w:sz="0" w:space="0" w:color="auto"/>
        <w:bottom w:val="none" w:sz="0" w:space="0" w:color="auto"/>
        <w:right w:val="none" w:sz="0" w:space="0" w:color="auto"/>
      </w:divBdr>
    </w:div>
    <w:div w:id="590358440">
      <w:bodyDiv w:val="1"/>
      <w:marLeft w:val="0"/>
      <w:marRight w:val="0"/>
      <w:marTop w:val="0"/>
      <w:marBottom w:val="0"/>
      <w:divBdr>
        <w:top w:val="none" w:sz="0" w:space="0" w:color="auto"/>
        <w:left w:val="none" w:sz="0" w:space="0" w:color="auto"/>
        <w:bottom w:val="none" w:sz="0" w:space="0" w:color="auto"/>
        <w:right w:val="none" w:sz="0" w:space="0" w:color="auto"/>
      </w:divBdr>
    </w:div>
    <w:div w:id="627055888">
      <w:bodyDiv w:val="1"/>
      <w:marLeft w:val="0"/>
      <w:marRight w:val="0"/>
      <w:marTop w:val="0"/>
      <w:marBottom w:val="0"/>
      <w:divBdr>
        <w:top w:val="none" w:sz="0" w:space="0" w:color="auto"/>
        <w:left w:val="none" w:sz="0" w:space="0" w:color="auto"/>
        <w:bottom w:val="none" w:sz="0" w:space="0" w:color="auto"/>
        <w:right w:val="none" w:sz="0" w:space="0" w:color="auto"/>
      </w:divBdr>
    </w:div>
    <w:div w:id="779109833">
      <w:bodyDiv w:val="1"/>
      <w:marLeft w:val="0"/>
      <w:marRight w:val="0"/>
      <w:marTop w:val="0"/>
      <w:marBottom w:val="0"/>
      <w:divBdr>
        <w:top w:val="none" w:sz="0" w:space="0" w:color="auto"/>
        <w:left w:val="none" w:sz="0" w:space="0" w:color="auto"/>
        <w:bottom w:val="none" w:sz="0" w:space="0" w:color="auto"/>
        <w:right w:val="none" w:sz="0" w:space="0" w:color="auto"/>
      </w:divBdr>
      <w:divsChild>
        <w:div w:id="2079159415">
          <w:marLeft w:val="0"/>
          <w:marRight w:val="0"/>
          <w:marTop w:val="0"/>
          <w:marBottom w:val="0"/>
          <w:divBdr>
            <w:top w:val="none" w:sz="0" w:space="0" w:color="auto"/>
            <w:left w:val="none" w:sz="0" w:space="0" w:color="auto"/>
            <w:bottom w:val="none" w:sz="0" w:space="0" w:color="auto"/>
            <w:right w:val="none" w:sz="0" w:space="0" w:color="auto"/>
          </w:divBdr>
          <w:divsChild>
            <w:div w:id="1444956021">
              <w:marLeft w:val="0"/>
              <w:marRight w:val="0"/>
              <w:marTop w:val="0"/>
              <w:marBottom w:val="0"/>
              <w:divBdr>
                <w:top w:val="none" w:sz="0" w:space="0" w:color="auto"/>
                <w:left w:val="none" w:sz="0" w:space="0" w:color="auto"/>
                <w:bottom w:val="none" w:sz="0" w:space="0" w:color="auto"/>
                <w:right w:val="none" w:sz="0" w:space="0" w:color="auto"/>
              </w:divBdr>
              <w:divsChild>
                <w:div w:id="16070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927905">
      <w:bodyDiv w:val="1"/>
      <w:marLeft w:val="0"/>
      <w:marRight w:val="0"/>
      <w:marTop w:val="0"/>
      <w:marBottom w:val="0"/>
      <w:divBdr>
        <w:top w:val="none" w:sz="0" w:space="0" w:color="auto"/>
        <w:left w:val="none" w:sz="0" w:space="0" w:color="auto"/>
        <w:bottom w:val="none" w:sz="0" w:space="0" w:color="auto"/>
        <w:right w:val="none" w:sz="0" w:space="0" w:color="auto"/>
      </w:divBdr>
    </w:div>
    <w:div w:id="1038705552">
      <w:bodyDiv w:val="1"/>
      <w:marLeft w:val="0"/>
      <w:marRight w:val="0"/>
      <w:marTop w:val="0"/>
      <w:marBottom w:val="0"/>
      <w:divBdr>
        <w:top w:val="none" w:sz="0" w:space="0" w:color="auto"/>
        <w:left w:val="none" w:sz="0" w:space="0" w:color="auto"/>
        <w:bottom w:val="none" w:sz="0" w:space="0" w:color="auto"/>
        <w:right w:val="none" w:sz="0" w:space="0" w:color="auto"/>
      </w:divBdr>
    </w:div>
    <w:div w:id="1074862522">
      <w:bodyDiv w:val="1"/>
      <w:marLeft w:val="0"/>
      <w:marRight w:val="0"/>
      <w:marTop w:val="0"/>
      <w:marBottom w:val="0"/>
      <w:divBdr>
        <w:top w:val="none" w:sz="0" w:space="0" w:color="auto"/>
        <w:left w:val="none" w:sz="0" w:space="0" w:color="auto"/>
        <w:bottom w:val="none" w:sz="0" w:space="0" w:color="auto"/>
        <w:right w:val="none" w:sz="0" w:space="0" w:color="auto"/>
      </w:divBdr>
    </w:div>
    <w:div w:id="1108499624">
      <w:bodyDiv w:val="1"/>
      <w:marLeft w:val="0"/>
      <w:marRight w:val="0"/>
      <w:marTop w:val="0"/>
      <w:marBottom w:val="0"/>
      <w:divBdr>
        <w:top w:val="none" w:sz="0" w:space="0" w:color="auto"/>
        <w:left w:val="none" w:sz="0" w:space="0" w:color="auto"/>
        <w:bottom w:val="none" w:sz="0" w:space="0" w:color="auto"/>
        <w:right w:val="none" w:sz="0" w:space="0" w:color="auto"/>
      </w:divBdr>
    </w:div>
    <w:div w:id="1117455156">
      <w:bodyDiv w:val="1"/>
      <w:marLeft w:val="0"/>
      <w:marRight w:val="0"/>
      <w:marTop w:val="0"/>
      <w:marBottom w:val="0"/>
      <w:divBdr>
        <w:top w:val="none" w:sz="0" w:space="0" w:color="auto"/>
        <w:left w:val="none" w:sz="0" w:space="0" w:color="auto"/>
        <w:bottom w:val="none" w:sz="0" w:space="0" w:color="auto"/>
        <w:right w:val="none" w:sz="0" w:space="0" w:color="auto"/>
      </w:divBdr>
    </w:div>
    <w:div w:id="1158762221">
      <w:bodyDiv w:val="1"/>
      <w:marLeft w:val="0"/>
      <w:marRight w:val="0"/>
      <w:marTop w:val="0"/>
      <w:marBottom w:val="0"/>
      <w:divBdr>
        <w:top w:val="none" w:sz="0" w:space="0" w:color="auto"/>
        <w:left w:val="none" w:sz="0" w:space="0" w:color="auto"/>
        <w:bottom w:val="none" w:sz="0" w:space="0" w:color="auto"/>
        <w:right w:val="none" w:sz="0" w:space="0" w:color="auto"/>
      </w:divBdr>
    </w:div>
    <w:div w:id="1168130043">
      <w:bodyDiv w:val="1"/>
      <w:marLeft w:val="0"/>
      <w:marRight w:val="0"/>
      <w:marTop w:val="0"/>
      <w:marBottom w:val="0"/>
      <w:divBdr>
        <w:top w:val="none" w:sz="0" w:space="0" w:color="auto"/>
        <w:left w:val="none" w:sz="0" w:space="0" w:color="auto"/>
        <w:bottom w:val="none" w:sz="0" w:space="0" w:color="auto"/>
        <w:right w:val="none" w:sz="0" w:space="0" w:color="auto"/>
      </w:divBdr>
      <w:divsChild>
        <w:div w:id="1620643781">
          <w:marLeft w:val="0"/>
          <w:marRight w:val="0"/>
          <w:marTop w:val="0"/>
          <w:marBottom w:val="0"/>
          <w:divBdr>
            <w:top w:val="none" w:sz="0" w:space="0" w:color="auto"/>
            <w:left w:val="none" w:sz="0" w:space="0" w:color="auto"/>
            <w:bottom w:val="none" w:sz="0" w:space="0" w:color="auto"/>
            <w:right w:val="none" w:sz="0" w:space="0" w:color="auto"/>
          </w:divBdr>
        </w:div>
        <w:div w:id="321159058">
          <w:marLeft w:val="0"/>
          <w:marRight w:val="0"/>
          <w:marTop w:val="0"/>
          <w:marBottom w:val="0"/>
          <w:divBdr>
            <w:top w:val="none" w:sz="0" w:space="0" w:color="auto"/>
            <w:left w:val="none" w:sz="0" w:space="0" w:color="auto"/>
            <w:bottom w:val="none" w:sz="0" w:space="0" w:color="auto"/>
            <w:right w:val="none" w:sz="0" w:space="0" w:color="auto"/>
          </w:divBdr>
        </w:div>
        <w:div w:id="817380177">
          <w:marLeft w:val="0"/>
          <w:marRight w:val="0"/>
          <w:marTop w:val="0"/>
          <w:marBottom w:val="0"/>
          <w:divBdr>
            <w:top w:val="none" w:sz="0" w:space="0" w:color="auto"/>
            <w:left w:val="none" w:sz="0" w:space="0" w:color="auto"/>
            <w:bottom w:val="none" w:sz="0" w:space="0" w:color="auto"/>
            <w:right w:val="none" w:sz="0" w:space="0" w:color="auto"/>
          </w:divBdr>
        </w:div>
        <w:div w:id="761219660">
          <w:marLeft w:val="0"/>
          <w:marRight w:val="0"/>
          <w:marTop w:val="0"/>
          <w:marBottom w:val="0"/>
          <w:divBdr>
            <w:top w:val="none" w:sz="0" w:space="0" w:color="auto"/>
            <w:left w:val="none" w:sz="0" w:space="0" w:color="auto"/>
            <w:bottom w:val="none" w:sz="0" w:space="0" w:color="auto"/>
            <w:right w:val="none" w:sz="0" w:space="0" w:color="auto"/>
          </w:divBdr>
        </w:div>
        <w:div w:id="1577856745">
          <w:marLeft w:val="0"/>
          <w:marRight w:val="0"/>
          <w:marTop w:val="0"/>
          <w:marBottom w:val="0"/>
          <w:divBdr>
            <w:top w:val="none" w:sz="0" w:space="0" w:color="auto"/>
            <w:left w:val="none" w:sz="0" w:space="0" w:color="auto"/>
            <w:bottom w:val="none" w:sz="0" w:space="0" w:color="auto"/>
            <w:right w:val="none" w:sz="0" w:space="0" w:color="auto"/>
          </w:divBdr>
        </w:div>
        <w:div w:id="629215212">
          <w:marLeft w:val="0"/>
          <w:marRight w:val="0"/>
          <w:marTop w:val="0"/>
          <w:marBottom w:val="0"/>
          <w:divBdr>
            <w:top w:val="none" w:sz="0" w:space="0" w:color="auto"/>
            <w:left w:val="none" w:sz="0" w:space="0" w:color="auto"/>
            <w:bottom w:val="none" w:sz="0" w:space="0" w:color="auto"/>
            <w:right w:val="none" w:sz="0" w:space="0" w:color="auto"/>
          </w:divBdr>
        </w:div>
        <w:div w:id="1327200155">
          <w:marLeft w:val="0"/>
          <w:marRight w:val="0"/>
          <w:marTop w:val="0"/>
          <w:marBottom w:val="0"/>
          <w:divBdr>
            <w:top w:val="none" w:sz="0" w:space="0" w:color="auto"/>
            <w:left w:val="none" w:sz="0" w:space="0" w:color="auto"/>
            <w:bottom w:val="none" w:sz="0" w:space="0" w:color="auto"/>
            <w:right w:val="none" w:sz="0" w:space="0" w:color="auto"/>
          </w:divBdr>
        </w:div>
        <w:div w:id="697320769">
          <w:marLeft w:val="0"/>
          <w:marRight w:val="0"/>
          <w:marTop w:val="0"/>
          <w:marBottom w:val="0"/>
          <w:divBdr>
            <w:top w:val="none" w:sz="0" w:space="0" w:color="auto"/>
            <w:left w:val="none" w:sz="0" w:space="0" w:color="auto"/>
            <w:bottom w:val="none" w:sz="0" w:space="0" w:color="auto"/>
            <w:right w:val="none" w:sz="0" w:space="0" w:color="auto"/>
          </w:divBdr>
        </w:div>
        <w:div w:id="1879782626">
          <w:marLeft w:val="0"/>
          <w:marRight w:val="0"/>
          <w:marTop w:val="0"/>
          <w:marBottom w:val="0"/>
          <w:divBdr>
            <w:top w:val="none" w:sz="0" w:space="0" w:color="auto"/>
            <w:left w:val="none" w:sz="0" w:space="0" w:color="auto"/>
            <w:bottom w:val="none" w:sz="0" w:space="0" w:color="auto"/>
            <w:right w:val="none" w:sz="0" w:space="0" w:color="auto"/>
          </w:divBdr>
        </w:div>
        <w:div w:id="1328247743">
          <w:marLeft w:val="0"/>
          <w:marRight w:val="0"/>
          <w:marTop w:val="0"/>
          <w:marBottom w:val="0"/>
          <w:divBdr>
            <w:top w:val="none" w:sz="0" w:space="0" w:color="auto"/>
            <w:left w:val="none" w:sz="0" w:space="0" w:color="auto"/>
            <w:bottom w:val="none" w:sz="0" w:space="0" w:color="auto"/>
            <w:right w:val="none" w:sz="0" w:space="0" w:color="auto"/>
          </w:divBdr>
        </w:div>
        <w:div w:id="399443040">
          <w:marLeft w:val="0"/>
          <w:marRight w:val="0"/>
          <w:marTop w:val="0"/>
          <w:marBottom w:val="0"/>
          <w:divBdr>
            <w:top w:val="none" w:sz="0" w:space="0" w:color="auto"/>
            <w:left w:val="none" w:sz="0" w:space="0" w:color="auto"/>
            <w:bottom w:val="none" w:sz="0" w:space="0" w:color="auto"/>
            <w:right w:val="none" w:sz="0" w:space="0" w:color="auto"/>
          </w:divBdr>
        </w:div>
        <w:div w:id="1542861959">
          <w:marLeft w:val="0"/>
          <w:marRight w:val="0"/>
          <w:marTop w:val="0"/>
          <w:marBottom w:val="0"/>
          <w:divBdr>
            <w:top w:val="none" w:sz="0" w:space="0" w:color="auto"/>
            <w:left w:val="none" w:sz="0" w:space="0" w:color="auto"/>
            <w:bottom w:val="none" w:sz="0" w:space="0" w:color="auto"/>
            <w:right w:val="none" w:sz="0" w:space="0" w:color="auto"/>
          </w:divBdr>
        </w:div>
        <w:div w:id="961768072">
          <w:marLeft w:val="0"/>
          <w:marRight w:val="0"/>
          <w:marTop w:val="0"/>
          <w:marBottom w:val="0"/>
          <w:divBdr>
            <w:top w:val="none" w:sz="0" w:space="0" w:color="auto"/>
            <w:left w:val="none" w:sz="0" w:space="0" w:color="auto"/>
            <w:bottom w:val="none" w:sz="0" w:space="0" w:color="auto"/>
            <w:right w:val="none" w:sz="0" w:space="0" w:color="auto"/>
          </w:divBdr>
        </w:div>
        <w:div w:id="363139135">
          <w:marLeft w:val="0"/>
          <w:marRight w:val="0"/>
          <w:marTop w:val="0"/>
          <w:marBottom w:val="0"/>
          <w:divBdr>
            <w:top w:val="none" w:sz="0" w:space="0" w:color="auto"/>
            <w:left w:val="none" w:sz="0" w:space="0" w:color="auto"/>
            <w:bottom w:val="none" w:sz="0" w:space="0" w:color="auto"/>
            <w:right w:val="none" w:sz="0" w:space="0" w:color="auto"/>
          </w:divBdr>
        </w:div>
        <w:div w:id="1251886684">
          <w:marLeft w:val="0"/>
          <w:marRight w:val="0"/>
          <w:marTop w:val="0"/>
          <w:marBottom w:val="0"/>
          <w:divBdr>
            <w:top w:val="none" w:sz="0" w:space="0" w:color="auto"/>
            <w:left w:val="none" w:sz="0" w:space="0" w:color="auto"/>
            <w:bottom w:val="none" w:sz="0" w:space="0" w:color="auto"/>
            <w:right w:val="none" w:sz="0" w:space="0" w:color="auto"/>
          </w:divBdr>
        </w:div>
        <w:div w:id="1251966969">
          <w:marLeft w:val="0"/>
          <w:marRight w:val="0"/>
          <w:marTop w:val="0"/>
          <w:marBottom w:val="0"/>
          <w:divBdr>
            <w:top w:val="none" w:sz="0" w:space="0" w:color="auto"/>
            <w:left w:val="none" w:sz="0" w:space="0" w:color="auto"/>
            <w:bottom w:val="none" w:sz="0" w:space="0" w:color="auto"/>
            <w:right w:val="none" w:sz="0" w:space="0" w:color="auto"/>
          </w:divBdr>
        </w:div>
        <w:div w:id="801113123">
          <w:marLeft w:val="0"/>
          <w:marRight w:val="0"/>
          <w:marTop w:val="0"/>
          <w:marBottom w:val="0"/>
          <w:divBdr>
            <w:top w:val="none" w:sz="0" w:space="0" w:color="auto"/>
            <w:left w:val="none" w:sz="0" w:space="0" w:color="auto"/>
            <w:bottom w:val="none" w:sz="0" w:space="0" w:color="auto"/>
            <w:right w:val="none" w:sz="0" w:space="0" w:color="auto"/>
          </w:divBdr>
        </w:div>
        <w:div w:id="1003975753">
          <w:marLeft w:val="0"/>
          <w:marRight w:val="0"/>
          <w:marTop w:val="0"/>
          <w:marBottom w:val="0"/>
          <w:divBdr>
            <w:top w:val="none" w:sz="0" w:space="0" w:color="auto"/>
            <w:left w:val="none" w:sz="0" w:space="0" w:color="auto"/>
            <w:bottom w:val="none" w:sz="0" w:space="0" w:color="auto"/>
            <w:right w:val="none" w:sz="0" w:space="0" w:color="auto"/>
          </w:divBdr>
        </w:div>
      </w:divsChild>
    </w:div>
    <w:div w:id="1170486333">
      <w:bodyDiv w:val="1"/>
      <w:marLeft w:val="0"/>
      <w:marRight w:val="0"/>
      <w:marTop w:val="0"/>
      <w:marBottom w:val="0"/>
      <w:divBdr>
        <w:top w:val="none" w:sz="0" w:space="0" w:color="auto"/>
        <w:left w:val="none" w:sz="0" w:space="0" w:color="auto"/>
        <w:bottom w:val="none" w:sz="0" w:space="0" w:color="auto"/>
        <w:right w:val="none" w:sz="0" w:space="0" w:color="auto"/>
      </w:divBdr>
      <w:divsChild>
        <w:div w:id="2093115647">
          <w:marLeft w:val="0"/>
          <w:marRight w:val="0"/>
          <w:marTop w:val="0"/>
          <w:marBottom w:val="0"/>
          <w:divBdr>
            <w:top w:val="none" w:sz="0" w:space="0" w:color="auto"/>
            <w:left w:val="none" w:sz="0" w:space="0" w:color="auto"/>
            <w:bottom w:val="none" w:sz="0" w:space="0" w:color="auto"/>
            <w:right w:val="none" w:sz="0" w:space="0" w:color="auto"/>
          </w:divBdr>
          <w:divsChild>
            <w:div w:id="820124694">
              <w:marLeft w:val="0"/>
              <w:marRight w:val="0"/>
              <w:marTop w:val="0"/>
              <w:marBottom w:val="600"/>
              <w:divBdr>
                <w:top w:val="none" w:sz="0" w:space="0" w:color="auto"/>
                <w:left w:val="none" w:sz="0" w:space="0" w:color="auto"/>
                <w:bottom w:val="none" w:sz="0" w:space="0" w:color="auto"/>
                <w:right w:val="none" w:sz="0" w:space="0" w:color="auto"/>
              </w:divBdr>
            </w:div>
          </w:divsChild>
        </w:div>
        <w:div w:id="611472912">
          <w:marLeft w:val="0"/>
          <w:marRight w:val="0"/>
          <w:marTop w:val="0"/>
          <w:marBottom w:val="0"/>
          <w:divBdr>
            <w:top w:val="none" w:sz="0" w:space="0" w:color="auto"/>
            <w:left w:val="none" w:sz="0" w:space="0" w:color="auto"/>
            <w:bottom w:val="none" w:sz="0" w:space="0" w:color="auto"/>
            <w:right w:val="none" w:sz="0" w:space="0" w:color="auto"/>
          </w:divBdr>
        </w:div>
      </w:divsChild>
    </w:div>
    <w:div w:id="1184250095">
      <w:bodyDiv w:val="1"/>
      <w:marLeft w:val="0"/>
      <w:marRight w:val="0"/>
      <w:marTop w:val="0"/>
      <w:marBottom w:val="0"/>
      <w:divBdr>
        <w:top w:val="none" w:sz="0" w:space="0" w:color="auto"/>
        <w:left w:val="none" w:sz="0" w:space="0" w:color="auto"/>
        <w:bottom w:val="none" w:sz="0" w:space="0" w:color="auto"/>
        <w:right w:val="none" w:sz="0" w:space="0" w:color="auto"/>
      </w:divBdr>
    </w:div>
    <w:div w:id="1218472185">
      <w:bodyDiv w:val="1"/>
      <w:marLeft w:val="0"/>
      <w:marRight w:val="0"/>
      <w:marTop w:val="0"/>
      <w:marBottom w:val="0"/>
      <w:divBdr>
        <w:top w:val="none" w:sz="0" w:space="0" w:color="auto"/>
        <w:left w:val="none" w:sz="0" w:space="0" w:color="auto"/>
        <w:bottom w:val="none" w:sz="0" w:space="0" w:color="auto"/>
        <w:right w:val="none" w:sz="0" w:space="0" w:color="auto"/>
      </w:divBdr>
    </w:div>
    <w:div w:id="1229683524">
      <w:bodyDiv w:val="1"/>
      <w:marLeft w:val="0"/>
      <w:marRight w:val="0"/>
      <w:marTop w:val="0"/>
      <w:marBottom w:val="0"/>
      <w:divBdr>
        <w:top w:val="none" w:sz="0" w:space="0" w:color="auto"/>
        <w:left w:val="none" w:sz="0" w:space="0" w:color="auto"/>
        <w:bottom w:val="none" w:sz="0" w:space="0" w:color="auto"/>
        <w:right w:val="none" w:sz="0" w:space="0" w:color="auto"/>
      </w:divBdr>
    </w:div>
    <w:div w:id="1236429419">
      <w:bodyDiv w:val="1"/>
      <w:marLeft w:val="0"/>
      <w:marRight w:val="0"/>
      <w:marTop w:val="0"/>
      <w:marBottom w:val="0"/>
      <w:divBdr>
        <w:top w:val="none" w:sz="0" w:space="0" w:color="auto"/>
        <w:left w:val="none" w:sz="0" w:space="0" w:color="auto"/>
        <w:bottom w:val="none" w:sz="0" w:space="0" w:color="auto"/>
        <w:right w:val="none" w:sz="0" w:space="0" w:color="auto"/>
      </w:divBdr>
    </w:div>
    <w:div w:id="1247575877">
      <w:bodyDiv w:val="1"/>
      <w:marLeft w:val="0"/>
      <w:marRight w:val="0"/>
      <w:marTop w:val="0"/>
      <w:marBottom w:val="0"/>
      <w:divBdr>
        <w:top w:val="none" w:sz="0" w:space="0" w:color="auto"/>
        <w:left w:val="none" w:sz="0" w:space="0" w:color="auto"/>
        <w:bottom w:val="none" w:sz="0" w:space="0" w:color="auto"/>
        <w:right w:val="none" w:sz="0" w:space="0" w:color="auto"/>
      </w:divBdr>
    </w:div>
    <w:div w:id="1291278997">
      <w:bodyDiv w:val="1"/>
      <w:marLeft w:val="0"/>
      <w:marRight w:val="0"/>
      <w:marTop w:val="0"/>
      <w:marBottom w:val="0"/>
      <w:divBdr>
        <w:top w:val="none" w:sz="0" w:space="0" w:color="auto"/>
        <w:left w:val="none" w:sz="0" w:space="0" w:color="auto"/>
        <w:bottom w:val="none" w:sz="0" w:space="0" w:color="auto"/>
        <w:right w:val="none" w:sz="0" w:space="0" w:color="auto"/>
      </w:divBdr>
    </w:div>
    <w:div w:id="1373266283">
      <w:bodyDiv w:val="1"/>
      <w:marLeft w:val="0"/>
      <w:marRight w:val="0"/>
      <w:marTop w:val="0"/>
      <w:marBottom w:val="0"/>
      <w:divBdr>
        <w:top w:val="none" w:sz="0" w:space="0" w:color="auto"/>
        <w:left w:val="none" w:sz="0" w:space="0" w:color="auto"/>
        <w:bottom w:val="none" w:sz="0" w:space="0" w:color="auto"/>
        <w:right w:val="none" w:sz="0" w:space="0" w:color="auto"/>
      </w:divBdr>
    </w:div>
    <w:div w:id="1445882253">
      <w:bodyDiv w:val="1"/>
      <w:marLeft w:val="0"/>
      <w:marRight w:val="0"/>
      <w:marTop w:val="0"/>
      <w:marBottom w:val="0"/>
      <w:divBdr>
        <w:top w:val="none" w:sz="0" w:space="0" w:color="auto"/>
        <w:left w:val="none" w:sz="0" w:space="0" w:color="auto"/>
        <w:bottom w:val="none" w:sz="0" w:space="0" w:color="auto"/>
        <w:right w:val="none" w:sz="0" w:space="0" w:color="auto"/>
      </w:divBdr>
      <w:divsChild>
        <w:div w:id="1228033708">
          <w:marLeft w:val="0"/>
          <w:marRight w:val="0"/>
          <w:marTop w:val="0"/>
          <w:marBottom w:val="0"/>
          <w:divBdr>
            <w:top w:val="none" w:sz="0" w:space="0" w:color="auto"/>
            <w:left w:val="none" w:sz="0" w:space="0" w:color="auto"/>
            <w:bottom w:val="none" w:sz="0" w:space="0" w:color="auto"/>
            <w:right w:val="none" w:sz="0" w:space="0" w:color="auto"/>
          </w:divBdr>
        </w:div>
        <w:div w:id="848102059">
          <w:marLeft w:val="0"/>
          <w:marRight w:val="0"/>
          <w:marTop w:val="0"/>
          <w:marBottom w:val="0"/>
          <w:divBdr>
            <w:top w:val="none" w:sz="0" w:space="0" w:color="auto"/>
            <w:left w:val="none" w:sz="0" w:space="0" w:color="auto"/>
            <w:bottom w:val="none" w:sz="0" w:space="0" w:color="auto"/>
            <w:right w:val="none" w:sz="0" w:space="0" w:color="auto"/>
          </w:divBdr>
        </w:div>
        <w:div w:id="1776172472">
          <w:marLeft w:val="0"/>
          <w:marRight w:val="0"/>
          <w:marTop w:val="0"/>
          <w:marBottom w:val="0"/>
          <w:divBdr>
            <w:top w:val="none" w:sz="0" w:space="0" w:color="auto"/>
            <w:left w:val="none" w:sz="0" w:space="0" w:color="auto"/>
            <w:bottom w:val="none" w:sz="0" w:space="0" w:color="auto"/>
            <w:right w:val="none" w:sz="0" w:space="0" w:color="auto"/>
          </w:divBdr>
        </w:div>
        <w:div w:id="1347096439">
          <w:marLeft w:val="0"/>
          <w:marRight w:val="0"/>
          <w:marTop w:val="0"/>
          <w:marBottom w:val="0"/>
          <w:divBdr>
            <w:top w:val="none" w:sz="0" w:space="0" w:color="auto"/>
            <w:left w:val="none" w:sz="0" w:space="0" w:color="auto"/>
            <w:bottom w:val="none" w:sz="0" w:space="0" w:color="auto"/>
            <w:right w:val="none" w:sz="0" w:space="0" w:color="auto"/>
          </w:divBdr>
        </w:div>
        <w:div w:id="1606232318">
          <w:marLeft w:val="0"/>
          <w:marRight w:val="0"/>
          <w:marTop w:val="0"/>
          <w:marBottom w:val="0"/>
          <w:divBdr>
            <w:top w:val="none" w:sz="0" w:space="0" w:color="auto"/>
            <w:left w:val="none" w:sz="0" w:space="0" w:color="auto"/>
            <w:bottom w:val="none" w:sz="0" w:space="0" w:color="auto"/>
            <w:right w:val="none" w:sz="0" w:space="0" w:color="auto"/>
          </w:divBdr>
        </w:div>
        <w:div w:id="496532616">
          <w:marLeft w:val="0"/>
          <w:marRight w:val="0"/>
          <w:marTop w:val="0"/>
          <w:marBottom w:val="0"/>
          <w:divBdr>
            <w:top w:val="none" w:sz="0" w:space="0" w:color="auto"/>
            <w:left w:val="none" w:sz="0" w:space="0" w:color="auto"/>
            <w:bottom w:val="none" w:sz="0" w:space="0" w:color="auto"/>
            <w:right w:val="none" w:sz="0" w:space="0" w:color="auto"/>
          </w:divBdr>
        </w:div>
        <w:div w:id="253325133">
          <w:marLeft w:val="0"/>
          <w:marRight w:val="0"/>
          <w:marTop w:val="0"/>
          <w:marBottom w:val="0"/>
          <w:divBdr>
            <w:top w:val="none" w:sz="0" w:space="0" w:color="auto"/>
            <w:left w:val="none" w:sz="0" w:space="0" w:color="auto"/>
            <w:bottom w:val="none" w:sz="0" w:space="0" w:color="auto"/>
            <w:right w:val="none" w:sz="0" w:space="0" w:color="auto"/>
          </w:divBdr>
        </w:div>
        <w:div w:id="32580709">
          <w:marLeft w:val="0"/>
          <w:marRight w:val="0"/>
          <w:marTop w:val="0"/>
          <w:marBottom w:val="0"/>
          <w:divBdr>
            <w:top w:val="none" w:sz="0" w:space="0" w:color="auto"/>
            <w:left w:val="none" w:sz="0" w:space="0" w:color="auto"/>
            <w:bottom w:val="none" w:sz="0" w:space="0" w:color="auto"/>
            <w:right w:val="none" w:sz="0" w:space="0" w:color="auto"/>
          </w:divBdr>
        </w:div>
        <w:div w:id="1223518785">
          <w:marLeft w:val="0"/>
          <w:marRight w:val="0"/>
          <w:marTop w:val="0"/>
          <w:marBottom w:val="0"/>
          <w:divBdr>
            <w:top w:val="none" w:sz="0" w:space="0" w:color="auto"/>
            <w:left w:val="none" w:sz="0" w:space="0" w:color="auto"/>
            <w:bottom w:val="none" w:sz="0" w:space="0" w:color="auto"/>
            <w:right w:val="none" w:sz="0" w:space="0" w:color="auto"/>
          </w:divBdr>
        </w:div>
        <w:div w:id="1887645489">
          <w:marLeft w:val="0"/>
          <w:marRight w:val="0"/>
          <w:marTop w:val="0"/>
          <w:marBottom w:val="0"/>
          <w:divBdr>
            <w:top w:val="none" w:sz="0" w:space="0" w:color="auto"/>
            <w:left w:val="none" w:sz="0" w:space="0" w:color="auto"/>
            <w:bottom w:val="none" w:sz="0" w:space="0" w:color="auto"/>
            <w:right w:val="none" w:sz="0" w:space="0" w:color="auto"/>
          </w:divBdr>
        </w:div>
        <w:div w:id="18971156">
          <w:marLeft w:val="0"/>
          <w:marRight w:val="0"/>
          <w:marTop w:val="0"/>
          <w:marBottom w:val="0"/>
          <w:divBdr>
            <w:top w:val="none" w:sz="0" w:space="0" w:color="auto"/>
            <w:left w:val="none" w:sz="0" w:space="0" w:color="auto"/>
            <w:bottom w:val="none" w:sz="0" w:space="0" w:color="auto"/>
            <w:right w:val="none" w:sz="0" w:space="0" w:color="auto"/>
          </w:divBdr>
        </w:div>
        <w:div w:id="1894154184">
          <w:marLeft w:val="0"/>
          <w:marRight w:val="0"/>
          <w:marTop w:val="0"/>
          <w:marBottom w:val="0"/>
          <w:divBdr>
            <w:top w:val="none" w:sz="0" w:space="0" w:color="auto"/>
            <w:left w:val="none" w:sz="0" w:space="0" w:color="auto"/>
            <w:bottom w:val="none" w:sz="0" w:space="0" w:color="auto"/>
            <w:right w:val="none" w:sz="0" w:space="0" w:color="auto"/>
          </w:divBdr>
        </w:div>
        <w:div w:id="1279920773">
          <w:marLeft w:val="0"/>
          <w:marRight w:val="0"/>
          <w:marTop w:val="0"/>
          <w:marBottom w:val="0"/>
          <w:divBdr>
            <w:top w:val="none" w:sz="0" w:space="0" w:color="auto"/>
            <w:left w:val="none" w:sz="0" w:space="0" w:color="auto"/>
            <w:bottom w:val="none" w:sz="0" w:space="0" w:color="auto"/>
            <w:right w:val="none" w:sz="0" w:space="0" w:color="auto"/>
          </w:divBdr>
        </w:div>
        <w:div w:id="736055624">
          <w:marLeft w:val="0"/>
          <w:marRight w:val="0"/>
          <w:marTop w:val="0"/>
          <w:marBottom w:val="0"/>
          <w:divBdr>
            <w:top w:val="none" w:sz="0" w:space="0" w:color="auto"/>
            <w:left w:val="none" w:sz="0" w:space="0" w:color="auto"/>
            <w:bottom w:val="none" w:sz="0" w:space="0" w:color="auto"/>
            <w:right w:val="none" w:sz="0" w:space="0" w:color="auto"/>
          </w:divBdr>
        </w:div>
        <w:div w:id="1601181366">
          <w:marLeft w:val="0"/>
          <w:marRight w:val="0"/>
          <w:marTop w:val="0"/>
          <w:marBottom w:val="0"/>
          <w:divBdr>
            <w:top w:val="none" w:sz="0" w:space="0" w:color="auto"/>
            <w:left w:val="none" w:sz="0" w:space="0" w:color="auto"/>
            <w:bottom w:val="none" w:sz="0" w:space="0" w:color="auto"/>
            <w:right w:val="none" w:sz="0" w:space="0" w:color="auto"/>
          </w:divBdr>
        </w:div>
        <w:div w:id="1360668888">
          <w:marLeft w:val="0"/>
          <w:marRight w:val="0"/>
          <w:marTop w:val="0"/>
          <w:marBottom w:val="0"/>
          <w:divBdr>
            <w:top w:val="none" w:sz="0" w:space="0" w:color="auto"/>
            <w:left w:val="none" w:sz="0" w:space="0" w:color="auto"/>
            <w:bottom w:val="none" w:sz="0" w:space="0" w:color="auto"/>
            <w:right w:val="none" w:sz="0" w:space="0" w:color="auto"/>
          </w:divBdr>
        </w:div>
        <w:div w:id="107162708">
          <w:marLeft w:val="0"/>
          <w:marRight w:val="0"/>
          <w:marTop w:val="0"/>
          <w:marBottom w:val="0"/>
          <w:divBdr>
            <w:top w:val="none" w:sz="0" w:space="0" w:color="auto"/>
            <w:left w:val="none" w:sz="0" w:space="0" w:color="auto"/>
            <w:bottom w:val="none" w:sz="0" w:space="0" w:color="auto"/>
            <w:right w:val="none" w:sz="0" w:space="0" w:color="auto"/>
          </w:divBdr>
        </w:div>
        <w:div w:id="795834896">
          <w:marLeft w:val="0"/>
          <w:marRight w:val="0"/>
          <w:marTop w:val="0"/>
          <w:marBottom w:val="0"/>
          <w:divBdr>
            <w:top w:val="none" w:sz="0" w:space="0" w:color="auto"/>
            <w:left w:val="none" w:sz="0" w:space="0" w:color="auto"/>
            <w:bottom w:val="none" w:sz="0" w:space="0" w:color="auto"/>
            <w:right w:val="none" w:sz="0" w:space="0" w:color="auto"/>
          </w:divBdr>
        </w:div>
      </w:divsChild>
    </w:div>
    <w:div w:id="1460148339">
      <w:bodyDiv w:val="1"/>
      <w:marLeft w:val="0"/>
      <w:marRight w:val="0"/>
      <w:marTop w:val="0"/>
      <w:marBottom w:val="0"/>
      <w:divBdr>
        <w:top w:val="none" w:sz="0" w:space="0" w:color="auto"/>
        <w:left w:val="none" w:sz="0" w:space="0" w:color="auto"/>
        <w:bottom w:val="none" w:sz="0" w:space="0" w:color="auto"/>
        <w:right w:val="none" w:sz="0" w:space="0" w:color="auto"/>
      </w:divBdr>
    </w:div>
    <w:div w:id="1461799501">
      <w:bodyDiv w:val="1"/>
      <w:marLeft w:val="0"/>
      <w:marRight w:val="0"/>
      <w:marTop w:val="0"/>
      <w:marBottom w:val="0"/>
      <w:divBdr>
        <w:top w:val="none" w:sz="0" w:space="0" w:color="auto"/>
        <w:left w:val="none" w:sz="0" w:space="0" w:color="auto"/>
        <w:bottom w:val="none" w:sz="0" w:space="0" w:color="auto"/>
        <w:right w:val="none" w:sz="0" w:space="0" w:color="auto"/>
      </w:divBdr>
    </w:div>
    <w:div w:id="1545367702">
      <w:bodyDiv w:val="1"/>
      <w:marLeft w:val="0"/>
      <w:marRight w:val="0"/>
      <w:marTop w:val="0"/>
      <w:marBottom w:val="0"/>
      <w:divBdr>
        <w:top w:val="none" w:sz="0" w:space="0" w:color="auto"/>
        <w:left w:val="none" w:sz="0" w:space="0" w:color="auto"/>
        <w:bottom w:val="none" w:sz="0" w:space="0" w:color="auto"/>
        <w:right w:val="none" w:sz="0" w:space="0" w:color="auto"/>
      </w:divBdr>
    </w:div>
    <w:div w:id="1553494527">
      <w:bodyDiv w:val="1"/>
      <w:marLeft w:val="0"/>
      <w:marRight w:val="0"/>
      <w:marTop w:val="0"/>
      <w:marBottom w:val="0"/>
      <w:divBdr>
        <w:top w:val="none" w:sz="0" w:space="0" w:color="auto"/>
        <w:left w:val="none" w:sz="0" w:space="0" w:color="auto"/>
        <w:bottom w:val="none" w:sz="0" w:space="0" w:color="auto"/>
        <w:right w:val="none" w:sz="0" w:space="0" w:color="auto"/>
      </w:divBdr>
    </w:div>
    <w:div w:id="1575238620">
      <w:bodyDiv w:val="1"/>
      <w:marLeft w:val="0"/>
      <w:marRight w:val="0"/>
      <w:marTop w:val="0"/>
      <w:marBottom w:val="0"/>
      <w:divBdr>
        <w:top w:val="none" w:sz="0" w:space="0" w:color="auto"/>
        <w:left w:val="none" w:sz="0" w:space="0" w:color="auto"/>
        <w:bottom w:val="none" w:sz="0" w:space="0" w:color="auto"/>
        <w:right w:val="none" w:sz="0" w:space="0" w:color="auto"/>
      </w:divBdr>
    </w:div>
    <w:div w:id="1596598560">
      <w:bodyDiv w:val="1"/>
      <w:marLeft w:val="0"/>
      <w:marRight w:val="0"/>
      <w:marTop w:val="0"/>
      <w:marBottom w:val="0"/>
      <w:divBdr>
        <w:top w:val="none" w:sz="0" w:space="0" w:color="auto"/>
        <w:left w:val="none" w:sz="0" w:space="0" w:color="auto"/>
        <w:bottom w:val="none" w:sz="0" w:space="0" w:color="auto"/>
        <w:right w:val="none" w:sz="0" w:space="0" w:color="auto"/>
      </w:divBdr>
    </w:div>
    <w:div w:id="1613709630">
      <w:bodyDiv w:val="1"/>
      <w:marLeft w:val="0"/>
      <w:marRight w:val="0"/>
      <w:marTop w:val="0"/>
      <w:marBottom w:val="0"/>
      <w:divBdr>
        <w:top w:val="none" w:sz="0" w:space="0" w:color="auto"/>
        <w:left w:val="none" w:sz="0" w:space="0" w:color="auto"/>
        <w:bottom w:val="none" w:sz="0" w:space="0" w:color="auto"/>
        <w:right w:val="none" w:sz="0" w:space="0" w:color="auto"/>
      </w:divBdr>
    </w:div>
    <w:div w:id="1629706211">
      <w:bodyDiv w:val="1"/>
      <w:marLeft w:val="0"/>
      <w:marRight w:val="0"/>
      <w:marTop w:val="0"/>
      <w:marBottom w:val="0"/>
      <w:divBdr>
        <w:top w:val="none" w:sz="0" w:space="0" w:color="auto"/>
        <w:left w:val="none" w:sz="0" w:space="0" w:color="auto"/>
        <w:bottom w:val="none" w:sz="0" w:space="0" w:color="auto"/>
        <w:right w:val="none" w:sz="0" w:space="0" w:color="auto"/>
      </w:divBdr>
    </w:div>
    <w:div w:id="1712652942">
      <w:bodyDiv w:val="1"/>
      <w:marLeft w:val="0"/>
      <w:marRight w:val="0"/>
      <w:marTop w:val="0"/>
      <w:marBottom w:val="0"/>
      <w:divBdr>
        <w:top w:val="none" w:sz="0" w:space="0" w:color="auto"/>
        <w:left w:val="none" w:sz="0" w:space="0" w:color="auto"/>
        <w:bottom w:val="none" w:sz="0" w:space="0" w:color="auto"/>
        <w:right w:val="none" w:sz="0" w:space="0" w:color="auto"/>
      </w:divBdr>
    </w:div>
    <w:div w:id="1727531488">
      <w:bodyDiv w:val="1"/>
      <w:marLeft w:val="0"/>
      <w:marRight w:val="0"/>
      <w:marTop w:val="0"/>
      <w:marBottom w:val="0"/>
      <w:divBdr>
        <w:top w:val="none" w:sz="0" w:space="0" w:color="auto"/>
        <w:left w:val="none" w:sz="0" w:space="0" w:color="auto"/>
        <w:bottom w:val="none" w:sz="0" w:space="0" w:color="auto"/>
        <w:right w:val="none" w:sz="0" w:space="0" w:color="auto"/>
      </w:divBdr>
      <w:divsChild>
        <w:div w:id="1187017582">
          <w:marLeft w:val="0"/>
          <w:marRight w:val="0"/>
          <w:marTop w:val="0"/>
          <w:marBottom w:val="0"/>
          <w:divBdr>
            <w:top w:val="single" w:sz="2" w:space="0" w:color="auto"/>
            <w:left w:val="single" w:sz="2" w:space="0" w:color="auto"/>
            <w:bottom w:val="single" w:sz="6" w:space="0" w:color="auto"/>
            <w:right w:val="single" w:sz="2" w:space="0" w:color="auto"/>
          </w:divBdr>
          <w:divsChild>
            <w:div w:id="1753161275">
              <w:marLeft w:val="0"/>
              <w:marRight w:val="0"/>
              <w:marTop w:val="100"/>
              <w:marBottom w:val="100"/>
              <w:divBdr>
                <w:top w:val="single" w:sz="2" w:space="0" w:color="D9D9E3"/>
                <w:left w:val="single" w:sz="2" w:space="0" w:color="D9D9E3"/>
                <w:bottom w:val="single" w:sz="2" w:space="0" w:color="D9D9E3"/>
                <w:right w:val="single" w:sz="2" w:space="0" w:color="D9D9E3"/>
              </w:divBdr>
              <w:divsChild>
                <w:div w:id="914897153">
                  <w:marLeft w:val="0"/>
                  <w:marRight w:val="0"/>
                  <w:marTop w:val="0"/>
                  <w:marBottom w:val="0"/>
                  <w:divBdr>
                    <w:top w:val="single" w:sz="2" w:space="0" w:color="D9D9E3"/>
                    <w:left w:val="single" w:sz="2" w:space="0" w:color="D9D9E3"/>
                    <w:bottom w:val="single" w:sz="2" w:space="0" w:color="D9D9E3"/>
                    <w:right w:val="single" w:sz="2" w:space="0" w:color="D9D9E3"/>
                  </w:divBdr>
                  <w:divsChild>
                    <w:div w:id="1409157963">
                      <w:marLeft w:val="0"/>
                      <w:marRight w:val="0"/>
                      <w:marTop w:val="0"/>
                      <w:marBottom w:val="0"/>
                      <w:divBdr>
                        <w:top w:val="single" w:sz="2" w:space="0" w:color="D9D9E3"/>
                        <w:left w:val="single" w:sz="2" w:space="0" w:color="D9D9E3"/>
                        <w:bottom w:val="single" w:sz="2" w:space="0" w:color="D9D9E3"/>
                        <w:right w:val="single" w:sz="2" w:space="0" w:color="D9D9E3"/>
                      </w:divBdr>
                      <w:divsChild>
                        <w:div w:id="1765227206">
                          <w:marLeft w:val="0"/>
                          <w:marRight w:val="0"/>
                          <w:marTop w:val="0"/>
                          <w:marBottom w:val="0"/>
                          <w:divBdr>
                            <w:top w:val="single" w:sz="2" w:space="0" w:color="D9D9E3"/>
                            <w:left w:val="single" w:sz="2" w:space="0" w:color="D9D9E3"/>
                            <w:bottom w:val="single" w:sz="2" w:space="0" w:color="D9D9E3"/>
                            <w:right w:val="single" w:sz="2" w:space="0" w:color="D9D9E3"/>
                          </w:divBdr>
                          <w:divsChild>
                            <w:div w:id="3999819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22840887">
      <w:bodyDiv w:val="1"/>
      <w:marLeft w:val="0"/>
      <w:marRight w:val="0"/>
      <w:marTop w:val="0"/>
      <w:marBottom w:val="0"/>
      <w:divBdr>
        <w:top w:val="none" w:sz="0" w:space="0" w:color="auto"/>
        <w:left w:val="none" w:sz="0" w:space="0" w:color="auto"/>
        <w:bottom w:val="none" w:sz="0" w:space="0" w:color="auto"/>
        <w:right w:val="none" w:sz="0" w:space="0" w:color="auto"/>
      </w:divBdr>
    </w:div>
    <w:div w:id="1841430563">
      <w:bodyDiv w:val="1"/>
      <w:marLeft w:val="0"/>
      <w:marRight w:val="0"/>
      <w:marTop w:val="0"/>
      <w:marBottom w:val="0"/>
      <w:divBdr>
        <w:top w:val="none" w:sz="0" w:space="0" w:color="auto"/>
        <w:left w:val="none" w:sz="0" w:space="0" w:color="auto"/>
        <w:bottom w:val="none" w:sz="0" w:space="0" w:color="auto"/>
        <w:right w:val="none" w:sz="0" w:space="0" w:color="auto"/>
      </w:divBdr>
    </w:div>
    <w:div w:id="1845585759">
      <w:bodyDiv w:val="1"/>
      <w:marLeft w:val="0"/>
      <w:marRight w:val="0"/>
      <w:marTop w:val="0"/>
      <w:marBottom w:val="0"/>
      <w:divBdr>
        <w:top w:val="none" w:sz="0" w:space="0" w:color="auto"/>
        <w:left w:val="none" w:sz="0" w:space="0" w:color="auto"/>
        <w:bottom w:val="none" w:sz="0" w:space="0" w:color="auto"/>
        <w:right w:val="none" w:sz="0" w:space="0" w:color="auto"/>
      </w:divBdr>
    </w:div>
    <w:div w:id="1935939335">
      <w:bodyDiv w:val="1"/>
      <w:marLeft w:val="0"/>
      <w:marRight w:val="0"/>
      <w:marTop w:val="0"/>
      <w:marBottom w:val="0"/>
      <w:divBdr>
        <w:top w:val="none" w:sz="0" w:space="0" w:color="auto"/>
        <w:left w:val="none" w:sz="0" w:space="0" w:color="auto"/>
        <w:bottom w:val="none" w:sz="0" w:space="0" w:color="auto"/>
        <w:right w:val="none" w:sz="0" w:space="0" w:color="auto"/>
      </w:divBdr>
    </w:div>
    <w:div w:id="1970085006">
      <w:bodyDiv w:val="1"/>
      <w:marLeft w:val="0"/>
      <w:marRight w:val="0"/>
      <w:marTop w:val="0"/>
      <w:marBottom w:val="0"/>
      <w:divBdr>
        <w:top w:val="none" w:sz="0" w:space="0" w:color="auto"/>
        <w:left w:val="none" w:sz="0" w:space="0" w:color="auto"/>
        <w:bottom w:val="none" w:sz="0" w:space="0" w:color="auto"/>
        <w:right w:val="none" w:sz="0" w:space="0" w:color="auto"/>
      </w:divBdr>
    </w:div>
    <w:div w:id="2006928916">
      <w:bodyDiv w:val="1"/>
      <w:marLeft w:val="0"/>
      <w:marRight w:val="0"/>
      <w:marTop w:val="0"/>
      <w:marBottom w:val="0"/>
      <w:divBdr>
        <w:top w:val="none" w:sz="0" w:space="0" w:color="auto"/>
        <w:left w:val="none" w:sz="0" w:space="0" w:color="auto"/>
        <w:bottom w:val="none" w:sz="0" w:space="0" w:color="auto"/>
        <w:right w:val="none" w:sz="0" w:space="0" w:color="auto"/>
      </w:divBdr>
    </w:div>
    <w:div w:id="2009206337">
      <w:bodyDiv w:val="1"/>
      <w:marLeft w:val="0"/>
      <w:marRight w:val="0"/>
      <w:marTop w:val="0"/>
      <w:marBottom w:val="0"/>
      <w:divBdr>
        <w:top w:val="none" w:sz="0" w:space="0" w:color="auto"/>
        <w:left w:val="none" w:sz="0" w:space="0" w:color="auto"/>
        <w:bottom w:val="none" w:sz="0" w:space="0" w:color="auto"/>
        <w:right w:val="none" w:sz="0" w:space="0" w:color="auto"/>
      </w:divBdr>
    </w:div>
    <w:div w:id="2011909808">
      <w:bodyDiv w:val="1"/>
      <w:marLeft w:val="0"/>
      <w:marRight w:val="0"/>
      <w:marTop w:val="0"/>
      <w:marBottom w:val="0"/>
      <w:divBdr>
        <w:top w:val="none" w:sz="0" w:space="0" w:color="auto"/>
        <w:left w:val="none" w:sz="0" w:space="0" w:color="auto"/>
        <w:bottom w:val="none" w:sz="0" w:space="0" w:color="auto"/>
        <w:right w:val="none" w:sz="0" w:space="0" w:color="auto"/>
      </w:divBdr>
    </w:div>
    <w:div w:id="2035307632">
      <w:bodyDiv w:val="1"/>
      <w:marLeft w:val="0"/>
      <w:marRight w:val="0"/>
      <w:marTop w:val="0"/>
      <w:marBottom w:val="0"/>
      <w:divBdr>
        <w:top w:val="none" w:sz="0" w:space="0" w:color="auto"/>
        <w:left w:val="none" w:sz="0" w:space="0" w:color="auto"/>
        <w:bottom w:val="none" w:sz="0" w:space="0" w:color="auto"/>
        <w:right w:val="none" w:sz="0" w:space="0" w:color="auto"/>
      </w:divBdr>
    </w:div>
    <w:div w:id="2038043728">
      <w:bodyDiv w:val="1"/>
      <w:marLeft w:val="0"/>
      <w:marRight w:val="0"/>
      <w:marTop w:val="0"/>
      <w:marBottom w:val="0"/>
      <w:divBdr>
        <w:top w:val="none" w:sz="0" w:space="0" w:color="auto"/>
        <w:left w:val="none" w:sz="0" w:space="0" w:color="auto"/>
        <w:bottom w:val="none" w:sz="0" w:space="0" w:color="auto"/>
        <w:right w:val="none" w:sz="0" w:space="0" w:color="auto"/>
      </w:divBdr>
    </w:div>
    <w:div w:id="2132748336">
      <w:bodyDiv w:val="1"/>
      <w:marLeft w:val="0"/>
      <w:marRight w:val="0"/>
      <w:marTop w:val="0"/>
      <w:marBottom w:val="0"/>
      <w:divBdr>
        <w:top w:val="none" w:sz="0" w:space="0" w:color="auto"/>
        <w:left w:val="none" w:sz="0" w:space="0" w:color="auto"/>
        <w:bottom w:val="none" w:sz="0" w:space="0" w:color="auto"/>
        <w:right w:val="none" w:sz="0" w:space="0" w:color="auto"/>
      </w:divBdr>
      <w:divsChild>
        <w:div w:id="894394398">
          <w:marLeft w:val="0"/>
          <w:marRight w:val="0"/>
          <w:marTop w:val="0"/>
          <w:marBottom w:val="0"/>
          <w:divBdr>
            <w:top w:val="single" w:sz="2" w:space="0" w:color="auto"/>
            <w:left w:val="single" w:sz="2" w:space="0" w:color="auto"/>
            <w:bottom w:val="single" w:sz="6" w:space="0" w:color="auto"/>
            <w:right w:val="single" w:sz="2" w:space="0" w:color="auto"/>
          </w:divBdr>
          <w:divsChild>
            <w:div w:id="1806851280">
              <w:marLeft w:val="0"/>
              <w:marRight w:val="0"/>
              <w:marTop w:val="100"/>
              <w:marBottom w:val="100"/>
              <w:divBdr>
                <w:top w:val="single" w:sz="2" w:space="0" w:color="D9D9E3"/>
                <w:left w:val="single" w:sz="2" w:space="0" w:color="D9D9E3"/>
                <w:bottom w:val="single" w:sz="2" w:space="0" w:color="D9D9E3"/>
                <w:right w:val="single" w:sz="2" w:space="0" w:color="D9D9E3"/>
              </w:divBdr>
              <w:divsChild>
                <w:div w:id="743913939">
                  <w:marLeft w:val="0"/>
                  <w:marRight w:val="0"/>
                  <w:marTop w:val="0"/>
                  <w:marBottom w:val="0"/>
                  <w:divBdr>
                    <w:top w:val="single" w:sz="2" w:space="0" w:color="D9D9E3"/>
                    <w:left w:val="single" w:sz="2" w:space="0" w:color="D9D9E3"/>
                    <w:bottom w:val="single" w:sz="2" w:space="0" w:color="D9D9E3"/>
                    <w:right w:val="single" w:sz="2" w:space="0" w:color="D9D9E3"/>
                  </w:divBdr>
                  <w:divsChild>
                    <w:div w:id="164368156">
                      <w:marLeft w:val="0"/>
                      <w:marRight w:val="0"/>
                      <w:marTop w:val="0"/>
                      <w:marBottom w:val="0"/>
                      <w:divBdr>
                        <w:top w:val="single" w:sz="2" w:space="0" w:color="D9D9E3"/>
                        <w:left w:val="single" w:sz="2" w:space="0" w:color="D9D9E3"/>
                        <w:bottom w:val="single" w:sz="2" w:space="0" w:color="D9D9E3"/>
                        <w:right w:val="single" w:sz="2" w:space="0" w:color="D9D9E3"/>
                      </w:divBdr>
                      <w:divsChild>
                        <w:div w:id="1130974037">
                          <w:marLeft w:val="0"/>
                          <w:marRight w:val="0"/>
                          <w:marTop w:val="0"/>
                          <w:marBottom w:val="0"/>
                          <w:divBdr>
                            <w:top w:val="single" w:sz="2" w:space="0" w:color="D9D9E3"/>
                            <w:left w:val="single" w:sz="2" w:space="0" w:color="D9D9E3"/>
                            <w:bottom w:val="single" w:sz="2" w:space="0" w:color="D9D9E3"/>
                            <w:right w:val="single" w:sz="2" w:space="0" w:color="D9D9E3"/>
                          </w:divBdr>
                          <w:divsChild>
                            <w:div w:id="13931929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898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qfrbifef5P/uqAeiUN7JNyuVnw==">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</go:docsCustomData>
</go:gDocsCustomXmlDataStorage>
</file>

<file path=customXml/itemProps1.xml><?xml version="1.0" encoding="utf-8"?>
<ds:datastoreItem xmlns:ds="http://schemas.openxmlformats.org/officeDocument/2006/customXml" ds:itemID="{27A7A95F-3A3F-48EC-B883-BD8A4809807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15</Pages>
  <Words>2121</Words>
  <Characters>12095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Polonen, Petri</dc:creator>
  <cp:lastModifiedBy>Poonam Mutha</cp:lastModifiedBy>
  <cp:revision>39</cp:revision>
  <cp:lastPrinted>2023-10-09T18:02:00Z</cp:lastPrinted>
  <dcterms:created xsi:type="dcterms:W3CDTF">2023-10-19T20:49:00Z</dcterms:created>
  <dcterms:modified xsi:type="dcterms:W3CDTF">2023-10-27T12:26:00Z</dcterms:modified>
</cp:coreProperties>
</file>