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641937" w14:textId="77777777" w:rsidR="002A79C5" w:rsidRDefault="002A79C5" w:rsidP="002A79C5">
      <w:pPr>
        <w:spacing w:line="480" w:lineRule="auto"/>
        <w:ind w:firstLine="567"/>
        <w:jc w:val="center"/>
        <w:rPr>
          <w:b/>
        </w:rPr>
      </w:pPr>
      <w:r>
        <w:rPr>
          <w:b/>
        </w:rPr>
        <w:t>Online Supplement</w:t>
      </w:r>
    </w:p>
    <w:p w14:paraId="692827C2" w14:textId="77777777" w:rsidR="002A79C5" w:rsidRDefault="002A79C5" w:rsidP="002A79C5">
      <w:pPr>
        <w:rPr>
          <w:i/>
          <w:color w:val="000000"/>
        </w:rPr>
      </w:pPr>
      <w:r>
        <w:rPr>
          <w:b/>
          <w:color w:val="000000"/>
        </w:rPr>
        <w:t xml:space="preserve">Figure OSM.1. </w:t>
      </w:r>
      <w:r>
        <w:rPr>
          <w:i/>
          <w:color w:val="000000"/>
        </w:rPr>
        <w:t>Intercorrelations among the alternative age markers at follow-up assessment, if available.</w:t>
      </w:r>
    </w:p>
    <w:p w14:paraId="448A3EB1" w14:textId="77777777" w:rsidR="002A79C5" w:rsidRDefault="002A79C5" w:rsidP="002A79C5">
      <w:pPr>
        <w:rPr>
          <w:i/>
          <w:color w:val="000000"/>
        </w:rPr>
      </w:pPr>
      <w:r>
        <w:rPr>
          <w:i/>
          <w:noProof/>
          <w:color w:val="000000"/>
          <w:lang w:val="en-US" w:eastAsia="en-US"/>
        </w:rPr>
        <w:drawing>
          <wp:inline distT="0" distB="0" distL="0" distR="0" wp14:anchorId="4BF4821F" wp14:editId="7E30CA2E">
            <wp:extent cx="9293986" cy="5266592"/>
            <wp:effectExtent l="0" t="0" r="2540" b="4445"/>
            <wp:docPr id="50348819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3488197" name="Picture 503488197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305622" cy="5273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93DC2E" w14:textId="77777777" w:rsidR="002A79C5" w:rsidRDefault="002A79C5" w:rsidP="002A79C5">
      <w:pPr>
        <w:spacing w:after="200" w:line="276" w:lineRule="auto"/>
        <w:rPr>
          <w:color w:val="FF0000"/>
        </w:rPr>
      </w:pPr>
      <w:r w:rsidRPr="003756B3">
        <w:rPr>
          <w:i/>
          <w:iCs/>
          <w:color w:val="000000" w:themeColor="text1"/>
        </w:rPr>
        <w:t>Note</w:t>
      </w:r>
      <w:r w:rsidRPr="003756B3">
        <w:rPr>
          <w:color w:val="000000" w:themeColor="text1"/>
        </w:rPr>
        <w:t xml:space="preserve">. </w:t>
      </w:r>
      <w:r>
        <w:rPr>
          <w:color w:val="000000" w:themeColor="text1"/>
        </w:rPr>
        <w:t>Data for BioAge, BrainAge, and SkinAge taken from baseline assessment.</w:t>
      </w:r>
      <w:r>
        <w:rPr>
          <w:color w:val="FF0000"/>
        </w:rPr>
        <w:br w:type="page"/>
      </w:r>
    </w:p>
    <w:p w14:paraId="717275F3" w14:textId="77777777" w:rsidR="002A79C5" w:rsidRPr="002340CD" w:rsidRDefault="002A79C5" w:rsidP="002A79C5">
      <w:pPr>
        <w:rPr>
          <w:i/>
          <w:color w:val="000000" w:themeColor="text1"/>
        </w:rPr>
      </w:pPr>
      <w:r w:rsidRPr="002340CD">
        <w:rPr>
          <w:b/>
          <w:color w:val="000000" w:themeColor="text1"/>
        </w:rPr>
        <w:lastRenderedPageBreak/>
        <w:t xml:space="preserve">Figure OSM.2. </w:t>
      </w:r>
      <w:r w:rsidRPr="002340CD">
        <w:rPr>
          <w:i/>
          <w:color w:val="000000" w:themeColor="text1"/>
        </w:rPr>
        <w:t xml:space="preserve">Intercorrelations among the alternative age markers at follow-up assessment (using </w:t>
      </w:r>
      <w:r w:rsidRPr="002340CD">
        <w:rPr>
          <w:color w:val="000000" w:themeColor="text1"/>
        </w:rPr>
        <w:t>Horvath’s Clock (DNAmAA, buccal</w:t>
      </w:r>
      <w:r>
        <w:rPr>
          <w:color w:val="000000" w:themeColor="text1"/>
        </w:rPr>
        <w:t xml:space="preserve"> swap DNA</w:t>
      </w:r>
      <w:r w:rsidRPr="002340CD">
        <w:rPr>
          <w:color w:val="000000" w:themeColor="text1"/>
        </w:rPr>
        <w:t>)</w:t>
      </w:r>
      <w:r w:rsidRPr="002340CD">
        <w:rPr>
          <w:i/>
          <w:color w:val="000000" w:themeColor="text1"/>
        </w:rPr>
        <w:t>.</w:t>
      </w:r>
    </w:p>
    <w:p w14:paraId="4F23CFAE" w14:textId="77777777" w:rsidR="002A79C5" w:rsidRDefault="002A79C5" w:rsidP="002A79C5">
      <w:pPr>
        <w:rPr>
          <w:i/>
          <w:color w:val="000000"/>
        </w:rPr>
      </w:pPr>
      <w:r>
        <w:rPr>
          <w:i/>
          <w:noProof/>
          <w:color w:val="000000"/>
          <w:lang w:val="en-US" w:eastAsia="en-US"/>
        </w:rPr>
        <w:drawing>
          <wp:inline distT="0" distB="0" distL="0" distR="0" wp14:anchorId="30C94EA2" wp14:editId="35DA6383">
            <wp:extent cx="9480176" cy="5372100"/>
            <wp:effectExtent l="0" t="0" r="0" b="0"/>
            <wp:docPr id="47126036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1260362" name="Picture 47126036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00403" cy="5383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E32F56" w14:textId="77777777" w:rsidR="002A79C5" w:rsidRDefault="002A79C5" w:rsidP="002A79C5">
      <w:pPr>
        <w:spacing w:after="200" w:line="276" w:lineRule="auto"/>
        <w:rPr>
          <w:color w:val="000000"/>
        </w:rPr>
      </w:pPr>
      <w:r w:rsidRPr="00672BF7">
        <w:rPr>
          <w:i/>
          <w:iCs/>
          <w:color w:val="000000" w:themeColor="text1"/>
        </w:rPr>
        <w:t>Note</w:t>
      </w:r>
      <w:r w:rsidRPr="00672BF7">
        <w:rPr>
          <w:color w:val="000000" w:themeColor="text1"/>
        </w:rPr>
        <w:t xml:space="preserve">. </w:t>
      </w:r>
      <w:r>
        <w:rPr>
          <w:color w:val="000000" w:themeColor="text1"/>
        </w:rPr>
        <w:t>Data for BioAge, BrainAge, and SkinAge taken from baseline assessment.</w:t>
      </w:r>
      <w:r>
        <w:br w:type="page"/>
      </w:r>
    </w:p>
    <w:p w14:paraId="459BCA03" w14:textId="77777777" w:rsidR="002A79C5" w:rsidRDefault="002A79C5" w:rsidP="002A79C5">
      <w:pPr>
        <w:spacing w:after="200" w:line="276" w:lineRule="auto"/>
        <w:rPr>
          <w:i/>
          <w:color w:val="000000"/>
        </w:rPr>
      </w:pPr>
      <w:r>
        <w:rPr>
          <w:b/>
          <w:color w:val="000000"/>
        </w:rPr>
        <w:lastRenderedPageBreak/>
        <w:t xml:space="preserve">Figure OSM.3. </w:t>
      </w:r>
      <w:r>
        <w:rPr>
          <w:i/>
          <w:color w:val="000000"/>
        </w:rPr>
        <w:t>Intercorrelations between the alternative age markers at baseline assessment and long-term longitudinal changes.</w:t>
      </w:r>
    </w:p>
    <w:p w14:paraId="04A1B1C8" w14:textId="77777777" w:rsidR="002A79C5" w:rsidRDefault="002A79C5" w:rsidP="002A79C5">
      <w:pPr>
        <w:spacing w:after="200" w:line="276" w:lineRule="auto"/>
        <w:rPr>
          <w:i/>
          <w:color w:val="000000"/>
        </w:rPr>
      </w:pPr>
      <w:r>
        <w:rPr>
          <w:i/>
          <w:noProof/>
          <w:color w:val="000000"/>
          <w:lang w:val="en-US" w:eastAsia="en-US"/>
        </w:rPr>
        <w:drawing>
          <wp:inline distT="0" distB="0" distL="0" distR="0" wp14:anchorId="16285715" wp14:editId="24A186D7">
            <wp:extent cx="9138829" cy="5178670"/>
            <wp:effectExtent l="0" t="0" r="5715" b="3175"/>
            <wp:docPr id="137708563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7085637" name="Picture 1377085637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159188" cy="5190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2DED38" w14:textId="77777777" w:rsidR="002A79C5" w:rsidRDefault="002A79C5" w:rsidP="002A79C5">
      <w:pPr>
        <w:rPr>
          <w:color w:val="000000"/>
        </w:rPr>
      </w:pPr>
      <w:r>
        <w:rPr>
          <w:i/>
          <w:color w:val="000000"/>
        </w:rPr>
        <w:t>Note</w:t>
      </w:r>
      <w:r>
        <w:rPr>
          <w:color w:val="000000"/>
        </w:rPr>
        <w:t xml:space="preserve">. Intercorrelations that were not statistically significant at </w:t>
      </w:r>
      <w:r>
        <w:rPr>
          <w:i/>
          <w:color w:val="000000"/>
        </w:rPr>
        <w:t>p</w:t>
      </w:r>
      <w:r>
        <w:rPr>
          <w:color w:val="000000"/>
        </w:rPr>
        <w:t xml:space="preserve"> &lt; .05 were omitted for clarity. </w:t>
      </w:r>
      <w:r>
        <w:rPr>
          <w:color w:val="000000"/>
        </w:rPr>
        <w:br w:type="page"/>
      </w:r>
    </w:p>
    <w:p w14:paraId="5EF25396" w14:textId="77777777" w:rsidR="002A79C5" w:rsidRDefault="002A79C5" w:rsidP="002A79C5">
      <w:pPr>
        <w:rPr>
          <w:color w:val="000000"/>
        </w:rPr>
      </w:pPr>
      <w:r>
        <w:rPr>
          <w:b/>
          <w:color w:val="000000"/>
        </w:rPr>
        <w:lastRenderedPageBreak/>
        <w:t xml:space="preserve">Figure OSM.4. </w:t>
      </w:r>
      <w:r>
        <w:rPr>
          <w:i/>
          <w:color w:val="000000"/>
        </w:rPr>
        <w:t>Intercorrelations among the alternative age markers at follow-up assessment using complete cases.</w:t>
      </w:r>
    </w:p>
    <w:p w14:paraId="117D7DF5" w14:textId="77777777" w:rsidR="002A79C5" w:rsidRDefault="002A79C5" w:rsidP="002A79C5">
      <w:pPr>
        <w:rPr>
          <w:color w:val="000000"/>
        </w:rPr>
      </w:pPr>
      <w:r>
        <w:rPr>
          <w:noProof/>
          <w:color w:val="000000"/>
          <w:lang w:val="en-US" w:eastAsia="en-US"/>
        </w:rPr>
        <w:drawing>
          <wp:inline distT="0" distB="0" distL="0" distR="0" wp14:anchorId="63BEA126" wp14:editId="23390DBE">
            <wp:extent cx="9418114" cy="5336931"/>
            <wp:effectExtent l="0" t="0" r="5715" b="0"/>
            <wp:docPr id="427149460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7149460" name="Picture 427149460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36166" cy="5347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55D907" w14:textId="77777777" w:rsidR="002A79C5" w:rsidRDefault="002A79C5" w:rsidP="002A79C5">
      <w:pPr>
        <w:spacing w:after="200" w:line="276" w:lineRule="auto"/>
        <w:rPr>
          <w:b/>
          <w:color w:val="000000"/>
        </w:rPr>
      </w:pPr>
      <w:r>
        <w:rPr>
          <w:i/>
          <w:color w:val="000000"/>
        </w:rPr>
        <w:t>Note</w:t>
      </w:r>
      <w:r>
        <w:rPr>
          <w:color w:val="000000"/>
        </w:rPr>
        <w:t xml:space="preserve">. </w:t>
      </w:r>
      <w:r w:rsidRPr="008B2042">
        <w:rPr>
          <w:color w:val="000000"/>
        </w:rPr>
        <w:t xml:space="preserve">We want to point out that the correlation between epigenetic clocks with the exception of the DunedinPACE methylation age was already published as part of </w:t>
      </w:r>
      <w:sdt>
        <w:sdtPr>
          <w:rPr>
            <w:color w:val="000000"/>
            <w:vertAlign w:val="superscript"/>
          </w:rPr>
          <w:tag w:val="MENDELEY_CITATION_v3_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"/>
          <w:id w:val="46964121"/>
          <w:placeholder>
            <w:docPart w:val="DAD5CDE09E854CE790A31D44C66838AA"/>
          </w:placeholder>
        </w:sdtPr>
        <w:sdtContent>
          <w:r w:rsidRPr="0065240E">
            <w:rPr>
              <w:color w:val="000000"/>
              <w:vertAlign w:val="superscript"/>
            </w:rPr>
            <w:t>25</w:t>
          </w:r>
        </w:sdtContent>
      </w:sdt>
      <w:r w:rsidRPr="008B2042">
        <w:rPr>
          <w:color w:val="000000"/>
        </w:rPr>
        <w:t>.</w:t>
      </w:r>
      <w:r>
        <w:br w:type="page"/>
      </w:r>
    </w:p>
    <w:p w14:paraId="76739DC8" w14:textId="77777777" w:rsidR="002A79C5" w:rsidRDefault="002A79C5" w:rsidP="002A79C5">
      <w:pPr>
        <w:rPr>
          <w:color w:val="000000"/>
        </w:rPr>
      </w:pPr>
      <w:r>
        <w:rPr>
          <w:b/>
          <w:color w:val="000000"/>
        </w:rPr>
        <w:lastRenderedPageBreak/>
        <w:t xml:space="preserve">Figure OSM.5. </w:t>
      </w:r>
      <w:r>
        <w:rPr>
          <w:i/>
          <w:color w:val="000000"/>
        </w:rPr>
        <w:t>Intercorrelations among the alternative age markers at follow-up assessment using complete cases.</w:t>
      </w:r>
    </w:p>
    <w:p w14:paraId="4C79035B" w14:textId="77777777" w:rsidR="002A79C5" w:rsidRDefault="002A79C5" w:rsidP="002A79C5">
      <w:pPr>
        <w:rPr>
          <w:color w:val="000000"/>
        </w:rPr>
      </w:pPr>
      <w:r>
        <w:rPr>
          <w:noProof/>
          <w:color w:val="000000"/>
          <w:lang w:val="en-US" w:eastAsia="en-US"/>
        </w:rPr>
        <w:drawing>
          <wp:inline distT="0" distB="0" distL="0" distR="0" wp14:anchorId="5ED0EAD1" wp14:editId="0FCD47FE">
            <wp:extent cx="9666367" cy="5477608"/>
            <wp:effectExtent l="0" t="0" r="0" b="0"/>
            <wp:docPr id="1801007880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1007880" name="Picture 1801007880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75031" cy="54825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2A415" w14:textId="77777777" w:rsidR="002A79C5" w:rsidRDefault="002A79C5" w:rsidP="002A79C5">
      <w:pPr>
        <w:spacing w:after="200" w:line="276" w:lineRule="auto"/>
        <w:rPr>
          <w:color w:val="FF0000"/>
        </w:rPr>
      </w:pPr>
      <w:r>
        <w:rPr>
          <w:color w:val="000000" w:themeColor="text1"/>
        </w:rPr>
        <w:t>Data for BioAge, BrainAge, and SkinAge taken from baseline assessment.</w:t>
      </w:r>
      <w:r>
        <w:rPr>
          <w:color w:val="FF0000"/>
        </w:rPr>
        <w:br w:type="page"/>
      </w:r>
    </w:p>
    <w:p w14:paraId="03DD944C" w14:textId="77777777" w:rsidR="002A79C5" w:rsidRDefault="002A79C5" w:rsidP="002A79C5">
      <w:pPr>
        <w:rPr>
          <w:color w:val="000000"/>
        </w:rPr>
      </w:pPr>
      <w:r>
        <w:rPr>
          <w:b/>
          <w:color w:val="000000"/>
        </w:rPr>
        <w:lastRenderedPageBreak/>
        <w:t xml:space="preserve">Figure OSM.6. </w:t>
      </w:r>
      <w:r>
        <w:rPr>
          <w:i/>
          <w:color w:val="000000"/>
        </w:rPr>
        <w:t>Intercorrelations among the alternative age markers at baseline assessment  for women.</w:t>
      </w:r>
    </w:p>
    <w:p w14:paraId="668ED2D7" w14:textId="77777777" w:rsidR="002A79C5" w:rsidRDefault="002A79C5" w:rsidP="002A79C5">
      <w:pPr>
        <w:rPr>
          <w:color w:val="000000"/>
        </w:rPr>
      </w:pPr>
      <w:r>
        <w:rPr>
          <w:noProof/>
          <w:color w:val="000000"/>
          <w:lang w:val="en-US" w:eastAsia="en-US"/>
        </w:rPr>
        <w:drawing>
          <wp:inline distT="0" distB="0" distL="0" distR="0" wp14:anchorId="514F9C9C" wp14:editId="7637F57E">
            <wp:extent cx="9945651" cy="5635869"/>
            <wp:effectExtent l="0" t="0" r="0" b="3175"/>
            <wp:docPr id="1874352543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4352543" name="Picture 187435254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55558" cy="5641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3B7AE5" w14:textId="77777777" w:rsidR="002A79C5" w:rsidRDefault="002A79C5" w:rsidP="002A79C5">
      <w:pPr>
        <w:spacing w:after="200" w:line="276" w:lineRule="auto"/>
        <w:rPr>
          <w:color w:val="FF0000"/>
        </w:rPr>
      </w:pPr>
      <w:r>
        <w:rPr>
          <w:color w:val="FF0000"/>
        </w:rPr>
        <w:br w:type="page"/>
      </w:r>
    </w:p>
    <w:p w14:paraId="54E64F2C" w14:textId="77777777" w:rsidR="002A79C5" w:rsidRDefault="002A79C5" w:rsidP="002A79C5">
      <w:pPr>
        <w:rPr>
          <w:color w:val="000000"/>
        </w:rPr>
      </w:pPr>
      <w:r>
        <w:rPr>
          <w:b/>
          <w:color w:val="000000"/>
        </w:rPr>
        <w:lastRenderedPageBreak/>
        <w:t xml:space="preserve">Figure OSM.7. </w:t>
      </w:r>
      <w:r>
        <w:rPr>
          <w:i/>
          <w:color w:val="000000"/>
        </w:rPr>
        <w:t>Intercorrelations among the alternative age markers at baseline assessment  for men.</w:t>
      </w:r>
    </w:p>
    <w:p w14:paraId="22783CBA" w14:textId="77777777" w:rsidR="002A79C5" w:rsidRDefault="002A79C5" w:rsidP="002A79C5">
      <w:pPr>
        <w:rPr>
          <w:color w:val="000000"/>
        </w:rPr>
      </w:pPr>
      <w:r>
        <w:rPr>
          <w:noProof/>
          <w:color w:val="000000"/>
          <w:lang w:val="en-US" w:eastAsia="en-US"/>
        </w:rPr>
        <w:drawing>
          <wp:inline distT="0" distB="0" distL="0" distR="0" wp14:anchorId="5BD1E765" wp14:editId="1EA6FB04">
            <wp:extent cx="9837041" cy="5574323"/>
            <wp:effectExtent l="0" t="0" r="5715" b="1270"/>
            <wp:docPr id="1739160872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9160872" name="Picture 1739160872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54514" cy="558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BE7B11" w14:textId="77777777" w:rsidR="002A79C5" w:rsidRDefault="002A79C5" w:rsidP="002A79C5">
      <w:pPr>
        <w:spacing w:after="200" w:line="276" w:lineRule="auto"/>
        <w:rPr>
          <w:color w:val="FF0000"/>
        </w:rPr>
      </w:pPr>
      <w:r>
        <w:rPr>
          <w:color w:val="FF0000"/>
        </w:rPr>
        <w:br w:type="page"/>
      </w:r>
    </w:p>
    <w:p w14:paraId="1B8430AA" w14:textId="77777777" w:rsidR="002A79C5" w:rsidRDefault="002A79C5" w:rsidP="002A79C5">
      <w:pPr>
        <w:rPr>
          <w:i/>
          <w:color w:val="000000"/>
        </w:rPr>
      </w:pPr>
      <w:r>
        <w:rPr>
          <w:b/>
          <w:color w:val="000000"/>
        </w:rPr>
        <w:lastRenderedPageBreak/>
        <w:t xml:space="preserve">Figure OSM.8. </w:t>
      </w:r>
      <w:r>
        <w:rPr>
          <w:i/>
          <w:color w:val="000000"/>
        </w:rPr>
        <w:t>Intercorrelations among the alternative age markers at follow-up assessment for those who suffered from two and more chronic physical diseases at follow-up (n = 376).</w:t>
      </w:r>
    </w:p>
    <w:p w14:paraId="394BBC68" w14:textId="77777777" w:rsidR="002A79C5" w:rsidRDefault="002A79C5" w:rsidP="002A79C5">
      <w:pPr>
        <w:rPr>
          <w:i/>
          <w:color w:val="000000"/>
        </w:rPr>
      </w:pPr>
      <w:r>
        <w:rPr>
          <w:i/>
          <w:noProof/>
          <w:color w:val="000000"/>
          <w:lang w:val="en-US" w:eastAsia="en-US"/>
        </w:rPr>
        <w:drawing>
          <wp:inline distT="0" distB="0" distL="0" distR="0" wp14:anchorId="06F87C75" wp14:editId="05CB4A3B">
            <wp:extent cx="9402596" cy="5328138"/>
            <wp:effectExtent l="0" t="0" r="0" b="6350"/>
            <wp:docPr id="1957471551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7471551" name="Picture 195747155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419936" cy="53379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87A2AC" w14:textId="77777777" w:rsidR="002A79C5" w:rsidRDefault="002A79C5" w:rsidP="002A79C5">
      <w:pPr>
        <w:spacing w:after="200" w:line="276" w:lineRule="auto"/>
        <w:rPr>
          <w:color w:val="FF0000"/>
        </w:rPr>
      </w:pPr>
      <w:r w:rsidRPr="00672BF7">
        <w:rPr>
          <w:i/>
          <w:iCs/>
          <w:color w:val="000000" w:themeColor="text1"/>
        </w:rPr>
        <w:t>Note</w:t>
      </w:r>
      <w:r w:rsidRPr="00672BF7">
        <w:rPr>
          <w:color w:val="000000" w:themeColor="text1"/>
        </w:rPr>
        <w:t xml:space="preserve">. </w:t>
      </w:r>
      <w:r>
        <w:rPr>
          <w:color w:val="000000" w:themeColor="text1"/>
        </w:rPr>
        <w:t>Data for BioAge, BrainAge, and SkinAge taken from baseline assessment.</w:t>
      </w:r>
      <w:r>
        <w:rPr>
          <w:color w:val="FF0000"/>
        </w:rPr>
        <w:br w:type="page"/>
      </w:r>
    </w:p>
    <w:p w14:paraId="53785F80" w14:textId="77777777" w:rsidR="002A79C5" w:rsidRDefault="002A79C5" w:rsidP="002A79C5">
      <w:pPr>
        <w:rPr>
          <w:i/>
          <w:color w:val="000000"/>
        </w:rPr>
      </w:pPr>
      <w:r>
        <w:rPr>
          <w:b/>
          <w:color w:val="000000"/>
        </w:rPr>
        <w:lastRenderedPageBreak/>
        <w:t xml:space="preserve">Figure OSM.9. </w:t>
      </w:r>
      <w:r>
        <w:rPr>
          <w:i/>
          <w:color w:val="000000"/>
        </w:rPr>
        <w:t>Intercorrelations among long-term longitudinal changes in the alternative age markers between baseline and follow-up assessments for those who were re-assessed within six years (n = 223).</w:t>
      </w:r>
    </w:p>
    <w:p w14:paraId="60341840" w14:textId="479341BC" w:rsidR="00F964D3" w:rsidRDefault="00F964D3"/>
    <w:p w14:paraId="774D9EB6" w14:textId="68713A43" w:rsidR="002A79C5" w:rsidRDefault="002A79C5">
      <w:r>
        <w:rPr>
          <w:i/>
          <w:noProof/>
          <w:color w:val="000000"/>
          <w:lang w:val="en-US" w:eastAsia="en-US"/>
        </w:rPr>
        <w:drawing>
          <wp:inline distT="0" distB="0" distL="0" distR="0" wp14:anchorId="5AD4FF05" wp14:editId="39B47C8D">
            <wp:extent cx="5943600" cy="3368040"/>
            <wp:effectExtent l="0" t="0" r="0" b="3810"/>
            <wp:docPr id="933912724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3912724" name="Picture 93391272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68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A79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79C5"/>
    <w:rsid w:val="002A79C5"/>
    <w:rsid w:val="00F96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C66D8A"/>
  <w15:chartTrackingRefBased/>
  <w15:docId w15:val="{DFC2010D-1F2C-416A-AAE7-7E519DB49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79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5" Type="http://schemas.openxmlformats.org/officeDocument/2006/relationships/theme" Target="theme/theme1.xml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DAD5CDE09E854CE790A31D44C66838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19E626-A808-48A3-98CD-F35C602C14C4}"/>
      </w:docPartPr>
      <w:docPartBody>
        <w:p w:rsidR="00000000" w:rsidRDefault="008B11C8" w:rsidP="008B11C8">
          <w:pPr>
            <w:pStyle w:val="DAD5CDE09E854CE790A31D44C66838AA"/>
          </w:pPr>
          <w:r w:rsidRPr="003D71F9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1C8"/>
    <w:rsid w:val="000F62A4"/>
    <w:rsid w:val="008B1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B11C8"/>
    <w:rPr>
      <w:color w:val="808080"/>
    </w:rPr>
  </w:style>
  <w:style w:type="paragraph" w:customStyle="1" w:styleId="DAD5CDE09E854CE790A31D44C66838AA">
    <w:name w:val="DAD5CDE09E854CE790A31D44C66838AA"/>
    <w:rsid w:val="008B11C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268</Words>
  <Characters>1529</Characters>
  <Application>Microsoft Office Word</Application>
  <DocSecurity>0</DocSecurity>
  <Lines>12</Lines>
  <Paragraphs>3</Paragraphs>
  <ScaleCrop>false</ScaleCrop>
  <Company>Springer Nature</Company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2023-11-02T06:52:00Z</dcterms:created>
  <dcterms:modified xsi:type="dcterms:W3CDTF">2023-11-02T06:53:00Z</dcterms:modified>
</cp:coreProperties>
</file>