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D6134D" w14:textId="739260D8" w:rsidR="00A47B99" w:rsidRPr="007961E4" w:rsidRDefault="00921543" w:rsidP="00163367">
      <w:pPr>
        <w:rPr>
          <w:rFonts w:ascii="Times" w:hAnsi="Times"/>
          <w:sz w:val="20"/>
          <w:szCs w:val="20"/>
          <w:lang w:eastAsia="zh-CN"/>
        </w:rPr>
      </w:pPr>
      <w:r w:rsidRPr="007961E4">
        <w:rPr>
          <w:rFonts w:ascii="Times" w:hAnsi="Times"/>
          <w:noProof/>
          <w:sz w:val="20"/>
          <w:szCs w:val="20"/>
        </w:rPr>
        <w:drawing>
          <wp:inline distT="0" distB="0" distL="0" distR="0" wp14:anchorId="519A40C5" wp14:editId="56DC8BBA">
            <wp:extent cx="5943600" cy="5913120"/>
            <wp:effectExtent l="0" t="0" r="0" b="5080"/>
            <wp:docPr id="1" name="Picture 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a:blip r:embed="rId5"/>
                    <a:stretch>
                      <a:fillRect/>
                    </a:stretch>
                  </pic:blipFill>
                  <pic:spPr>
                    <a:xfrm>
                      <a:off x="0" y="0"/>
                      <a:ext cx="5943600" cy="5913120"/>
                    </a:xfrm>
                    <a:prstGeom prst="rect">
                      <a:avLst/>
                    </a:prstGeom>
                  </pic:spPr>
                </pic:pic>
              </a:graphicData>
            </a:graphic>
          </wp:inline>
        </w:drawing>
      </w:r>
    </w:p>
    <w:p w14:paraId="7C8A490B" w14:textId="5FE89523" w:rsidR="00A47B99" w:rsidRPr="00280435" w:rsidRDefault="00A47B99" w:rsidP="00163367">
      <w:pPr>
        <w:pBdr>
          <w:bottom w:val="single" w:sz="6" w:space="1" w:color="auto"/>
        </w:pBdr>
        <w:rPr>
          <w:rFonts w:ascii="Times New Roman" w:hAnsi="Times New Roman" w:cs="Times New Roman"/>
          <w:sz w:val="20"/>
          <w:szCs w:val="20"/>
        </w:rPr>
      </w:pPr>
      <w:r w:rsidRPr="00280435">
        <w:rPr>
          <w:rFonts w:ascii="Times New Roman" w:hAnsi="Times New Roman" w:cs="Times New Roman"/>
          <w:b/>
          <w:bCs/>
          <w:sz w:val="20"/>
          <w:szCs w:val="20"/>
        </w:rPr>
        <w:t xml:space="preserve">Supplementary Data Fig 1 | </w:t>
      </w:r>
      <w:r w:rsidR="001D50C5" w:rsidRPr="00280435">
        <w:rPr>
          <w:rFonts w:ascii="Times New Roman" w:hAnsi="Times New Roman" w:cs="Times New Roman"/>
          <w:b/>
          <w:bCs/>
          <w:sz w:val="20"/>
          <w:szCs w:val="20"/>
        </w:rPr>
        <w:t xml:space="preserve">Generation of high-quality single cell </w:t>
      </w:r>
      <w:proofErr w:type="spellStart"/>
      <w:r w:rsidR="001D50C5" w:rsidRPr="00280435">
        <w:rPr>
          <w:rFonts w:ascii="Times New Roman" w:hAnsi="Times New Roman" w:cs="Times New Roman"/>
          <w:b/>
          <w:bCs/>
          <w:sz w:val="20"/>
          <w:szCs w:val="20"/>
        </w:rPr>
        <w:t>multiomic</w:t>
      </w:r>
      <w:proofErr w:type="spellEnd"/>
      <w:r w:rsidR="001D50C5" w:rsidRPr="00280435">
        <w:rPr>
          <w:rFonts w:ascii="Times New Roman" w:hAnsi="Times New Roman" w:cs="Times New Roman"/>
          <w:b/>
          <w:bCs/>
          <w:sz w:val="20"/>
          <w:szCs w:val="20"/>
        </w:rPr>
        <w:t xml:space="preserve"> data to identify </w:t>
      </w:r>
      <w:r w:rsidR="00326F08" w:rsidRPr="00280435">
        <w:rPr>
          <w:rFonts w:ascii="Times New Roman" w:hAnsi="Times New Roman" w:cs="Times New Roman"/>
          <w:b/>
          <w:bCs/>
          <w:sz w:val="20"/>
          <w:szCs w:val="20"/>
        </w:rPr>
        <w:t xml:space="preserve">high-risk </w:t>
      </w:r>
      <w:r w:rsidR="001D50C5" w:rsidRPr="00280435">
        <w:rPr>
          <w:rFonts w:ascii="Times New Roman" w:hAnsi="Times New Roman" w:cs="Times New Roman"/>
          <w:b/>
          <w:bCs/>
          <w:sz w:val="20"/>
          <w:szCs w:val="20"/>
        </w:rPr>
        <w:t xml:space="preserve">cell states in </w:t>
      </w:r>
      <w:r w:rsidRPr="00280435">
        <w:rPr>
          <w:rFonts w:ascii="Times New Roman" w:hAnsi="Times New Roman" w:cs="Times New Roman"/>
          <w:b/>
          <w:bCs/>
          <w:sz w:val="20"/>
          <w:szCs w:val="20"/>
        </w:rPr>
        <w:t>T-ALL.</w:t>
      </w:r>
      <w:r w:rsidR="00E87309" w:rsidRPr="00280435">
        <w:rPr>
          <w:rFonts w:ascii="Times New Roman" w:hAnsi="Times New Roman" w:cs="Times New Roman"/>
          <w:sz w:val="20"/>
          <w:szCs w:val="20"/>
        </w:rPr>
        <w:t xml:space="preserve"> </w:t>
      </w:r>
      <w:r w:rsidR="00280435" w:rsidRPr="00280435">
        <w:rPr>
          <w:rFonts w:ascii="Times New Roman" w:hAnsi="Times New Roman" w:cs="Times New Roman"/>
          <w:sz w:val="20"/>
          <w:szCs w:val="20"/>
        </w:rPr>
        <w:t>(</w:t>
      </w:r>
      <w:r w:rsidR="00E87309" w:rsidRPr="00280435">
        <w:rPr>
          <w:rFonts w:ascii="Times New Roman" w:hAnsi="Times New Roman" w:cs="Times New Roman"/>
          <w:b/>
          <w:bCs/>
          <w:sz w:val="20"/>
          <w:szCs w:val="20"/>
        </w:rPr>
        <w:t>a</w:t>
      </w:r>
      <w:r w:rsidR="00280435" w:rsidRPr="00280435">
        <w:rPr>
          <w:rFonts w:ascii="Times New Roman" w:hAnsi="Times New Roman" w:cs="Times New Roman"/>
          <w:sz w:val="20"/>
          <w:szCs w:val="20"/>
        </w:rPr>
        <w:t>)</w:t>
      </w:r>
      <w:r w:rsidR="00E87309" w:rsidRPr="00280435">
        <w:rPr>
          <w:rFonts w:ascii="Times New Roman" w:hAnsi="Times New Roman" w:cs="Times New Roman"/>
          <w:sz w:val="20"/>
          <w:szCs w:val="20"/>
        </w:rPr>
        <w:t xml:space="preserve"> </w:t>
      </w:r>
      <w:r w:rsidR="00DE35A7">
        <w:rPr>
          <w:rFonts w:ascii="Times New Roman" w:hAnsi="Times New Roman" w:cs="Times New Roman"/>
          <w:sz w:val="20"/>
          <w:szCs w:val="20"/>
        </w:rPr>
        <w:t>e</w:t>
      </w:r>
      <w:r w:rsidR="00E87309" w:rsidRPr="00280435">
        <w:rPr>
          <w:rFonts w:ascii="Times New Roman" w:hAnsi="Times New Roman" w:cs="Times New Roman"/>
          <w:sz w:val="20"/>
          <w:szCs w:val="20"/>
        </w:rPr>
        <w:t xml:space="preserve">xperimental overview for single cell data from 40 T-ALL cases and 8 healthy thymus/BM controls. </w:t>
      </w:r>
      <w:r w:rsidR="00B2260D">
        <w:rPr>
          <w:rFonts w:ascii="Times New Roman" w:hAnsi="Times New Roman" w:cs="Times New Roman"/>
          <w:sz w:val="20"/>
          <w:szCs w:val="20"/>
        </w:rPr>
        <w:t>(</w:t>
      </w:r>
      <w:r w:rsidR="00E87309" w:rsidRPr="00280435">
        <w:rPr>
          <w:rFonts w:ascii="Times New Roman" w:hAnsi="Times New Roman" w:cs="Times New Roman"/>
          <w:b/>
          <w:bCs/>
          <w:sz w:val="20"/>
          <w:szCs w:val="20"/>
        </w:rPr>
        <w:t>b</w:t>
      </w:r>
      <w:r w:rsidR="00B2260D">
        <w:rPr>
          <w:rFonts w:ascii="Times New Roman" w:hAnsi="Times New Roman" w:cs="Times New Roman"/>
          <w:b/>
          <w:bCs/>
          <w:sz w:val="20"/>
          <w:szCs w:val="20"/>
        </w:rPr>
        <w:t>)</w:t>
      </w:r>
      <w:r w:rsidR="00E87309" w:rsidRPr="00280435">
        <w:rPr>
          <w:rFonts w:ascii="Times New Roman" w:hAnsi="Times New Roman" w:cs="Times New Roman"/>
          <w:sz w:val="20"/>
          <w:szCs w:val="20"/>
        </w:rPr>
        <w:t xml:space="preserve"> </w:t>
      </w:r>
      <w:r w:rsidR="00DE35A7">
        <w:rPr>
          <w:rFonts w:ascii="Times New Roman" w:hAnsi="Times New Roman" w:cs="Times New Roman"/>
          <w:sz w:val="20"/>
          <w:szCs w:val="20"/>
        </w:rPr>
        <w:t>o</w:t>
      </w:r>
      <w:r w:rsidR="00E87309" w:rsidRPr="00280435">
        <w:rPr>
          <w:rFonts w:ascii="Times New Roman" w:hAnsi="Times New Roman" w:cs="Times New Roman"/>
          <w:sz w:val="20"/>
          <w:szCs w:val="20"/>
        </w:rPr>
        <w:t xml:space="preserve">verall </w:t>
      </w:r>
      <w:proofErr w:type="spellStart"/>
      <w:r w:rsidR="00E87309" w:rsidRPr="00280435">
        <w:rPr>
          <w:rFonts w:ascii="Times New Roman" w:hAnsi="Times New Roman" w:cs="Times New Roman"/>
          <w:sz w:val="20"/>
          <w:szCs w:val="20"/>
        </w:rPr>
        <w:t>scRNA</w:t>
      </w:r>
      <w:proofErr w:type="spellEnd"/>
      <w:r w:rsidR="00E87309" w:rsidRPr="00280435">
        <w:rPr>
          <w:rFonts w:ascii="Times New Roman" w:hAnsi="Times New Roman" w:cs="Times New Roman"/>
          <w:sz w:val="20"/>
          <w:szCs w:val="20"/>
        </w:rPr>
        <w:t xml:space="preserve"> and </w:t>
      </w:r>
      <w:proofErr w:type="spellStart"/>
      <w:r w:rsidR="00E87309" w:rsidRPr="00280435">
        <w:rPr>
          <w:rFonts w:ascii="Times New Roman" w:hAnsi="Times New Roman" w:cs="Times New Roman"/>
          <w:sz w:val="20"/>
          <w:szCs w:val="20"/>
        </w:rPr>
        <w:t>scATAC</w:t>
      </w:r>
      <w:proofErr w:type="spellEnd"/>
      <w:r w:rsidR="00E87309" w:rsidRPr="00280435">
        <w:rPr>
          <w:rFonts w:ascii="Times New Roman" w:hAnsi="Times New Roman" w:cs="Times New Roman"/>
          <w:sz w:val="20"/>
          <w:szCs w:val="20"/>
        </w:rPr>
        <w:t xml:space="preserve"> dataset size (left) and cell type composition (right). </w:t>
      </w:r>
      <w:r w:rsidR="00B2260D">
        <w:rPr>
          <w:rFonts w:ascii="Times New Roman" w:hAnsi="Times New Roman" w:cs="Times New Roman"/>
          <w:sz w:val="20"/>
          <w:szCs w:val="20"/>
        </w:rPr>
        <w:t>(</w:t>
      </w:r>
      <w:r w:rsidR="00E87309" w:rsidRPr="00280435">
        <w:rPr>
          <w:rFonts w:ascii="Times New Roman" w:hAnsi="Times New Roman" w:cs="Times New Roman"/>
          <w:b/>
          <w:bCs/>
          <w:sz w:val="20"/>
          <w:szCs w:val="20"/>
        </w:rPr>
        <w:t>c-e</w:t>
      </w:r>
      <w:r w:rsidR="00B2260D">
        <w:rPr>
          <w:rFonts w:ascii="Times New Roman" w:hAnsi="Times New Roman" w:cs="Times New Roman"/>
          <w:b/>
          <w:bCs/>
          <w:sz w:val="20"/>
          <w:szCs w:val="20"/>
        </w:rPr>
        <w:t>)</w:t>
      </w:r>
      <w:r w:rsidR="00E87309" w:rsidRPr="00280435">
        <w:rPr>
          <w:rFonts w:ascii="Times New Roman" w:hAnsi="Times New Roman" w:cs="Times New Roman"/>
          <w:sz w:val="20"/>
          <w:szCs w:val="20"/>
        </w:rPr>
        <w:t xml:space="preserve"> </w:t>
      </w:r>
      <w:r w:rsidR="00DE35A7">
        <w:rPr>
          <w:rFonts w:ascii="Times New Roman" w:hAnsi="Times New Roman" w:cs="Times New Roman"/>
          <w:sz w:val="20"/>
          <w:szCs w:val="20"/>
        </w:rPr>
        <w:t>q</w:t>
      </w:r>
      <w:r w:rsidR="00E87309" w:rsidRPr="00280435">
        <w:rPr>
          <w:rFonts w:ascii="Times New Roman" w:hAnsi="Times New Roman" w:cs="Times New Roman"/>
          <w:sz w:val="20"/>
          <w:szCs w:val="20"/>
        </w:rPr>
        <w:t xml:space="preserve">uality of </w:t>
      </w:r>
      <w:proofErr w:type="spellStart"/>
      <w:r w:rsidR="00E87309" w:rsidRPr="00280435">
        <w:rPr>
          <w:rFonts w:ascii="Times New Roman" w:hAnsi="Times New Roman" w:cs="Times New Roman"/>
          <w:sz w:val="20"/>
          <w:szCs w:val="20"/>
        </w:rPr>
        <w:t>scRNA</w:t>
      </w:r>
      <w:proofErr w:type="spellEnd"/>
      <w:r w:rsidR="00E87309" w:rsidRPr="00280435">
        <w:rPr>
          <w:rFonts w:ascii="Times New Roman" w:hAnsi="Times New Roman" w:cs="Times New Roman"/>
          <w:sz w:val="20"/>
          <w:szCs w:val="20"/>
        </w:rPr>
        <w:t>-seq</w:t>
      </w:r>
      <w:r w:rsidR="00B36A5F" w:rsidRPr="00280435">
        <w:rPr>
          <w:rFonts w:ascii="Times New Roman" w:hAnsi="Times New Roman" w:cs="Times New Roman"/>
          <w:sz w:val="20"/>
          <w:szCs w:val="20"/>
        </w:rPr>
        <w:t xml:space="preserve"> data</w:t>
      </w:r>
      <w:r w:rsidR="006201A5" w:rsidRPr="00280435">
        <w:rPr>
          <w:rFonts w:ascii="Times New Roman" w:hAnsi="Times New Roman" w:cs="Times New Roman"/>
          <w:sz w:val="20"/>
          <w:szCs w:val="20"/>
        </w:rPr>
        <w:t>set</w:t>
      </w:r>
      <w:r w:rsidR="00E87309" w:rsidRPr="00280435">
        <w:rPr>
          <w:rFonts w:ascii="Times New Roman" w:hAnsi="Times New Roman" w:cs="Times New Roman"/>
          <w:sz w:val="20"/>
          <w:szCs w:val="20"/>
        </w:rPr>
        <w:t xml:space="preserve"> after filtering</w:t>
      </w:r>
      <w:r w:rsidR="00B2260D">
        <w:rPr>
          <w:rFonts w:ascii="Times New Roman" w:hAnsi="Times New Roman" w:cs="Times New Roman"/>
          <w:sz w:val="20"/>
          <w:szCs w:val="20"/>
        </w:rPr>
        <w:t>. (</w:t>
      </w:r>
      <w:r w:rsidR="00E87309" w:rsidRPr="00280435">
        <w:rPr>
          <w:rFonts w:ascii="Times New Roman" w:hAnsi="Times New Roman" w:cs="Times New Roman"/>
          <w:b/>
          <w:bCs/>
          <w:sz w:val="20"/>
          <w:szCs w:val="20"/>
        </w:rPr>
        <w:t>f</w:t>
      </w:r>
      <w:r w:rsidR="00B2260D">
        <w:rPr>
          <w:rFonts w:ascii="Times New Roman" w:hAnsi="Times New Roman" w:cs="Times New Roman"/>
          <w:sz w:val="20"/>
          <w:szCs w:val="20"/>
        </w:rPr>
        <w:t>)</w:t>
      </w:r>
      <w:r w:rsidR="00E87309" w:rsidRPr="00280435">
        <w:rPr>
          <w:rFonts w:ascii="Times New Roman" w:hAnsi="Times New Roman" w:cs="Times New Roman"/>
          <w:sz w:val="20"/>
          <w:szCs w:val="20"/>
        </w:rPr>
        <w:t xml:space="preserve"> </w:t>
      </w:r>
      <w:r w:rsidR="00DE35A7">
        <w:rPr>
          <w:rFonts w:ascii="Times New Roman" w:hAnsi="Times New Roman" w:cs="Times New Roman"/>
          <w:sz w:val="20"/>
          <w:szCs w:val="20"/>
        </w:rPr>
        <w:t>q</w:t>
      </w:r>
      <w:r w:rsidR="00E87309" w:rsidRPr="00280435">
        <w:rPr>
          <w:rFonts w:ascii="Times New Roman" w:hAnsi="Times New Roman" w:cs="Times New Roman"/>
          <w:sz w:val="20"/>
          <w:szCs w:val="20"/>
        </w:rPr>
        <w:t xml:space="preserve">uality of ADT (CITE-seq) after filtering. </w:t>
      </w:r>
      <w:r w:rsidR="00B2260D">
        <w:rPr>
          <w:rFonts w:ascii="Times New Roman" w:hAnsi="Times New Roman" w:cs="Times New Roman"/>
          <w:sz w:val="20"/>
          <w:szCs w:val="20"/>
        </w:rPr>
        <w:t>(</w:t>
      </w:r>
      <w:r w:rsidR="00E87309" w:rsidRPr="00280435">
        <w:rPr>
          <w:rFonts w:ascii="Times New Roman" w:hAnsi="Times New Roman" w:cs="Times New Roman"/>
          <w:b/>
          <w:bCs/>
          <w:sz w:val="20"/>
          <w:szCs w:val="20"/>
        </w:rPr>
        <w:t>g-j</w:t>
      </w:r>
      <w:r w:rsidR="00B2260D">
        <w:rPr>
          <w:rFonts w:ascii="Times New Roman" w:hAnsi="Times New Roman" w:cs="Times New Roman"/>
          <w:b/>
          <w:bCs/>
          <w:sz w:val="20"/>
          <w:szCs w:val="20"/>
        </w:rPr>
        <w:t>)</w:t>
      </w:r>
      <w:r w:rsidR="00E87309" w:rsidRPr="00280435">
        <w:rPr>
          <w:rFonts w:ascii="Times New Roman" w:hAnsi="Times New Roman" w:cs="Times New Roman"/>
          <w:b/>
          <w:bCs/>
          <w:sz w:val="20"/>
          <w:szCs w:val="20"/>
        </w:rPr>
        <w:t xml:space="preserve"> </w:t>
      </w:r>
      <w:proofErr w:type="spellStart"/>
      <w:r w:rsidR="00E87309" w:rsidRPr="00280435">
        <w:rPr>
          <w:rFonts w:ascii="Times New Roman" w:hAnsi="Times New Roman" w:cs="Times New Roman"/>
          <w:sz w:val="20"/>
          <w:szCs w:val="20"/>
        </w:rPr>
        <w:t>scATAC</w:t>
      </w:r>
      <w:proofErr w:type="spellEnd"/>
      <w:r w:rsidR="00E87309" w:rsidRPr="00280435">
        <w:rPr>
          <w:rFonts w:ascii="Times New Roman" w:hAnsi="Times New Roman" w:cs="Times New Roman"/>
          <w:sz w:val="20"/>
          <w:szCs w:val="20"/>
        </w:rPr>
        <w:t>-seq quality metrics</w:t>
      </w:r>
      <w:r w:rsidR="001574AE" w:rsidRPr="00280435">
        <w:rPr>
          <w:rFonts w:ascii="Times New Roman" w:hAnsi="Times New Roman" w:cs="Times New Roman"/>
          <w:sz w:val="20"/>
          <w:szCs w:val="20"/>
        </w:rPr>
        <w:t xml:space="preserve"> </w:t>
      </w:r>
      <w:r w:rsidR="00750696">
        <w:rPr>
          <w:rFonts w:ascii="Times New Roman" w:hAnsi="Times New Roman" w:cs="Times New Roman"/>
          <w:sz w:val="20"/>
          <w:szCs w:val="20"/>
        </w:rPr>
        <w:t>after filtering</w:t>
      </w:r>
      <w:r w:rsidR="00E034AF" w:rsidRPr="00280435">
        <w:rPr>
          <w:rFonts w:ascii="Times New Roman" w:hAnsi="Times New Roman" w:cs="Times New Roman"/>
          <w:sz w:val="20"/>
          <w:szCs w:val="20"/>
        </w:rPr>
        <w:t>.</w:t>
      </w:r>
    </w:p>
    <w:p w14:paraId="2FECA1ED" w14:textId="77777777" w:rsidR="004E0038" w:rsidRPr="007961E4" w:rsidRDefault="004E0038" w:rsidP="00163367">
      <w:pPr>
        <w:rPr>
          <w:rFonts w:ascii="Times" w:hAnsi="Times"/>
          <w:sz w:val="20"/>
          <w:szCs w:val="20"/>
        </w:rPr>
      </w:pPr>
    </w:p>
    <w:p w14:paraId="77955561" w14:textId="78AF6A34" w:rsidR="00163367" w:rsidRPr="007961E4" w:rsidRDefault="00163367" w:rsidP="003B6477">
      <w:pPr>
        <w:jc w:val="center"/>
        <w:rPr>
          <w:rFonts w:ascii="Times" w:hAnsi="Times"/>
          <w:sz w:val="20"/>
          <w:szCs w:val="20"/>
        </w:rPr>
      </w:pPr>
      <w:r w:rsidRPr="007961E4">
        <w:rPr>
          <w:rFonts w:ascii="Times" w:hAnsi="Times"/>
          <w:b/>
          <w:bCs/>
          <w:noProof/>
          <w:sz w:val="20"/>
          <w:szCs w:val="20"/>
        </w:rPr>
        <w:lastRenderedPageBreak/>
        <w:drawing>
          <wp:inline distT="0" distB="0" distL="0" distR="0" wp14:anchorId="5826FF1D" wp14:editId="30E8632A">
            <wp:extent cx="3955415" cy="6629400"/>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rotWithShape="1">
                    <a:blip r:embed="rId6"/>
                    <a:srcRect b="990"/>
                    <a:stretch/>
                  </pic:blipFill>
                  <pic:spPr bwMode="auto">
                    <a:xfrm>
                      <a:off x="0" y="0"/>
                      <a:ext cx="3984525" cy="6678189"/>
                    </a:xfrm>
                    <a:prstGeom prst="rect">
                      <a:avLst/>
                    </a:prstGeom>
                    <a:ln>
                      <a:noFill/>
                    </a:ln>
                    <a:extLst>
                      <a:ext uri="{53640926-AAD7-44D8-BBD7-CCE9431645EC}">
                        <a14:shadowObscured xmlns:a14="http://schemas.microsoft.com/office/drawing/2010/main"/>
                      </a:ext>
                    </a:extLst>
                  </pic:spPr>
                </pic:pic>
              </a:graphicData>
            </a:graphic>
          </wp:inline>
        </w:drawing>
      </w:r>
    </w:p>
    <w:p w14:paraId="53575364" w14:textId="15195CDE" w:rsidR="00163367" w:rsidRPr="00C826E7" w:rsidRDefault="00163367" w:rsidP="003B6477">
      <w:pPr>
        <w:pBdr>
          <w:bottom w:val="single" w:sz="6" w:space="1" w:color="auto"/>
        </w:pBdr>
        <w:rPr>
          <w:rFonts w:ascii="Times New Roman" w:hAnsi="Times New Roman" w:cs="Times New Roman"/>
          <w:sz w:val="20"/>
          <w:szCs w:val="20"/>
        </w:rPr>
      </w:pPr>
      <w:r w:rsidRPr="00C826E7">
        <w:rPr>
          <w:rFonts w:ascii="Times New Roman" w:hAnsi="Times New Roman" w:cs="Times New Roman"/>
          <w:b/>
          <w:bCs/>
          <w:sz w:val="20"/>
          <w:szCs w:val="20"/>
        </w:rPr>
        <w:t xml:space="preserve">Supplementary Data Fig </w:t>
      </w:r>
      <w:r w:rsidR="007318F0" w:rsidRPr="00C826E7">
        <w:rPr>
          <w:rFonts w:ascii="Times New Roman" w:hAnsi="Times New Roman" w:cs="Times New Roman"/>
          <w:b/>
          <w:bCs/>
          <w:sz w:val="20"/>
          <w:szCs w:val="20"/>
        </w:rPr>
        <w:t>2</w:t>
      </w:r>
      <w:r w:rsidR="003B6477" w:rsidRPr="00C826E7">
        <w:rPr>
          <w:rFonts w:ascii="Times New Roman" w:hAnsi="Times New Roman" w:cs="Times New Roman"/>
          <w:b/>
          <w:bCs/>
          <w:sz w:val="20"/>
          <w:szCs w:val="20"/>
        </w:rPr>
        <w:t xml:space="preserve"> |</w:t>
      </w:r>
      <w:r w:rsidRPr="00C826E7">
        <w:rPr>
          <w:rFonts w:ascii="Times New Roman" w:hAnsi="Times New Roman" w:cs="Times New Roman"/>
          <w:b/>
          <w:bCs/>
          <w:sz w:val="20"/>
          <w:szCs w:val="20"/>
        </w:rPr>
        <w:t xml:space="preserve"> </w:t>
      </w:r>
      <w:r w:rsidR="00FF194D" w:rsidRPr="00C826E7">
        <w:rPr>
          <w:rFonts w:ascii="Times New Roman" w:hAnsi="Times New Roman" w:cs="Times New Roman"/>
          <w:b/>
          <w:bCs/>
          <w:sz w:val="20"/>
          <w:szCs w:val="20"/>
        </w:rPr>
        <w:t xml:space="preserve">Marker Gene, clustering, and </w:t>
      </w:r>
      <w:r w:rsidR="0036198C" w:rsidRPr="00C826E7">
        <w:rPr>
          <w:rFonts w:ascii="Times New Roman" w:hAnsi="Times New Roman" w:cs="Times New Roman"/>
          <w:b/>
          <w:bCs/>
          <w:sz w:val="20"/>
          <w:szCs w:val="20"/>
        </w:rPr>
        <w:t xml:space="preserve">Shannon </w:t>
      </w:r>
      <w:proofErr w:type="gramStart"/>
      <w:r w:rsidR="00FF194D" w:rsidRPr="00C826E7">
        <w:rPr>
          <w:rFonts w:ascii="Times New Roman" w:hAnsi="Times New Roman" w:cs="Times New Roman"/>
          <w:b/>
          <w:bCs/>
          <w:sz w:val="20"/>
          <w:szCs w:val="20"/>
        </w:rPr>
        <w:t xml:space="preserve">entropy </w:t>
      </w:r>
      <w:r w:rsidR="00433C72" w:rsidRPr="00C826E7">
        <w:rPr>
          <w:rFonts w:ascii="Times New Roman" w:hAnsi="Times New Roman" w:cs="Times New Roman"/>
          <w:b/>
          <w:bCs/>
          <w:sz w:val="20"/>
          <w:szCs w:val="20"/>
        </w:rPr>
        <w:t>based</w:t>
      </w:r>
      <w:proofErr w:type="gramEnd"/>
      <w:r w:rsidR="00433C72" w:rsidRPr="00C826E7">
        <w:rPr>
          <w:rFonts w:ascii="Times New Roman" w:hAnsi="Times New Roman" w:cs="Times New Roman"/>
          <w:b/>
          <w:bCs/>
          <w:sz w:val="20"/>
          <w:szCs w:val="20"/>
        </w:rPr>
        <w:t xml:space="preserve"> </w:t>
      </w:r>
      <w:r w:rsidR="00FF194D" w:rsidRPr="00C826E7">
        <w:rPr>
          <w:rFonts w:ascii="Times New Roman" w:hAnsi="Times New Roman" w:cs="Times New Roman"/>
          <w:b/>
          <w:bCs/>
          <w:sz w:val="20"/>
          <w:szCs w:val="20"/>
        </w:rPr>
        <w:t>a</w:t>
      </w:r>
      <w:r w:rsidR="004E0038" w:rsidRPr="00C826E7">
        <w:rPr>
          <w:rFonts w:ascii="Times New Roman" w:hAnsi="Times New Roman" w:cs="Times New Roman"/>
          <w:b/>
          <w:bCs/>
          <w:sz w:val="20"/>
          <w:szCs w:val="20"/>
        </w:rPr>
        <w:t xml:space="preserve">nnotation </w:t>
      </w:r>
      <w:r w:rsidRPr="00C826E7">
        <w:rPr>
          <w:rFonts w:ascii="Times New Roman" w:hAnsi="Times New Roman" w:cs="Times New Roman"/>
          <w:b/>
          <w:bCs/>
          <w:sz w:val="20"/>
          <w:szCs w:val="20"/>
        </w:rPr>
        <w:t xml:space="preserve">of </w:t>
      </w:r>
      <w:r w:rsidR="004E0038" w:rsidRPr="00C826E7">
        <w:rPr>
          <w:rFonts w:ascii="Times New Roman" w:hAnsi="Times New Roman" w:cs="Times New Roman"/>
          <w:b/>
          <w:bCs/>
          <w:sz w:val="20"/>
          <w:szCs w:val="20"/>
        </w:rPr>
        <w:t>single-cell data</w:t>
      </w:r>
      <w:r w:rsidR="00750696">
        <w:rPr>
          <w:rFonts w:ascii="Times New Roman" w:hAnsi="Times New Roman" w:cs="Times New Roman"/>
          <w:b/>
          <w:bCs/>
          <w:sz w:val="20"/>
          <w:szCs w:val="20"/>
        </w:rPr>
        <w:t>.</w:t>
      </w:r>
      <w:r w:rsidR="00FD6510" w:rsidRPr="00C826E7">
        <w:rPr>
          <w:rFonts w:ascii="Times New Roman" w:hAnsi="Times New Roman" w:cs="Times New Roman"/>
          <w:b/>
          <w:bCs/>
          <w:sz w:val="20"/>
          <w:szCs w:val="20"/>
        </w:rPr>
        <w:t xml:space="preserve"> </w:t>
      </w:r>
      <w:r w:rsidR="00B2260D" w:rsidRPr="00C826E7">
        <w:rPr>
          <w:rFonts w:ascii="Times New Roman" w:hAnsi="Times New Roman" w:cs="Times New Roman"/>
          <w:b/>
          <w:bCs/>
          <w:sz w:val="20"/>
          <w:szCs w:val="20"/>
        </w:rPr>
        <w:t>(</w:t>
      </w:r>
      <w:r w:rsidR="00FD6510" w:rsidRPr="00C826E7">
        <w:rPr>
          <w:rFonts w:ascii="Times New Roman" w:hAnsi="Times New Roman" w:cs="Times New Roman"/>
          <w:b/>
          <w:bCs/>
          <w:sz w:val="20"/>
          <w:szCs w:val="20"/>
        </w:rPr>
        <w:t>a-</w:t>
      </w:r>
      <w:r w:rsidR="00B2260D" w:rsidRPr="00C826E7">
        <w:rPr>
          <w:rFonts w:ascii="Times New Roman" w:hAnsi="Times New Roman" w:cs="Times New Roman"/>
          <w:b/>
          <w:bCs/>
          <w:sz w:val="20"/>
          <w:szCs w:val="20"/>
        </w:rPr>
        <w:t>d)</w:t>
      </w:r>
      <w:r w:rsidR="00FD6510" w:rsidRPr="00C826E7">
        <w:rPr>
          <w:rFonts w:ascii="Times New Roman" w:hAnsi="Times New Roman" w:cs="Times New Roman"/>
          <w:b/>
          <w:bCs/>
          <w:sz w:val="20"/>
          <w:szCs w:val="20"/>
        </w:rPr>
        <w:t xml:space="preserve"> </w:t>
      </w:r>
      <w:r w:rsidRPr="00C826E7">
        <w:rPr>
          <w:rFonts w:ascii="Times New Roman" w:hAnsi="Times New Roman" w:cs="Times New Roman"/>
          <w:sz w:val="20"/>
          <w:szCs w:val="20"/>
        </w:rPr>
        <w:t xml:space="preserve">UMAP representation of </w:t>
      </w:r>
      <w:proofErr w:type="spellStart"/>
      <w:r w:rsidRPr="00C826E7">
        <w:rPr>
          <w:rFonts w:ascii="Times New Roman" w:hAnsi="Times New Roman" w:cs="Times New Roman"/>
          <w:sz w:val="20"/>
          <w:szCs w:val="20"/>
        </w:rPr>
        <w:t>scRNA</w:t>
      </w:r>
      <w:proofErr w:type="spellEnd"/>
      <w:r w:rsidRPr="00C826E7">
        <w:rPr>
          <w:rFonts w:ascii="Times New Roman" w:hAnsi="Times New Roman" w:cs="Times New Roman"/>
          <w:sz w:val="20"/>
          <w:szCs w:val="20"/>
        </w:rPr>
        <w:t xml:space="preserve"> dataset (n=328,820 cells) colored by patient ID</w:t>
      </w:r>
      <w:r w:rsidR="00FD6510" w:rsidRPr="00C826E7">
        <w:rPr>
          <w:rFonts w:ascii="Times New Roman" w:hAnsi="Times New Roman" w:cs="Times New Roman"/>
          <w:sz w:val="20"/>
          <w:szCs w:val="20"/>
        </w:rPr>
        <w:t xml:space="preserve"> (a), </w:t>
      </w:r>
      <w:r w:rsidRPr="00C826E7">
        <w:rPr>
          <w:rFonts w:ascii="Times New Roman" w:hAnsi="Times New Roman" w:cs="Times New Roman"/>
          <w:sz w:val="20"/>
          <w:szCs w:val="20"/>
        </w:rPr>
        <w:t>sample type</w:t>
      </w:r>
      <w:r w:rsidR="00FD6510" w:rsidRPr="00C826E7">
        <w:rPr>
          <w:rFonts w:ascii="Times New Roman" w:hAnsi="Times New Roman" w:cs="Times New Roman"/>
          <w:sz w:val="20"/>
          <w:szCs w:val="20"/>
        </w:rPr>
        <w:t xml:space="preserve"> (b) and </w:t>
      </w:r>
      <w:r w:rsidRPr="00C826E7">
        <w:rPr>
          <w:rFonts w:ascii="Times New Roman" w:hAnsi="Times New Roman" w:cs="Times New Roman"/>
          <w:sz w:val="20"/>
          <w:szCs w:val="20"/>
        </w:rPr>
        <w:t>ETP status</w:t>
      </w:r>
      <w:r w:rsidR="00FD6510" w:rsidRPr="00C826E7">
        <w:rPr>
          <w:rFonts w:ascii="Times New Roman" w:hAnsi="Times New Roman" w:cs="Times New Roman"/>
          <w:sz w:val="20"/>
          <w:szCs w:val="20"/>
        </w:rPr>
        <w:t xml:space="preserve"> (c), and</w:t>
      </w:r>
      <w:r w:rsidRPr="00C826E7">
        <w:rPr>
          <w:rFonts w:ascii="Times New Roman" w:hAnsi="Times New Roman" w:cs="Times New Roman"/>
          <w:sz w:val="20"/>
          <w:szCs w:val="20"/>
        </w:rPr>
        <w:t xml:space="preserve"> annotation</w:t>
      </w:r>
      <w:r w:rsidR="00FD6510" w:rsidRPr="00C826E7">
        <w:rPr>
          <w:rFonts w:ascii="Times New Roman" w:hAnsi="Times New Roman" w:cs="Times New Roman"/>
          <w:sz w:val="20"/>
          <w:szCs w:val="20"/>
        </w:rPr>
        <w:t xml:space="preserve"> (d)</w:t>
      </w:r>
      <w:r w:rsidRPr="00C826E7">
        <w:rPr>
          <w:rFonts w:ascii="Times New Roman" w:hAnsi="Times New Roman" w:cs="Times New Roman"/>
          <w:sz w:val="20"/>
          <w:szCs w:val="20"/>
        </w:rPr>
        <w:t>.</w:t>
      </w:r>
      <w:r w:rsidR="00FD6510" w:rsidRPr="00C826E7">
        <w:rPr>
          <w:rFonts w:ascii="Times New Roman" w:hAnsi="Times New Roman" w:cs="Times New Roman"/>
          <w:sz w:val="20"/>
          <w:szCs w:val="20"/>
        </w:rPr>
        <w:t xml:space="preserve"> </w:t>
      </w:r>
      <w:r w:rsidR="00B2260D" w:rsidRPr="00C826E7">
        <w:rPr>
          <w:rFonts w:ascii="Times New Roman" w:hAnsi="Times New Roman" w:cs="Times New Roman"/>
          <w:sz w:val="20"/>
          <w:szCs w:val="20"/>
        </w:rPr>
        <w:t>(</w:t>
      </w:r>
      <w:r w:rsidR="00FD6510" w:rsidRPr="00C826E7">
        <w:rPr>
          <w:rFonts w:ascii="Times New Roman" w:hAnsi="Times New Roman" w:cs="Times New Roman"/>
          <w:b/>
          <w:sz w:val="20"/>
          <w:szCs w:val="20"/>
        </w:rPr>
        <w:t>e</w:t>
      </w:r>
      <w:r w:rsidR="00B2260D" w:rsidRPr="00C826E7">
        <w:rPr>
          <w:rFonts w:ascii="Times New Roman" w:hAnsi="Times New Roman" w:cs="Times New Roman"/>
          <w:sz w:val="20"/>
          <w:szCs w:val="20"/>
        </w:rPr>
        <w:t>)</w:t>
      </w:r>
      <w:r w:rsidR="00FD6510" w:rsidRPr="00C826E7">
        <w:rPr>
          <w:rFonts w:ascii="Times New Roman" w:hAnsi="Times New Roman" w:cs="Times New Roman"/>
          <w:sz w:val="20"/>
          <w:szCs w:val="20"/>
        </w:rPr>
        <w:t xml:space="preserve"> </w:t>
      </w:r>
      <w:r w:rsidRPr="00C826E7">
        <w:rPr>
          <w:rFonts w:ascii="Times New Roman" w:hAnsi="Times New Roman" w:cs="Times New Roman"/>
          <w:sz w:val="20"/>
          <w:szCs w:val="20"/>
        </w:rPr>
        <w:t>Shannon Entropy</w:t>
      </w:r>
      <w:r w:rsidR="00FD6510" w:rsidRPr="00C826E7">
        <w:rPr>
          <w:rFonts w:ascii="Times New Roman" w:hAnsi="Times New Roman" w:cs="Times New Roman"/>
          <w:sz w:val="20"/>
          <w:szCs w:val="20"/>
        </w:rPr>
        <w:t xml:space="preserve"> (1 = equal contribution from each sample; 0 = contribution from only 1 sample)</w:t>
      </w:r>
      <w:r w:rsidRPr="00C826E7">
        <w:rPr>
          <w:rFonts w:ascii="Times New Roman" w:hAnsi="Times New Roman" w:cs="Times New Roman"/>
          <w:sz w:val="20"/>
          <w:szCs w:val="20"/>
        </w:rPr>
        <w:t xml:space="preserve"> of </w:t>
      </w:r>
      <w:r w:rsidR="00FD6510" w:rsidRPr="00C826E7">
        <w:rPr>
          <w:rFonts w:ascii="Times New Roman" w:hAnsi="Times New Roman" w:cs="Times New Roman"/>
          <w:sz w:val="20"/>
          <w:szCs w:val="20"/>
        </w:rPr>
        <w:t xml:space="preserve">cell </w:t>
      </w:r>
      <w:r w:rsidRPr="00C826E7">
        <w:rPr>
          <w:rFonts w:ascii="Times New Roman" w:hAnsi="Times New Roman" w:cs="Times New Roman"/>
          <w:sz w:val="20"/>
          <w:szCs w:val="20"/>
        </w:rPr>
        <w:t xml:space="preserve">clusters at </w:t>
      </w:r>
      <w:r w:rsidR="00FD6510" w:rsidRPr="00C826E7">
        <w:rPr>
          <w:rFonts w:ascii="Times New Roman" w:hAnsi="Times New Roman" w:cs="Times New Roman"/>
          <w:sz w:val="20"/>
          <w:szCs w:val="20"/>
        </w:rPr>
        <w:t xml:space="preserve">k=1.2, k=2, and k=3 </w:t>
      </w:r>
      <w:r w:rsidRPr="00C826E7">
        <w:rPr>
          <w:rFonts w:ascii="Times New Roman" w:hAnsi="Times New Roman" w:cs="Times New Roman"/>
          <w:sz w:val="20"/>
          <w:szCs w:val="20"/>
        </w:rPr>
        <w:t>clustering resolutions.</w:t>
      </w:r>
      <w:r w:rsidR="00FD6510" w:rsidRPr="00C826E7">
        <w:rPr>
          <w:rFonts w:ascii="Times New Roman" w:hAnsi="Times New Roman" w:cs="Times New Roman"/>
          <w:sz w:val="20"/>
          <w:szCs w:val="20"/>
        </w:rPr>
        <w:t xml:space="preserve"> </w:t>
      </w:r>
      <w:r w:rsidR="00B2260D" w:rsidRPr="00C826E7">
        <w:rPr>
          <w:rFonts w:ascii="Times New Roman" w:hAnsi="Times New Roman" w:cs="Times New Roman"/>
          <w:sz w:val="20"/>
          <w:szCs w:val="20"/>
        </w:rPr>
        <w:t>(</w:t>
      </w:r>
      <w:r w:rsidR="00FD6510" w:rsidRPr="00C826E7">
        <w:rPr>
          <w:rFonts w:ascii="Times New Roman" w:hAnsi="Times New Roman" w:cs="Times New Roman"/>
          <w:b/>
          <w:sz w:val="20"/>
          <w:szCs w:val="20"/>
        </w:rPr>
        <w:t>f</w:t>
      </w:r>
      <w:r w:rsidR="00B2260D" w:rsidRPr="00C826E7">
        <w:rPr>
          <w:rFonts w:ascii="Times New Roman" w:hAnsi="Times New Roman" w:cs="Times New Roman"/>
          <w:sz w:val="20"/>
          <w:szCs w:val="20"/>
        </w:rPr>
        <w:t>)</w:t>
      </w:r>
      <w:r w:rsidR="00FD6510" w:rsidRPr="00C826E7">
        <w:rPr>
          <w:rFonts w:ascii="Times New Roman" w:hAnsi="Times New Roman" w:cs="Times New Roman"/>
          <w:sz w:val="20"/>
          <w:szCs w:val="20"/>
        </w:rPr>
        <w:t xml:space="preserve"> c</w:t>
      </w:r>
      <w:r w:rsidRPr="00C826E7">
        <w:rPr>
          <w:rFonts w:ascii="Times New Roman" w:hAnsi="Times New Roman" w:cs="Times New Roman"/>
          <w:sz w:val="20"/>
          <w:szCs w:val="20"/>
        </w:rPr>
        <w:t xml:space="preserve">lustering of </w:t>
      </w:r>
      <w:r w:rsidR="00FD6510" w:rsidRPr="00C826E7">
        <w:rPr>
          <w:rFonts w:ascii="Times New Roman" w:hAnsi="Times New Roman" w:cs="Times New Roman"/>
          <w:sz w:val="20"/>
          <w:szCs w:val="20"/>
        </w:rPr>
        <w:t xml:space="preserve">T-ALL </w:t>
      </w:r>
      <w:r w:rsidRPr="00C826E7">
        <w:rPr>
          <w:rFonts w:ascii="Times New Roman" w:hAnsi="Times New Roman" w:cs="Times New Roman"/>
          <w:sz w:val="20"/>
          <w:szCs w:val="20"/>
        </w:rPr>
        <w:t>patient derived data with n=8 healthy bone marrow/thymus controls. Left: colored by annotation; right: colored by Shannon entropy.</w:t>
      </w:r>
      <w:r w:rsidR="00FD6510" w:rsidRPr="00C826E7">
        <w:rPr>
          <w:rFonts w:ascii="Times New Roman" w:hAnsi="Times New Roman" w:cs="Times New Roman"/>
          <w:sz w:val="20"/>
          <w:szCs w:val="20"/>
        </w:rPr>
        <w:t xml:space="preserve"> </w:t>
      </w:r>
      <w:r w:rsidR="00B2260D" w:rsidRPr="00C826E7">
        <w:rPr>
          <w:rFonts w:ascii="Times New Roman" w:hAnsi="Times New Roman" w:cs="Times New Roman"/>
          <w:sz w:val="20"/>
          <w:szCs w:val="20"/>
        </w:rPr>
        <w:t>(</w:t>
      </w:r>
      <w:r w:rsidR="00FD6510" w:rsidRPr="00C826E7">
        <w:rPr>
          <w:rFonts w:ascii="Times New Roman" w:hAnsi="Times New Roman" w:cs="Times New Roman"/>
          <w:b/>
          <w:sz w:val="20"/>
          <w:szCs w:val="20"/>
        </w:rPr>
        <w:t>g</w:t>
      </w:r>
      <w:r w:rsidR="00B2260D" w:rsidRPr="00C826E7">
        <w:rPr>
          <w:rFonts w:ascii="Times New Roman" w:hAnsi="Times New Roman" w:cs="Times New Roman"/>
          <w:sz w:val="20"/>
          <w:szCs w:val="20"/>
        </w:rPr>
        <w:t>)</w:t>
      </w:r>
      <w:r w:rsidR="00FD6510" w:rsidRPr="00C826E7">
        <w:rPr>
          <w:rFonts w:ascii="Times New Roman" w:hAnsi="Times New Roman" w:cs="Times New Roman"/>
          <w:sz w:val="20"/>
          <w:szCs w:val="20"/>
        </w:rPr>
        <w:t xml:space="preserve"> k=30 nearest neighbor s</w:t>
      </w:r>
      <w:r w:rsidRPr="00C826E7">
        <w:rPr>
          <w:rFonts w:ascii="Times New Roman" w:hAnsi="Times New Roman" w:cs="Times New Roman"/>
          <w:sz w:val="20"/>
          <w:szCs w:val="20"/>
        </w:rPr>
        <w:t xml:space="preserve">imilarity score to known healthy controls. Patient derived cells were mapped to known healthy controls using the RPCA method within Seurat 4.0. The average similarity score to 30 nearest healthy control neighbors in </w:t>
      </w:r>
      <w:proofErr w:type="gramStart"/>
      <w:r w:rsidRPr="00C826E7">
        <w:rPr>
          <w:rFonts w:ascii="Times New Roman" w:hAnsi="Times New Roman" w:cs="Times New Roman"/>
          <w:sz w:val="20"/>
          <w:szCs w:val="20"/>
        </w:rPr>
        <w:t>princip</w:t>
      </w:r>
      <w:r w:rsidR="004F0F95">
        <w:rPr>
          <w:rFonts w:ascii="Times New Roman" w:hAnsi="Times New Roman" w:cs="Times New Roman"/>
          <w:sz w:val="20"/>
          <w:szCs w:val="20"/>
        </w:rPr>
        <w:t>al</w:t>
      </w:r>
      <w:proofErr w:type="gramEnd"/>
      <w:r w:rsidRPr="00C826E7">
        <w:rPr>
          <w:rFonts w:ascii="Times New Roman" w:hAnsi="Times New Roman" w:cs="Times New Roman"/>
          <w:sz w:val="20"/>
          <w:szCs w:val="20"/>
        </w:rPr>
        <w:t xml:space="preserve">-component space are shown for each cell. </w:t>
      </w:r>
      <w:r w:rsidR="00B2260D" w:rsidRPr="00C826E7">
        <w:rPr>
          <w:rFonts w:ascii="Times New Roman" w:hAnsi="Times New Roman" w:cs="Times New Roman"/>
          <w:sz w:val="20"/>
          <w:szCs w:val="20"/>
        </w:rPr>
        <w:t>(</w:t>
      </w:r>
      <w:r w:rsidR="003B6477" w:rsidRPr="00C826E7">
        <w:rPr>
          <w:rFonts w:ascii="Times New Roman" w:hAnsi="Times New Roman" w:cs="Times New Roman"/>
          <w:b/>
          <w:sz w:val="20"/>
          <w:szCs w:val="20"/>
        </w:rPr>
        <w:t>h</w:t>
      </w:r>
      <w:r w:rsidR="00B2260D" w:rsidRPr="00C826E7">
        <w:rPr>
          <w:rFonts w:ascii="Times New Roman" w:hAnsi="Times New Roman" w:cs="Times New Roman"/>
          <w:sz w:val="20"/>
          <w:szCs w:val="20"/>
        </w:rPr>
        <w:t>)</w:t>
      </w:r>
      <w:r w:rsidR="003B6477" w:rsidRPr="00C826E7">
        <w:rPr>
          <w:rFonts w:ascii="Times New Roman" w:hAnsi="Times New Roman" w:cs="Times New Roman"/>
          <w:sz w:val="20"/>
          <w:szCs w:val="20"/>
        </w:rPr>
        <w:t xml:space="preserve"> </w:t>
      </w:r>
      <w:r w:rsidRPr="00C826E7">
        <w:rPr>
          <w:rFonts w:ascii="Times New Roman" w:hAnsi="Times New Roman" w:cs="Times New Roman"/>
          <w:sz w:val="20"/>
          <w:szCs w:val="20"/>
        </w:rPr>
        <w:t>marker gene expression of annotated cell types.</w:t>
      </w:r>
      <w:r w:rsidR="003B6477" w:rsidRPr="00C826E7">
        <w:rPr>
          <w:rFonts w:ascii="Times New Roman" w:hAnsi="Times New Roman" w:cs="Times New Roman"/>
          <w:sz w:val="20"/>
          <w:szCs w:val="20"/>
        </w:rPr>
        <w:t xml:space="preserve"> </w:t>
      </w:r>
      <w:r w:rsidR="00B2260D" w:rsidRPr="00C826E7">
        <w:rPr>
          <w:rFonts w:ascii="Times New Roman" w:hAnsi="Times New Roman" w:cs="Times New Roman"/>
          <w:b/>
          <w:sz w:val="20"/>
          <w:szCs w:val="20"/>
        </w:rPr>
        <w:t>(</w:t>
      </w:r>
      <w:proofErr w:type="spellStart"/>
      <w:r w:rsidR="00B2260D" w:rsidRPr="00C826E7">
        <w:rPr>
          <w:rFonts w:ascii="Times New Roman" w:hAnsi="Times New Roman" w:cs="Times New Roman"/>
          <w:b/>
          <w:sz w:val="20"/>
          <w:szCs w:val="20"/>
        </w:rPr>
        <w:t>i</w:t>
      </w:r>
      <w:proofErr w:type="spellEnd"/>
      <w:r w:rsidR="00B2260D" w:rsidRPr="00C826E7">
        <w:rPr>
          <w:rFonts w:ascii="Times New Roman" w:hAnsi="Times New Roman" w:cs="Times New Roman"/>
          <w:b/>
          <w:sz w:val="20"/>
          <w:szCs w:val="20"/>
        </w:rPr>
        <w:t>)</w:t>
      </w:r>
      <w:r w:rsidR="003B6477" w:rsidRPr="00C826E7">
        <w:rPr>
          <w:rFonts w:ascii="Times New Roman" w:hAnsi="Times New Roman" w:cs="Times New Roman"/>
          <w:sz w:val="20"/>
          <w:szCs w:val="20"/>
        </w:rPr>
        <w:t xml:space="preserve"> </w:t>
      </w:r>
      <w:proofErr w:type="spellStart"/>
      <w:r w:rsidR="003B6477" w:rsidRPr="00C826E7">
        <w:rPr>
          <w:rFonts w:ascii="Times New Roman" w:hAnsi="Times New Roman" w:cs="Times New Roman"/>
          <w:sz w:val="20"/>
          <w:szCs w:val="20"/>
        </w:rPr>
        <w:t>inferCNV</w:t>
      </w:r>
      <w:proofErr w:type="spellEnd"/>
      <w:r w:rsidR="003B6477" w:rsidRPr="00C826E7">
        <w:rPr>
          <w:rFonts w:ascii="Times New Roman" w:hAnsi="Times New Roman" w:cs="Times New Roman"/>
          <w:sz w:val="20"/>
          <w:szCs w:val="20"/>
        </w:rPr>
        <w:t xml:space="preserve"> results for annotated p</w:t>
      </w:r>
      <w:r w:rsidRPr="00C826E7">
        <w:rPr>
          <w:rFonts w:ascii="Times New Roman" w:hAnsi="Times New Roman" w:cs="Times New Roman"/>
          <w:sz w:val="20"/>
          <w:szCs w:val="20"/>
        </w:rPr>
        <w:t xml:space="preserve">atient derived cells within </w:t>
      </w:r>
      <w:proofErr w:type="spellStart"/>
      <w:r w:rsidRPr="00C826E7">
        <w:rPr>
          <w:rFonts w:ascii="Times New Roman" w:hAnsi="Times New Roman" w:cs="Times New Roman"/>
          <w:sz w:val="20"/>
          <w:szCs w:val="20"/>
        </w:rPr>
        <w:t>scRNA</w:t>
      </w:r>
      <w:proofErr w:type="spellEnd"/>
      <w:r w:rsidRPr="00C826E7">
        <w:rPr>
          <w:rFonts w:ascii="Times New Roman" w:hAnsi="Times New Roman" w:cs="Times New Roman"/>
          <w:sz w:val="20"/>
          <w:szCs w:val="20"/>
        </w:rPr>
        <w:t xml:space="preserve"> data.</w:t>
      </w:r>
      <w:r w:rsidR="003B6477" w:rsidRPr="00C826E7">
        <w:rPr>
          <w:rFonts w:ascii="Times New Roman" w:hAnsi="Times New Roman" w:cs="Times New Roman"/>
          <w:sz w:val="20"/>
          <w:szCs w:val="20"/>
        </w:rPr>
        <w:t xml:space="preserve"> Due to computational constraints, cells were downsampled 1:10 prior to running </w:t>
      </w:r>
      <w:proofErr w:type="spellStart"/>
      <w:r w:rsidR="003B6477" w:rsidRPr="00C826E7">
        <w:rPr>
          <w:rFonts w:ascii="Times New Roman" w:hAnsi="Times New Roman" w:cs="Times New Roman"/>
          <w:sz w:val="20"/>
          <w:szCs w:val="20"/>
        </w:rPr>
        <w:t>inferCNV</w:t>
      </w:r>
      <w:proofErr w:type="spellEnd"/>
      <w:r w:rsidR="003B6477" w:rsidRPr="00C826E7">
        <w:rPr>
          <w:rFonts w:ascii="Times New Roman" w:hAnsi="Times New Roman" w:cs="Times New Roman"/>
          <w:sz w:val="20"/>
          <w:szCs w:val="20"/>
        </w:rPr>
        <w:t>.</w:t>
      </w:r>
    </w:p>
    <w:p w14:paraId="5742118C" w14:textId="77777777" w:rsidR="007961E4" w:rsidRPr="007961E4" w:rsidRDefault="007961E4" w:rsidP="003B6477">
      <w:pPr>
        <w:rPr>
          <w:rFonts w:ascii="Times" w:hAnsi="Times"/>
          <w:sz w:val="20"/>
          <w:szCs w:val="20"/>
        </w:rPr>
      </w:pPr>
    </w:p>
    <w:p w14:paraId="6DE0A925" w14:textId="77777777" w:rsidR="00163367" w:rsidRPr="007961E4" w:rsidRDefault="00163367" w:rsidP="00163367">
      <w:pPr>
        <w:rPr>
          <w:rFonts w:ascii="Times" w:hAnsi="Times"/>
          <w:sz w:val="20"/>
          <w:szCs w:val="20"/>
        </w:rPr>
      </w:pPr>
    </w:p>
    <w:p w14:paraId="5EC5DCF0" w14:textId="77777777" w:rsidR="00163367" w:rsidRPr="007961E4" w:rsidRDefault="00163367" w:rsidP="00280276">
      <w:pPr>
        <w:jc w:val="center"/>
        <w:rPr>
          <w:rFonts w:ascii="Times" w:hAnsi="Times"/>
          <w:sz w:val="20"/>
          <w:szCs w:val="20"/>
        </w:rPr>
      </w:pPr>
      <w:r w:rsidRPr="007961E4">
        <w:rPr>
          <w:rFonts w:ascii="Times" w:hAnsi="Times"/>
          <w:noProof/>
          <w:sz w:val="20"/>
          <w:szCs w:val="20"/>
        </w:rPr>
        <w:drawing>
          <wp:inline distT="0" distB="0" distL="0" distR="0" wp14:anchorId="57D52F2A" wp14:editId="287F3F5E">
            <wp:extent cx="5102659" cy="5278310"/>
            <wp:effectExtent l="0" t="0" r="3175" b="5080"/>
            <wp:docPr id="2" name="Picture 3" descr="Calendar&#10;&#10;Description automatically generated">
              <a:extLst xmlns:a="http://schemas.openxmlformats.org/drawingml/2006/main">
                <a:ext uri="{FF2B5EF4-FFF2-40B4-BE49-F238E27FC236}">
                  <a16:creationId xmlns:a16="http://schemas.microsoft.com/office/drawing/2014/main" id="{006A0EDF-710D-CA48-9A9B-6BCD738B4D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Calendar&#10;&#10;Description automatically generated">
                      <a:extLst>
                        <a:ext uri="{FF2B5EF4-FFF2-40B4-BE49-F238E27FC236}">
                          <a16:creationId xmlns:a16="http://schemas.microsoft.com/office/drawing/2014/main" id="{006A0EDF-710D-CA48-9A9B-6BCD738B4DDD}"/>
                        </a:ext>
                      </a:extLst>
                    </pic:cNvPr>
                    <pic:cNvPicPr>
                      <a:picLocks noChangeAspect="1"/>
                    </pic:cNvPicPr>
                  </pic:nvPicPr>
                  <pic:blipFill>
                    <a:blip r:embed="rId7"/>
                    <a:stretch>
                      <a:fillRect/>
                    </a:stretch>
                  </pic:blipFill>
                  <pic:spPr>
                    <a:xfrm>
                      <a:off x="0" y="0"/>
                      <a:ext cx="5102659" cy="5278310"/>
                    </a:xfrm>
                    <a:prstGeom prst="rect">
                      <a:avLst/>
                    </a:prstGeom>
                  </pic:spPr>
                </pic:pic>
              </a:graphicData>
            </a:graphic>
          </wp:inline>
        </w:drawing>
      </w:r>
    </w:p>
    <w:p w14:paraId="50152FBC" w14:textId="154A695E" w:rsidR="00163367" w:rsidRPr="00C826E7" w:rsidRDefault="00163367" w:rsidP="00163367">
      <w:pPr>
        <w:pBdr>
          <w:bottom w:val="single" w:sz="6" w:space="1" w:color="auto"/>
        </w:pBdr>
        <w:rPr>
          <w:rFonts w:ascii="Times New Roman" w:hAnsi="Times New Roman" w:cs="Times New Roman"/>
          <w:sz w:val="20"/>
          <w:szCs w:val="20"/>
        </w:rPr>
      </w:pPr>
      <w:r w:rsidRPr="00C826E7">
        <w:rPr>
          <w:rFonts w:ascii="Times New Roman" w:hAnsi="Times New Roman" w:cs="Times New Roman"/>
          <w:b/>
          <w:bCs/>
          <w:sz w:val="20"/>
          <w:szCs w:val="20"/>
        </w:rPr>
        <w:t xml:space="preserve">Supplementary Data Fig </w:t>
      </w:r>
      <w:r w:rsidR="007318F0" w:rsidRPr="00C826E7">
        <w:rPr>
          <w:rFonts w:ascii="Times New Roman" w:hAnsi="Times New Roman" w:cs="Times New Roman"/>
          <w:b/>
          <w:bCs/>
          <w:sz w:val="20"/>
          <w:szCs w:val="20"/>
        </w:rPr>
        <w:t>3</w:t>
      </w:r>
      <w:r w:rsidR="005019AF">
        <w:rPr>
          <w:rFonts w:ascii="Times New Roman" w:hAnsi="Times New Roman" w:cs="Times New Roman"/>
          <w:b/>
          <w:bCs/>
          <w:sz w:val="20"/>
          <w:szCs w:val="20"/>
        </w:rPr>
        <w:t xml:space="preserve"> </w:t>
      </w:r>
      <w:r w:rsidR="005019AF" w:rsidRPr="00C826E7">
        <w:rPr>
          <w:rFonts w:ascii="Times New Roman" w:hAnsi="Times New Roman" w:cs="Times New Roman"/>
          <w:b/>
          <w:bCs/>
          <w:sz w:val="20"/>
          <w:szCs w:val="20"/>
        </w:rPr>
        <w:t>|</w:t>
      </w:r>
      <w:r w:rsidR="005019AF">
        <w:rPr>
          <w:rFonts w:ascii="Times New Roman" w:hAnsi="Times New Roman" w:cs="Times New Roman"/>
          <w:b/>
          <w:bCs/>
          <w:sz w:val="20"/>
          <w:szCs w:val="20"/>
        </w:rPr>
        <w:t xml:space="preserve"> </w:t>
      </w:r>
      <w:r w:rsidRPr="00C826E7">
        <w:rPr>
          <w:rFonts w:ascii="Times New Roman" w:hAnsi="Times New Roman" w:cs="Times New Roman"/>
          <w:b/>
          <w:bCs/>
          <w:sz w:val="20"/>
          <w:szCs w:val="20"/>
        </w:rPr>
        <w:t>Molecular differences between immunophenotypically defined subtypes of T-ALL.</w:t>
      </w:r>
      <w:r w:rsidR="00DC0773" w:rsidRPr="00C826E7">
        <w:rPr>
          <w:rFonts w:ascii="Times New Roman" w:hAnsi="Times New Roman" w:cs="Times New Roman"/>
          <w:b/>
          <w:bCs/>
          <w:sz w:val="20"/>
          <w:szCs w:val="20"/>
        </w:rPr>
        <w:t xml:space="preserve"> </w:t>
      </w:r>
      <w:r w:rsidR="00A1742E" w:rsidRPr="00C826E7">
        <w:rPr>
          <w:rFonts w:ascii="Times New Roman" w:hAnsi="Times New Roman" w:cs="Times New Roman"/>
          <w:b/>
          <w:bCs/>
          <w:sz w:val="20"/>
          <w:szCs w:val="20"/>
        </w:rPr>
        <w:t>(</w:t>
      </w:r>
      <w:r w:rsidR="00DC0773" w:rsidRPr="00C826E7">
        <w:rPr>
          <w:rFonts w:ascii="Times New Roman" w:hAnsi="Times New Roman" w:cs="Times New Roman"/>
          <w:b/>
          <w:bCs/>
          <w:sz w:val="20"/>
          <w:szCs w:val="20"/>
        </w:rPr>
        <w:t>a-c</w:t>
      </w:r>
      <w:r w:rsidR="00A1742E" w:rsidRPr="00C826E7">
        <w:rPr>
          <w:rFonts w:ascii="Times New Roman" w:hAnsi="Times New Roman" w:cs="Times New Roman"/>
          <w:b/>
          <w:bCs/>
          <w:sz w:val="20"/>
          <w:szCs w:val="20"/>
        </w:rPr>
        <w:t>)</w:t>
      </w:r>
      <w:r w:rsidR="00DC0773" w:rsidRPr="00C826E7">
        <w:rPr>
          <w:rFonts w:ascii="Times New Roman" w:hAnsi="Times New Roman" w:cs="Times New Roman"/>
          <w:b/>
          <w:bCs/>
          <w:sz w:val="20"/>
          <w:szCs w:val="20"/>
        </w:rPr>
        <w:t xml:space="preserve"> </w:t>
      </w:r>
      <w:r w:rsidRPr="00C826E7">
        <w:rPr>
          <w:rFonts w:ascii="Times New Roman" w:hAnsi="Times New Roman" w:cs="Times New Roman"/>
          <w:sz w:val="20"/>
          <w:szCs w:val="20"/>
        </w:rPr>
        <w:t>Differential Expression of surface proteins</w:t>
      </w:r>
      <w:r w:rsidR="00DC0773" w:rsidRPr="00C826E7">
        <w:rPr>
          <w:rFonts w:ascii="Times New Roman" w:hAnsi="Times New Roman" w:cs="Times New Roman"/>
          <w:sz w:val="20"/>
          <w:szCs w:val="20"/>
        </w:rPr>
        <w:t xml:space="preserve">, genes, and transcription factors </w:t>
      </w:r>
      <w:r w:rsidRPr="00C826E7">
        <w:rPr>
          <w:rFonts w:ascii="Times New Roman" w:hAnsi="Times New Roman" w:cs="Times New Roman"/>
          <w:sz w:val="20"/>
          <w:szCs w:val="20"/>
        </w:rPr>
        <w:t xml:space="preserve">between 3 subtypes of T-ALL. </w:t>
      </w:r>
      <w:r w:rsidR="00B11EA9" w:rsidRPr="00C826E7">
        <w:rPr>
          <w:rFonts w:ascii="Times New Roman" w:hAnsi="Times New Roman" w:cs="Times New Roman"/>
          <w:sz w:val="20"/>
          <w:szCs w:val="20"/>
        </w:rPr>
        <w:t>DE was performed with 1000 randomly downsampled cells from each group using M</w:t>
      </w:r>
      <w:r w:rsidR="00377676">
        <w:rPr>
          <w:rFonts w:ascii="Times New Roman" w:hAnsi="Times New Roman" w:cs="Times New Roman"/>
          <w:sz w:val="20"/>
          <w:szCs w:val="20"/>
        </w:rPr>
        <w:t>ann-</w:t>
      </w:r>
      <w:r w:rsidR="00B11EA9" w:rsidRPr="00C826E7">
        <w:rPr>
          <w:rFonts w:ascii="Times New Roman" w:hAnsi="Times New Roman" w:cs="Times New Roman"/>
          <w:sz w:val="20"/>
          <w:szCs w:val="20"/>
        </w:rPr>
        <w:t>W</w:t>
      </w:r>
      <w:r w:rsidR="00377676">
        <w:rPr>
          <w:rFonts w:ascii="Times New Roman" w:hAnsi="Times New Roman" w:cs="Times New Roman"/>
          <w:sz w:val="20"/>
          <w:szCs w:val="20"/>
        </w:rPr>
        <w:t xml:space="preserve">hitney </w:t>
      </w:r>
      <w:r w:rsidR="00B11EA9" w:rsidRPr="00C826E7">
        <w:rPr>
          <w:rFonts w:ascii="Times New Roman" w:hAnsi="Times New Roman" w:cs="Times New Roman"/>
          <w:sz w:val="20"/>
          <w:szCs w:val="20"/>
        </w:rPr>
        <w:t xml:space="preserve">test on log-normalized data. </w:t>
      </w:r>
      <w:r w:rsidR="00A1742E" w:rsidRPr="00C826E7">
        <w:rPr>
          <w:rFonts w:ascii="Times New Roman" w:hAnsi="Times New Roman" w:cs="Times New Roman"/>
          <w:sz w:val="20"/>
          <w:szCs w:val="20"/>
        </w:rPr>
        <w:t>(</w:t>
      </w:r>
      <w:r w:rsidR="00B11EA9" w:rsidRPr="00C826E7">
        <w:rPr>
          <w:rFonts w:ascii="Times New Roman" w:hAnsi="Times New Roman" w:cs="Times New Roman"/>
          <w:b/>
          <w:sz w:val="20"/>
          <w:szCs w:val="20"/>
        </w:rPr>
        <w:t>d</w:t>
      </w:r>
      <w:r w:rsidR="00A1742E" w:rsidRPr="00C826E7">
        <w:rPr>
          <w:rFonts w:ascii="Times New Roman" w:hAnsi="Times New Roman" w:cs="Times New Roman"/>
          <w:sz w:val="20"/>
          <w:szCs w:val="20"/>
        </w:rPr>
        <w:t>)</w:t>
      </w:r>
      <w:r w:rsidR="00B11EA9" w:rsidRPr="00C826E7">
        <w:rPr>
          <w:rFonts w:ascii="Times New Roman" w:hAnsi="Times New Roman" w:cs="Times New Roman"/>
          <w:sz w:val="20"/>
          <w:szCs w:val="20"/>
        </w:rPr>
        <w:t xml:space="preserve"> d</w:t>
      </w:r>
      <w:r w:rsidRPr="00C826E7">
        <w:rPr>
          <w:rFonts w:ascii="Times New Roman" w:hAnsi="Times New Roman" w:cs="Times New Roman"/>
          <w:sz w:val="20"/>
          <w:szCs w:val="20"/>
        </w:rPr>
        <w:t xml:space="preserve">ifferential accessibility of TF motifs between 3 subtypes of T-ALL. DA was performed with 1000 randomly downsampled cells from each group using MW test on </w:t>
      </w:r>
      <w:proofErr w:type="spellStart"/>
      <w:r w:rsidRPr="00C826E7">
        <w:rPr>
          <w:rFonts w:ascii="Times New Roman" w:hAnsi="Times New Roman" w:cs="Times New Roman"/>
          <w:sz w:val="20"/>
          <w:szCs w:val="20"/>
        </w:rPr>
        <w:t>chromVAR</w:t>
      </w:r>
      <w:proofErr w:type="spellEnd"/>
      <w:r w:rsidRPr="00C826E7">
        <w:rPr>
          <w:rFonts w:ascii="Times New Roman" w:hAnsi="Times New Roman" w:cs="Times New Roman"/>
          <w:sz w:val="20"/>
          <w:szCs w:val="20"/>
        </w:rPr>
        <w:t xml:space="preserve"> deviation Z-scores.</w:t>
      </w:r>
    </w:p>
    <w:p w14:paraId="1D88EA74" w14:textId="77777777" w:rsidR="00280276" w:rsidRPr="007961E4" w:rsidRDefault="00280276" w:rsidP="00163367">
      <w:pPr>
        <w:rPr>
          <w:rFonts w:ascii="Times" w:hAnsi="Times"/>
          <w:sz w:val="20"/>
          <w:szCs w:val="20"/>
        </w:rPr>
      </w:pPr>
    </w:p>
    <w:p w14:paraId="28021BC0" w14:textId="31D1969A" w:rsidR="00446F9A" w:rsidRPr="007961E4" w:rsidRDefault="00446F9A">
      <w:pPr>
        <w:rPr>
          <w:rFonts w:ascii="Times" w:hAnsi="Times"/>
          <w:sz w:val="20"/>
          <w:szCs w:val="20"/>
        </w:rPr>
      </w:pPr>
    </w:p>
    <w:p w14:paraId="508B700E" w14:textId="77777777" w:rsidR="00E60ED2" w:rsidRPr="007961E4" w:rsidRDefault="00E60ED2">
      <w:pPr>
        <w:rPr>
          <w:rFonts w:ascii="Times" w:hAnsi="Times"/>
          <w:sz w:val="20"/>
          <w:szCs w:val="20"/>
        </w:rPr>
      </w:pPr>
    </w:p>
    <w:p w14:paraId="1828E28C" w14:textId="189C3DF8" w:rsidR="00FE2D25" w:rsidRPr="007961E4" w:rsidRDefault="009B6172" w:rsidP="00FE2D25">
      <w:pPr>
        <w:rPr>
          <w:rFonts w:ascii="Times" w:hAnsi="Times"/>
          <w:b/>
          <w:bCs/>
          <w:sz w:val="20"/>
          <w:szCs w:val="20"/>
        </w:rPr>
      </w:pPr>
      <w:r w:rsidRPr="009B6172">
        <w:rPr>
          <w:rFonts w:ascii="Times" w:hAnsi="Times"/>
          <w:b/>
          <w:bCs/>
          <w:noProof/>
          <w:sz w:val="20"/>
          <w:szCs w:val="20"/>
        </w:rPr>
        <w:lastRenderedPageBreak/>
        <w:drawing>
          <wp:inline distT="0" distB="0" distL="0" distR="0" wp14:anchorId="3D020239" wp14:editId="0A6F9E7F">
            <wp:extent cx="5943600" cy="4347210"/>
            <wp:effectExtent l="0" t="0" r="0" b="0"/>
            <wp:docPr id="9" name="Picture 9"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diagram&#10;&#10;Description automatically generated"/>
                    <pic:cNvPicPr/>
                  </pic:nvPicPr>
                  <pic:blipFill>
                    <a:blip r:embed="rId8"/>
                    <a:stretch>
                      <a:fillRect/>
                    </a:stretch>
                  </pic:blipFill>
                  <pic:spPr>
                    <a:xfrm>
                      <a:off x="0" y="0"/>
                      <a:ext cx="5943600" cy="4347210"/>
                    </a:xfrm>
                    <a:prstGeom prst="rect">
                      <a:avLst/>
                    </a:prstGeom>
                  </pic:spPr>
                </pic:pic>
              </a:graphicData>
            </a:graphic>
          </wp:inline>
        </w:drawing>
      </w:r>
    </w:p>
    <w:p w14:paraId="7387CFD3" w14:textId="62B90A32" w:rsidR="00FE2D25" w:rsidRPr="00C826E7" w:rsidRDefault="00FE2D25" w:rsidP="00FE2D25">
      <w:pPr>
        <w:suppressLineNumbers/>
        <w:pBdr>
          <w:bottom w:val="single" w:sz="6" w:space="1" w:color="auto"/>
        </w:pBdr>
        <w:rPr>
          <w:rFonts w:ascii="Times New Roman" w:hAnsi="Times New Roman" w:cs="Times New Roman"/>
          <w:sz w:val="20"/>
          <w:szCs w:val="20"/>
        </w:rPr>
      </w:pPr>
      <w:r w:rsidRPr="00C826E7">
        <w:rPr>
          <w:rFonts w:ascii="Times New Roman" w:hAnsi="Times New Roman" w:cs="Times New Roman"/>
          <w:b/>
          <w:bCs/>
          <w:sz w:val="20"/>
          <w:szCs w:val="20"/>
        </w:rPr>
        <w:t xml:space="preserve">Supplementary Data Fig </w:t>
      </w:r>
      <w:r w:rsidR="00A75197" w:rsidRPr="00C826E7">
        <w:rPr>
          <w:rFonts w:ascii="Times New Roman" w:hAnsi="Times New Roman" w:cs="Times New Roman"/>
          <w:b/>
          <w:bCs/>
          <w:sz w:val="20"/>
          <w:szCs w:val="20"/>
        </w:rPr>
        <w:t>4</w:t>
      </w:r>
      <w:r w:rsidRPr="00C826E7">
        <w:rPr>
          <w:rFonts w:ascii="Times New Roman" w:hAnsi="Times New Roman" w:cs="Times New Roman"/>
          <w:bCs/>
          <w:sz w:val="20"/>
          <w:szCs w:val="20"/>
        </w:rPr>
        <w:t xml:space="preserve"> | </w:t>
      </w:r>
      <w:r w:rsidRPr="00C826E7">
        <w:rPr>
          <w:rFonts w:ascii="Times New Roman" w:hAnsi="Times New Roman" w:cs="Times New Roman"/>
          <w:b/>
          <w:sz w:val="20"/>
          <w:szCs w:val="20"/>
        </w:rPr>
        <w:t xml:space="preserve">TCF7/LEF1 activation in healthy T-cell development and Non-ETP-ALL. </w:t>
      </w:r>
      <w:r w:rsidR="00A1742E" w:rsidRPr="00C826E7">
        <w:rPr>
          <w:rFonts w:ascii="Times New Roman" w:hAnsi="Times New Roman" w:cs="Times New Roman"/>
          <w:b/>
          <w:sz w:val="20"/>
          <w:szCs w:val="20"/>
        </w:rPr>
        <w:t>(</w:t>
      </w:r>
      <w:r w:rsidR="009B6172" w:rsidRPr="00C826E7">
        <w:rPr>
          <w:rFonts w:ascii="Times New Roman" w:hAnsi="Times New Roman" w:cs="Times New Roman"/>
          <w:b/>
          <w:sz w:val="20"/>
          <w:szCs w:val="20"/>
        </w:rPr>
        <w:t>a</w:t>
      </w:r>
      <w:r w:rsidR="00A1742E" w:rsidRPr="00C826E7">
        <w:rPr>
          <w:rFonts w:ascii="Times New Roman" w:hAnsi="Times New Roman" w:cs="Times New Roman"/>
          <w:sz w:val="20"/>
          <w:szCs w:val="20"/>
        </w:rPr>
        <w:t>)</w:t>
      </w:r>
      <w:r w:rsidR="009B6172" w:rsidRPr="00C826E7">
        <w:rPr>
          <w:rFonts w:ascii="Times New Roman" w:hAnsi="Times New Roman" w:cs="Times New Roman"/>
          <w:sz w:val="20"/>
          <w:szCs w:val="20"/>
        </w:rPr>
        <w:t xml:space="preserve"> UMAP of AALL0434 bulk RNA-seq data from primary T-ALL samples (n=1335), colored by subtype. </w:t>
      </w:r>
      <w:r w:rsidR="00A1742E" w:rsidRPr="00C826E7">
        <w:rPr>
          <w:rFonts w:ascii="Times New Roman" w:hAnsi="Times New Roman" w:cs="Times New Roman"/>
          <w:sz w:val="20"/>
          <w:szCs w:val="20"/>
        </w:rPr>
        <w:t>(</w:t>
      </w:r>
      <w:r w:rsidRPr="00C826E7">
        <w:rPr>
          <w:rFonts w:ascii="Times New Roman" w:hAnsi="Times New Roman" w:cs="Times New Roman"/>
          <w:b/>
          <w:sz w:val="20"/>
          <w:szCs w:val="20"/>
        </w:rPr>
        <w:t>b</w:t>
      </w:r>
      <w:r w:rsidR="00A1742E" w:rsidRPr="00C826E7">
        <w:rPr>
          <w:rFonts w:ascii="Times New Roman" w:hAnsi="Times New Roman" w:cs="Times New Roman"/>
          <w:sz w:val="20"/>
          <w:szCs w:val="20"/>
        </w:rPr>
        <w:t>)</w:t>
      </w:r>
      <w:r w:rsidRPr="00C826E7">
        <w:rPr>
          <w:rFonts w:ascii="Times New Roman" w:hAnsi="Times New Roman" w:cs="Times New Roman"/>
          <w:sz w:val="20"/>
          <w:szCs w:val="20"/>
        </w:rPr>
        <w:t xml:space="preserve"> Expression of </w:t>
      </w:r>
      <w:r w:rsidRPr="00C826E7">
        <w:rPr>
          <w:rFonts w:ascii="Times New Roman" w:hAnsi="Times New Roman" w:cs="Times New Roman"/>
          <w:i/>
          <w:iCs/>
          <w:sz w:val="20"/>
          <w:szCs w:val="20"/>
        </w:rPr>
        <w:t>TCF7</w:t>
      </w:r>
      <w:r w:rsidRPr="00C826E7">
        <w:rPr>
          <w:rFonts w:ascii="Times New Roman" w:hAnsi="Times New Roman" w:cs="Times New Roman"/>
          <w:sz w:val="20"/>
          <w:szCs w:val="20"/>
        </w:rPr>
        <w:t xml:space="preserve"> and </w:t>
      </w:r>
      <w:r w:rsidRPr="00C826E7">
        <w:rPr>
          <w:rFonts w:ascii="Times New Roman" w:hAnsi="Times New Roman" w:cs="Times New Roman"/>
          <w:i/>
          <w:iCs/>
          <w:sz w:val="20"/>
          <w:szCs w:val="20"/>
        </w:rPr>
        <w:t>LEF1</w:t>
      </w:r>
      <w:r w:rsidRPr="00C826E7">
        <w:rPr>
          <w:rFonts w:ascii="Times New Roman" w:hAnsi="Times New Roman" w:cs="Times New Roman"/>
          <w:sz w:val="20"/>
          <w:szCs w:val="20"/>
        </w:rPr>
        <w:t xml:space="preserve"> and accessibility of TCF7 and LEF1 motifs in healthy T-cell development. </w:t>
      </w:r>
      <w:r w:rsidR="00A1742E" w:rsidRPr="00C826E7">
        <w:rPr>
          <w:rFonts w:ascii="Times New Roman" w:hAnsi="Times New Roman" w:cs="Times New Roman"/>
          <w:sz w:val="20"/>
          <w:szCs w:val="20"/>
        </w:rPr>
        <w:t>(</w:t>
      </w:r>
      <w:r w:rsidR="00A1742E" w:rsidRPr="00C826E7">
        <w:rPr>
          <w:rFonts w:ascii="Times New Roman" w:hAnsi="Times New Roman" w:cs="Times New Roman"/>
          <w:b/>
          <w:bCs/>
          <w:sz w:val="20"/>
          <w:szCs w:val="20"/>
        </w:rPr>
        <w:t>c</w:t>
      </w:r>
      <w:r w:rsidR="00A1742E" w:rsidRPr="00C826E7">
        <w:rPr>
          <w:rFonts w:ascii="Times New Roman" w:hAnsi="Times New Roman" w:cs="Times New Roman"/>
          <w:sz w:val="20"/>
          <w:szCs w:val="20"/>
        </w:rPr>
        <w:t>)</w:t>
      </w:r>
      <w:r w:rsidRPr="00C826E7">
        <w:rPr>
          <w:rFonts w:ascii="Times New Roman" w:hAnsi="Times New Roman" w:cs="Times New Roman"/>
          <w:sz w:val="20"/>
          <w:szCs w:val="20"/>
        </w:rPr>
        <w:t xml:space="preserve"> Subset of transcriptional regulatory network constructed using integrated </w:t>
      </w:r>
      <w:proofErr w:type="spellStart"/>
      <w:r w:rsidRPr="00C826E7">
        <w:rPr>
          <w:rFonts w:ascii="Times New Roman" w:hAnsi="Times New Roman" w:cs="Times New Roman"/>
          <w:sz w:val="20"/>
          <w:szCs w:val="20"/>
        </w:rPr>
        <w:t>scRNA</w:t>
      </w:r>
      <w:proofErr w:type="spellEnd"/>
      <w:r w:rsidRPr="00C826E7">
        <w:rPr>
          <w:rFonts w:ascii="Times New Roman" w:hAnsi="Times New Roman" w:cs="Times New Roman"/>
          <w:sz w:val="20"/>
          <w:szCs w:val="20"/>
        </w:rPr>
        <w:t xml:space="preserve"> and </w:t>
      </w:r>
      <w:proofErr w:type="spellStart"/>
      <w:r w:rsidRPr="00C826E7">
        <w:rPr>
          <w:rFonts w:ascii="Times New Roman" w:hAnsi="Times New Roman" w:cs="Times New Roman"/>
          <w:sz w:val="20"/>
          <w:szCs w:val="20"/>
        </w:rPr>
        <w:t>scATAC</w:t>
      </w:r>
      <w:proofErr w:type="spellEnd"/>
      <w:r w:rsidRPr="00C826E7">
        <w:rPr>
          <w:rFonts w:ascii="Times New Roman" w:hAnsi="Times New Roman" w:cs="Times New Roman"/>
          <w:sz w:val="20"/>
          <w:szCs w:val="20"/>
        </w:rPr>
        <w:t xml:space="preserve"> data from Non-ETP-ALL patients. Transcription factors are represented as squares, gene targets as ovals. Color is proportional to expression fold change in comparison to ETP blasts: blue is downregulated, red upregulated. Edges contacting </w:t>
      </w:r>
      <w:r w:rsidRPr="00C826E7">
        <w:rPr>
          <w:rFonts w:ascii="Times New Roman" w:hAnsi="Times New Roman" w:cs="Times New Roman"/>
          <w:i/>
          <w:sz w:val="20"/>
          <w:szCs w:val="20"/>
        </w:rPr>
        <w:t>TCF7</w:t>
      </w:r>
      <w:r w:rsidRPr="00C826E7">
        <w:rPr>
          <w:rFonts w:ascii="Times New Roman" w:hAnsi="Times New Roman" w:cs="Times New Roman"/>
          <w:sz w:val="20"/>
          <w:szCs w:val="20"/>
        </w:rPr>
        <w:t xml:space="preserve"> and </w:t>
      </w:r>
      <w:r w:rsidRPr="00C826E7">
        <w:rPr>
          <w:rFonts w:ascii="Times New Roman" w:hAnsi="Times New Roman" w:cs="Times New Roman"/>
          <w:i/>
          <w:sz w:val="20"/>
          <w:szCs w:val="20"/>
        </w:rPr>
        <w:t>LEF1</w:t>
      </w:r>
      <w:r w:rsidRPr="00C826E7">
        <w:rPr>
          <w:rFonts w:ascii="Times New Roman" w:hAnsi="Times New Roman" w:cs="Times New Roman"/>
          <w:sz w:val="20"/>
          <w:szCs w:val="20"/>
        </w:rPr>
        <w:t xml:space="preserve"> with regression coefficient &gt; 0.3 are shown</w:t>
      </w:r>
      <w:r w:rsidR="00A1742E" w:rsidRPr="00C826E7">
        <w:rPr>
          <w:rFonts w:ascii="Times New Roman" w:hAnsi="Times New Roman" w:cs="Times New Roman"/>
          <w:sz w:val="20"/>
          <w:szCs w:val="20"/>
        </w:rPr>
        <w:t>. (</w:t>
      </w:r>
      <w:r w:rsidRPr="00C826E7">
        <w:rPr>
          <w:rFonts w:ascii="Times New Roman" w:hAnsi="Times New Roman" w:cs="Times New Roman"/>
          <w:b/>
          <w:sz w:val="20"/>
          <w:szCs w:val="20"/>
        </w:rPr>
        <w:t>d</w:t>
      </w:r>
      <w:r w:rsidR="00A1742E" w:rsidRPr="00C826E7">
        <w:rPr>
          <w:rFonts w:ascii="Times New Roman" w:hAnsi="Times New Roman" w:cs="Times New Roman"/>
          <w:b/>
          <w:sz w:val="20"/>
          <w:szCs w:val="20"/>
        </w:rPr>
        <w:t>)</w:t>
      </w:r>
      <w:r w:rsidRPr="00C826E7">
        <w:rPr>
          <w:rFonts w:ascii="Times New Roman" w:hAnsi="Times New Roman" w:cs="Times New Roman"/>
          <w:sz w:val="20"/>
          <w:szCs w:val="20"/>
        </w:rPr>
        <w:t xml:space="preserve"> Signature score of top 28 target genes of the TCF7/LEF1 regulon and top 11 predicted TF regulators of TCF7/LEF1/CD5 in bulk-sequenced ETP and Near-ETP T-ALL patients from COG AALL0434 trial.</w:t>
      </w:r>
    </w:p>
    <w:p w14:paraId="0E223044" w14:textId="50A24771" w:rsidR="00163367" w:rsidRPr="007961E4" w:rsidRDefault="00163367">
      <w:pPr>
        <w:rPr>
          <w:rFonts w:ascii="Times" w:hAnsi="Times"/>
          <w:sz w:val="20"/>
          <w:szCs w:val="20"/>
        </w:rPr>
      </w:pPr>
    </w:p>
    <w:p w14:paraId="5168180B" w14:textId="216F4014" w:rsidR="00FE6FEF" w:rsidRDefault="00FE6FEF">
      <w:pPr>
        <w:rPr>
          <w:rFonts w:ascii="Times" w:hAnsi="Times"/>
          <w:sz w:val="20"/>
          <w:szCs w:val="20"/>
        </w:rPr>
      </w:pPr>
    </w:p>
    <w:p w14:paraId="0DE02825" w14:textId="4BAC60D5" w:rsidR="009E700D" w:rsidRPr="007961E4" w:rsidRDefault="00D27077" w:rsidP="00AD6851">
      <w:pPr>
        <w:jc w:val="center"/>
        <w:rPr>
          <w:rFonts w:ascii="Times" w:hAnsi="Times"/>
          <w:sz w:val="20"/>
          <w:szCs w:val="20"/>
        </w:rPr>
      </w:pPr>
      <w:r w:rsidRPr="00D27077">
        <w:rPr>
          <w:rFonts w:ascii="Times" w:hAnsi="Times"/>
          <w:noProof/>
          <w:sz w:val="20"/>
          <w:szCs w:val="20"/>
        </w:rPr>
        <w:lastRenderedPageBreak/>
        <w:drawing>
          <wp:inline distT="0" distB="0" distL="0" distR="0" wp14:anchorId="2F0BB6C1" wp14:editId="4A5775A2">
            <wp:extent cx="5943600" cy="6181090"/>
            <wp:effectExtent l="0" t="0" r="0" b="3810"/>
            <wp:docPr id="132919074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190747" name="Picture 1" descr="A screenshot of a computer screen&#10;&#10;Description automatically generated"/>
                    <pic:cNvPicPr/>
                  </pic:nvPicPr>
                  <pic:blipFill>
                    <a:blip r:embed="rId9"/>
                    <a:stretch>
                      <a:fillRect/>
                    </a:stretch>
                  </pic:blipFill>
                  <pic:spPr>
                    <a:xfrm>
                      <a:off x="0" y="0"/>
                      <a:ext cx="5943600" cy="6181090"/>
                    </a:xfrm>
                    <a:prstGeom prst="rect">
                      <a:avLst/>
                    </a:prstGeom>
                  </pic:spPr>
                </pic:pic>
              </a:graphicData>
            </a:graphic>
          </wp:inline>
        </w:drawing>
      </w:r>
    </w:p>
    <w:p w14:paraId="6B70D41A" w14:textId="6FC91234" w:rsidR="009E700D" w:rsidRPr="00C826E7" w:rsidRDefault="001C40B7" w:rsidP="009E700D">
      <w:pPr>
        <w:rPr>
          <w:rFonts w:ascii="Times New Roman" w:hAnsi="Times New Roman" w:cs="Times New Roman"/>
          <w:sz w:val="20"/>
          <w:szCs w:val="20"/>
        </w:rPr>
      </w:pPr>
      <w:r w:rsidRPr="00C826E7">
        <w:rPr>
          <w:rFonts w:ascii="Times New Roman" w:hAnsi="Times New Roman" w:cs="Times New Roman"/>
          <w:b/>
          <w:bCs/>
          <w:sz w:val="20"/>
          <w:szCs w:val="20"/>
        </w:rPr>
        <w:t xml:space="preserve">Supplementary </w:t>
      </w:r>
      <w:r w:rsidR="009E700D" w:rsidRPr="00C826E7">
        <w:rPr>
          <w:rFonts w:ascii="Times New Roman" w:hAnsi="Times New Roman" w:cs="Times New Roman"/>
          <w:b/>
          <w:bCs/>
          <w:sz w:val="20"/>
          <w:szCs w:val="20"/>
        </w:rPr>
        <w:t xml:space="preserve">Data Fig </w:t>
      </w:r>
      <w:r w:rsidR="00A75197" w:rsidRPr="00C826E7">
        <w:rPr>
          <w:rFonts w:ascii="Times New Roman" w:hAnsi="Times New Roman" w:cs="Times New Roman"/>
          <w:b/>
          <w:bCs/>
          <w:sz w:val="20"/>
          <w:szCs w:val="20"/>
        </w:rPr>
        <w:t>5</w:t>
      </w:r>
      <w:r w:rsidR="009E700D" w:rsidRPr="00C826E7">
        <w:rPr>
          <w:rFonts w:ascii="Times New Roman" w:hAnsi="Times New Roman" w:cs="Times New Roman"/>
          <w:b/>
          <w:bCs/>
          <w:sz w:val="20"/>
          <w:szCs w:val="20"/>
        </w:rPr>
        <w:t xml:space="preserve"> | Analysis of treatment resistant ETP-ALL cases </w:t>
      </w:r>
      <w:proofErr w:type="gramStart"/>
      <w:r w:rsidR="009E700D" w:rsidRPr="00C826E7">
        <w:rPr>
          <w:rFonts w:ascii="Times New Roman" w:hAnsi="Times New Roman" w:cs="Times New Roman"/>
          <w:b/>
          <w:bCs/>
          <w:sz w:val="20"/>
          <w:szCs w:val="20"/>
        </w:rPr>
        <w:t>reveals</w:t>
      </w:r>
      <w:proofErr w:type="gramEnd"/>
      <w:r w:rsidR="009E700D" w:rsidRPr="00C826E7">
        <w:rPr>
          <w:rFonts w:ascii="Times New Roman" w:hAnsi="Times New Roman" w:cs="Times New Roman"/>
          <w:b/>
          <w:bCs/>
          <w:sz w:val="20"/>
          <w:szCs w:val="20"/>
        </w:rPr>
        <w:t xml:space="preserve"> enrichment progenitor-like populations and increased proportion of non-cycling cells. </w:t>
      </w:r>
      <w:r w:rsidR="00A1742E" w:rsidRPr="00C826E7">
        <w:rPr>
          <w:rFonts w:ascii="Times New Roman" w:hAnsi="Times New Roman" w:cs="Times New Roman"/>
          <w:b/>
          <w:bCs/>
          <w:sz w:val="20"/>
          <w:szCs w:val="20"/>
        </w:rPr>
        <w:t>(</w:t>
      </w:r>
      <w:r w:rsidR="009E700D" w:rsidRPr="00C826E7">
        <w:rPr>
          <w:rFonts w:ascii="Times New Roman" w:hAnsi="Times New Roman" w:cs="Times New Roman"/>
          <w:b/>
          <w:bCs/>
          <w:sz w:val="20"/>
          <w:szCs w:val="20"/>
        </w:rPr>
        <w:t>a</w:t>
      </w:r>
      <w:r w:rsidR="00A1742E" w:rsidRPr="00C826E7">
        <w:rPr>
          <w:rFonts w:ascii="Times New Roman" w:hAnsi="Times New Roman" w:cs="Times New Roman"/>
          <w:b/>
          <w:bCs/>
          <w:sz w:val="20"/>
          <w:szCs w:val="20"/>
        </w:rPr>
        <w:t>)</w:t>
      </w:r>
      <w:r w:rsidR="009E700D" w:rsidRPr="00C826E7">
        <w:rPr>
          <w:rFonts w:ascii="Times New Roman" w:hAnsi="Times New Roman" w:cs="Times New Roman"/>
          <w:b/>
          <w:bCs/>
          <w:sz w:val="20"/>
          <w:szCs w:val="20"/>
        </w:rPr>
        <w:t xml:space="preserve"> </w:t>
      </w:r>
      <w:r w:rsidR="009E700D" w:rsidRPr="00C826E7">
        <w:rPr>
          <w:rFonts w:ascii="Times New Roman" w:hAnsi="Times New Roman" w:cs="Times New Roman"/>
          <w:sz w:val="20"/>
          <w:szCs w:val="20"/>
        </w:rPr>
        <w:t xml:space="preserve">Selection of 10 High MRD and 10 MRD Negative (control) patients from ETP-ALL patients diagnosed within COG AALL0434. Patients with EOI MRD &gt; 20 (high MRD) are labeled. </w:t>
      </w:r>
      <w:r w:rsidR="00A1742E" w:rsidRPr="00C826E7">
        <w:rPr>
          <w:rFonts w:ascii="Times New Roman" w:hAnsi="Times New Roman" w:cs="Times New Roman"/>
          <w:sz w:val="20"/>
          <w:szCs w:val="20"/>
        </w:rPr>
        <w:t>(</w:t>
      </w:r>
      <w:r w:rsidR="009E700D" w:rsidRPr="00C826E7">
        <w:rPr>
          <w:rFonts w:ascii="Times New Roman" w:hAnsi="Times New Roman" w:cs="Times New Roman"/>
          <w:b/>
          <w:bCs/>
          <w:sz w:val="20"/>
          <w:szCs w:val="20"/>
        </w:rPr>
        <w:t>b</w:t>
      </w:r>
      <w:r w:rsidR="00A1742E" w:rsidRPr="00C826E7">
        <w:rPr>
          <w:rFonts w:ascii="Times New Roman" w:hAnsi="Times New Roman" w:cs="Times New Roman"/>
          <w:sz w:val="20"/>
          <w:szCs w:val="20"/>
        </w:rPr>
        <w:t>)</w:t>
      </w:r>
      <w:r w:rsidR="009E700D" w:rsidRPr="00C826E7">
        <w:rPr>
          <w:rFonts w:ascii="Times New Roman" w:hAnsi="Times New Roman" w:cs="Times New Roman"/>
          <w:sz w:val="20"/>
          <w:szCs w:val="20"/>
        </w:rPr>
        <w:t xml:space="preserve"> UMAP representation of 1335 primary patient samples from COG AALL0434 bulk RNA sequencing. High MRD patients are labeled. </w:t>
      </w:r>
      <w:r w:rsidR="00A1742E" w:rsidRPr="00C826E7">
        <w:rPr>
          <w:rFonts w:ascii="Times New Roman" w:hAnsi="Times New Roman" w:cs="Times New Roman"/>
          <w:sz w:val="20"/>
          <w:szCs w:val="20"/>
        </w:rPr>
        <w:t>(</w:t>
      </w:r>
      <w:r w:rsidR="009E700D" w:rsidRPr="00C826E7">
        <w:rPr>
          <w:rFonts w:ascii="Times New Roman" w:hAnsi="Times New Roman" w:cs="Times New Roman"/>
          <w:b/>
          <w:bCs/>
          <w:sz w:val="20"/>
          <w:szCs w:val="20"/>
        </w:rPr>
        <w:t>c</w:t>
      </w:r>
      <w:r w:rsidR="00A1742E" w:rsidRPr="00C826E7">
        <w:rPr>
          <w:rFonts w:ascii="Times New Roman" w:hAnsi="Times New Roman" w:cs="Times New Roman"/>
          <w:sz w:val="20"/>
          <w:szCs w:val="20"/>
        </w:rPr>
        <w:t>)</w:t>
      </w:r>
      <w:r w:rsidR="009E700D" w:rsidRPr="00C826E7">
        <w:rPr>
          <w:rFonts w:ascii="Times New Roman" w:hAnsi="Times New Roman" w:cs="Times New Roman"/>
          <w:sz w:val="20"/>
          <w:szCs w:val="20"/>
        </w:rPr>
        <w:t xml:space="preserve"> UMAP representation of 110 bulk-sequenced ETP patient samples from AALL0434. </w:t>
      </w:r>
      <w:r w:rsidR="00A1742E" w:rsidRPr="00C826E7">
        <w:rPr>
          <w:rFonts w:ascii="Times New Roman" w:hAnsi="Times New Roman" w:cs="Times New Roman"/>
          <w:sz w:val="20"/>
          <w:szCs w:val="20"/>
        </w:rPr>
        <w:t>(</w:t>
      </w:r>
      <w:r w:rsidR="009E700D" w:rsidRPr="00C826E7">
        <w:rPr>
          <w:rFonts w:ascii="Times New Roman" w:hAnsi="Times New Roman" w:cs="Times New Roman"/>
          <w:b/>
          <w:bCs/>
          <w:sz w:val="20"/>
          <w:szCs w:val="20"/>
        </w:rPr>
        <w:t>d</w:t>
      </w:r>
      <w:r w:rsidR="00A1742E" w:rsidRPr="00C826E7">
        <w:rPr>
          <w:rFonts w:ascii="Times New Roman" w:hAnsi="Times New Roman" w:cs="Times New Roman"/>
          <w:b/>
          <w:bCs/>
          <w:sz w:val="20"/>
          <w:szCs w:val="20"/>
        </w:rPr>
        <w:t>)</w:t>
      </w:r>
      <w:r w:rsidR="009E700D" w:rsidRPr="00C826E7">
        <w:rPr>
          <w:rFonts w:ascii="Times New Roman" w:hAnsi="Times New Roman" w:cs="Times New Roman"/>
          <w:b/>
          <w:bCs/>
          <w:sz w:val="20"/>
          <w:szCs w:val="20"/>
        </w:rPr>
        <w:t xml:space="preserve"> </w:t>
      </w:r>
      <w:r w:rsidR="009E700D" w:rsidRPr="00C826E7">
        <w:rPr>
          <w:rFonts w:ascii="Times New Roman" w:hAnsi="Times New Roman" w:cs="Times New Roman"/>
          <w:sz w:val="20"/>
          <w:szCs w:val="20"/>
        </w:rPr>
        <w:t xml:space="preserve">Overall survival of high MRD vs MRD negative patients profiled using single cell genomics. High MRD patients are labeled. The p-value for Log-likelihood statistic of Cox-proportion hazard test run with Day 29 MRD as a co-variate is shown. </w:t>
      </w:r>
      <w:r w:rsidR="00A1742E" w:rsidRPr="00C826E7">
        <w:rPr>
          <w:rFonts w:ascii="Times New Roman" w:hAnsi="Times New Roman" w:cs="Times New Roman"/>
          <w:sz w:val="20"/>
          <w:szCs w:val="20"/>
        </w:rPr>
        <w:t>(</w:t>
      </w:r>
      <w:r w:rsidR="009E700D" w:rsidRPr="00C826E7">
        <w:rPr>
          <w:rFonts w:ascii="Times New Roman" w:hAnsi="Times New Roman" w:cs="Times New Roman"/>
          <w:b/>
          <w:bCs/>
          <w:sz w:val="20"/>
          <w:szCs w:val="20"/>
        </w:rPr>
        <w:t>e</w:t>
      </w:r>
      <w:r w:rsidR="00A1742E" w:rsidRPr="00C826E7">
        <w:rPr>
          <w:rFonts w:ascii="Times New Roman" w:hAnsi="Times New Roman" w:cs="Times New Roman"/>
          <w:sz w:val="20"/>
          <w:szCs w:val="20"/>
        </w:rPr>
        <w:t>)</w:t>
      </w:r>
      <w:r w:rsidR="009E700D" w:rsidRPr="00C826E7">
        <w:rPr>
          <w:rFonts w:ascii="Times New Roman" w:hAnsi="Times New Roman" w:cs="Times New Roman"/>
          <w:sz w:val="20"/>
          <w:szCs w:val="20"/>
        </w:rPr>
        <w:t xml:space="preserve"> UMAP representation of leukemic blasts from 10 High MRD and 10 MRD negative patients in </w:t>
      </w:r>
      <w:proofErr w:type="spellStart"/>
      <w:r w:rsidR="009E700D" w:rsidRPr="00C826E7">
        <w:rPr>
          <w:rFonts w:ascii="Times New Roman" w:hAnsi="Times New Roman" w:cs="Times New Roman"/>
          <w:sz w:val="20"/>
          <w:szCs w:val="20"/>
        </w:rPr>
        <w:t>scRNA</w:t>
      </w:r>
      <w:proofErr w:type="spellEnd"/>
      <w:r w:rsidR="009E700D" w:rsidRPr="00C826E7">
        <w:rPr>
          <w:rFonts w:ascii="Times New Roman" w:hAnsi="Times New Roman" w:cs="Times New Roman"/>
          <w:sz w:val="20"/>
          <w:szCs w:val="20"/>
        </w:rPr>
        <w:t xml:space="preserve"> (n=126,153 cells, 126,153 plotted) and </w:t>
      </w:r>
      <w:proofErr w:type="spellStart"/>
      <w:r w:rsidR="009E700D" w:rsidRPr="00C826E7">
        <w:rPr>
          <w:rFonts w:ascii="Times New Roman" w:hAnsi="Times New Roman" w:cs="Times New Roman"/>
          <w:sz w:val="20"/>
          <w:szCs w:val="20"/>
        </w:rPr>
        <w:t>scATAC</w:t>
      </w:r>
      <w:proofErr w:type="spellEnd"/>
      <w:r w:rsidR="009E700D" w:rsidRPr="00C826E7">
        <w:rPr>
          <w:rFonts w:ascii="Times New Roman" w:hAnsi="Times New Roman" w:cs="Times New Roman"/>
          <w:sz w:val="20"/>
          <w:szCs w:val="20"/>
        </w:rPr>
        <w:t xml:space="preserve"> (n=141,044 cells, 27,652 plotted) space. </w:t>
      </w:r>
      <w:r w:rsidR="00A1742E" w:rsidRPr="00C826E7">
        <w:rPr>
          <w:rFonts w:ascii="Times New Roman" w:hAnsi="Times New Roman" w:cs="Times New Roman"/>
          <w:sz w:val="20"/>
          <w:szCs w:val="20"/>
        </w:rPr>
        <w:t>(</w:t>
      </w:r>
      <w:r w:rsidR="009E700D" w:rsidRPr="00C826E7">
        <w:rPr>
          <w:rFonts w:ascii="Times New Roman" w:hAnsi="Times New Roman" w:cs="Times New Roman"/>
          <w:b/>
          <w:bCs/>
          <w:sz w:val="20"/>
          <w:szCs w:val="20"/>
        </w:rPr>
        <w:t>f</w:t>
      </w:r>
      <w:r w:rsidR="00A1742E" w:rsidRPr="00C826E7">
        <w:rPr>
          <w:rFonts w:ascii="Times New Roman" w:hAnsi="Times New Roman" w:cs="Times New Roman"/>
          <w:sz w:val="20"/>
          <w:szCs w:val="20"/>
        </w:rPr>
        <w:t>)</w:t>
      </w:r>
      <w:r w:rsidR="009E700D" w:rsidRPr="00C826E7">
        <w:rPr>
          <w:rFonts w:ascii="Times New Roman" w:hAnsi="Times New Roman" w:cs="Times New Roman"/>
          <w:sz w:val="20"/>
          <w:szCs w:val="20"/>
        </w:rPr>
        <w:t xml:space="preserve"> number and proportion of non-cycling (G1), cycling (S), and dividing (G2M) cells high MRD vs MRD negative patients. Patient cells were downsampled to 3,350 leukemic blasts per patient (33,500 per group) and cell-cycle scoring was performed. The Chi-squared test statistic and p-value was computed by comparing the number of cells in G1 vs non-G1 phases in clinical category. </w:t>
      </w:r>
      <w:r w:rsidR="00A1742E" w:rsidRPr="00C826E7">
        <w:rPr>
          <w:rFonts w:ascii="Times New Roman" w:hAnsi="Times New Roman" w:cs="Times New Roman"/>
          <w:sz w:val="20"/>
          <w:szCs w:val="20"/>
        </w:rPr>
        <w:t>(</w:t>
      </w:r>
      <w:r w:rsidR="009E700D" w:rsidRPr="00C826E7">
        <w:rPr>
          <w:rFonts w:ascii="Times New Roman" w:hAnsi="Times New Roman" w:cs="Times New Roman"/>
          <w:b/>
          <w:bCs/>
          <w:sz w:val="20"/>
          <w:szCs w:val="20"/>
        </w:rPr>
        <w:t>g</w:t>
      </w:r>
      <w:r w:rsidR="00A1742E" w:rsidRPr="00C826E7">
        <w:rPr>
          <w:rFonts w:ascii="Times New Roman" w:hAnsi="Times New Roman" w:cs="Times New Roman"/>
          <w:sz w:val="20"/>
          <w:szCs w:val="20"/>
        </w:rPr>
        <w:t>)</w:t>
      </w:r>
      <w:r w:rsidR="009E700D" w:rsidRPr="00C826E7">
        <w:rPr>
          <w:rFonts w:ascii="Times New Roman" w:hAnsi="Times New Roman" w:cs="Times New Roman"/>
          <w:sz w:val="20"/>
          <w:szCs w:val="20"/>
        </w:rPr>
        <w:t xml:space="preserve"> Differential expression of S-phase genes in MRD negative vs High MRD patients. P-value for each gene was calculated using Mann-Whitney test and adjusted for multiple </w:t>
      </w:r>
      <w:r w:rsidR="009E700D" w:rsidRPr="00C826E7">
        <w:rPr>
          <w:rFonts w:ascii="Times New Roman" w:hAnsi="Times New Roman" w:cs="Times New Roman"/>
          <w:sz w:val="20"/>
          <w:szCs w:val="20"/>
        </w:rPr>
        <w:lastRenderedPageBreak/>
        <w:t xml:space="preserve">testing. </w:t>
      </w:r>
      <w:r w:rsidR="00A1742E" w:rsidRPr="00C826E7">
        <w:rPr>
          <w:rFonts w:ascii="Times New Roman" w:hAnsi="Times New Roman" w:cs="Times New Roman"/>
          <w:sz w:val="20"/>
          <w:szCs w:val="20"/>
        </w:rPr>
        <w:t>(</w:t>
      </w:r>
      <w:r w:rsidR="009E700D" w:rsidRPr="00C826E7">
        <w:rPr>
          <w:rFonts w:ascii="Times New Roman" w:hAnsi="Times New Roman" w:cs="Times New Roman"/>
          <w:b/>
          <w:bCs/>
          <w:sz w:val="20"/>
          <w:szCs w:val="20"/>
        </w:rPr>
        <w:t>h</w:t>
      </w:r>
      <w:r w:rsidR="00A1742E" w:rsidRPr="00C826E7">
        <w:rPr>
          <w:rFonts w:ascii="Times New Roman" w:hAnsi="Times New Roman" w:cs="Times New Roman"/>
          <w:sz w:val="20"/>
          <w:szCs w:val="20"/>
        </w:rPr>
        <w:t>)</w:t>
      </w:r>
      <w:r w:rsidR="009E700D" w:rsidRPr="00C826E7">
        <w:rPr>
          <w:rFonts w:ascii="Times New Roman" w:hAnsi="Times New Roman" w:cs="Times New Roman"/>
          <w:sz w:val="20"/>
          <w:szCs w:val="20"/>
        </w:rPr>
        <w:t xml:space="preserve"> Projection of patient </w:t>
      </w:r>
      <w:proofErr w:type="spellStart"/>
      <w:r w:rsidR="009E700D" w:rsidRPr="00C826E7">
        <w:rPr>
          <w:rFonts w:ascii="Times New Roman" w:hAnsi="Times New Roman" w:cs="Times New Roman"/>
          <w:sz w:val="20"/>
          <w:szCs w:val="20"/>
        </w:rPr>
        <w:t>scRNA</w:t>
      </w:r>
      <w:proofErr w:type="spellEnd"/>
      <w:r w:rsidR="009E700D" w:rsidRPr="00C826E7">
        <w:rPr>
          <w:rFonts w:ascii="Times New Roman" w:hAnsi="Times New Roman" w:cs="Times New Roman"/>
          <w:sz w:val="20"/>
          <w:szCs w:val="20"/>
        </w:rPr>
        <w:t xml:space="preserve"> (left) and </w:t>
      </w:r>
      <w:proofErr w:type="spellStart"/>
      <w:r w:rsidR="009E700D" w:rsidRPr="00C826E7">
        <w:rPr>
          <w:rFonts w:ascii="Times New Roman" w:hAnsi="Times New Roman" w:cs="Times New Roman"/>
          <w:sz w:val="20"/>
          <w:szCs w:val="20"/>
        </w:rPr>
        <w:t>scATAC</w:t>
      </w:r>
      <w:proofErr w:type="spellEnd"/>
      <w:r w:rsidR="009E700D" w:rsidRPr="00C826E7">
        <w:rPr>
          <w:rFonts w:ascii="Times New Roman" w:hAnsi="Times New Roman" w:cs="Times New Roman"/>
          <w:sz w:val="20"/>
          <w:szCs w:val="20"/>
        </w:rPr>
        <w:t xml:space="preserve"> (right) data using 981 VEGs (</w:t>
      </w:r>
      <w:proofErr w:type="spellStart"/>
      <w:r w:rsidR="009E700D" w:rsidRPr="00C826E7">
        <w:rPr>
          <w:rFonts w:ascii="Times New Roman" w:hAnsi="Times New Roman" w:cs="Times New Roman"/>
          <w:sz w:val="20"/>
          <w:szCs w:val="20"/>
        </w:rPr>
        <w:t>scRNA</w:t>
      </w:r>
      <w:proofErr w:type="spellEnd"/>
      <w:r w:rsidR="009E700D" w:rsidRPr="00C826E7">
        <w:rPr>
          <w:rFonts w:ascii="Times New Roman" w:hAnsi="Times New Roman" w:cs="Times New Roman"/>
          <w:sz w:val="20"/>
          <w:szCs w:val="20"/>
        </w:rPr>
        <w:t>) and 7,171 peaks (</w:t>
      </w:r>
      <w:proofErr w:type="spellStart"/>
      <w:r w:rsidR="009E700D" w:rsidRPr="00C826E7">
        <w:rPr>
          <w:rFonts w:ascii="Times New Roman" w:hAnsi="Times New Roman" w:cs="Times New Roman"/>
          <w:sz w:val="20"/>
          <w:szCs w:val="20"/>
        </w:rPr>
        <w:t>scATAC</w:t>
      </w:r>
      <w:proofErr w:type="spellEnd"/>
      <w:r w:rsidR="009E700D" w:rsidRPr="00C826E7">
        <w:rPr>
          <w:rFonts w:ascii="Times New Roman" w:hAnsi="Times New Roman" w:cs="Times New Roman"/>
          <w:sz w:val="20"/>
          <w:szCs w:val="20"/>
        </w:rPr>
        <w:t xml:space="preserve">) learned from healthy reference trajectories. Two representative patients from each group are shown. Key stages of T-cell development are labeled in both </w:t>
      </w:r>
      <w:proofErr w:type="spellStart"/>
      <w:r w:rsidR="009E700D" w:rsidRPr="00C826E7">
        <w:rPr>
          <w:rFonts w:ascii="Times New Roman" w:hAnsi="Times New Roman" w:cs="Times New Roman"/>
          <w:sz w:val="20"/>
          <w:szCs w:val="20"/>
        </w:rPr>
        <w:t>scRNA</w:t>
      </w:r>
      <w:proofErr w:type="spellEnd"/>
      <w:r w:rsidR="009E700D" w:rsidRPr="00C826E7">
        <w:rPr>
          <w:rFonts w:ascii="Times New Roman" w:hAnsi="Times New Roman" w:cs="Times New Roman"/>
          <w:sz w:val="20"/>
          <w:szCs w:val="20"/>
        </w:rPr>
        <w:t xml:space="preserve"> and </w:t>
      </w:r>
      <w:proofErr w:type="spellStart"/>
      <w:r w:rsidR="009E700D" w:rsidRPr="00C826E7">
        <w:rPr>
          <w:rFonts w:ascii="Times New Roman" w:hAnsi="Times New Roman" w:cs="Times New Roman"/>
          <w:sz w:val="20"/>
          <w:szCs w:val="20"/>
        </w:rPr>
        <w:t>scATAC</w:t>
      </w:r>
      <w:proofErr w:type="spellEnd"/>
      <w:r w:rsidR="009E700D" w:rsidRPr="00C826E7">
        <w:rPr>
          <w:rFonts w:ascii="Times New Roman" w:hAnsi="Times New Roman" w:cs="Times New Roman"/>
          <w:sz w:val="20"/>
          <w:szCs w:val="20"/>
        </w:rPr>
        <w:t xml:space="preserve"> space. </w:t>
      </w:r>
      <w:r w:rsidR="00A1742E" w:rsidRPr="00C826E7">
        <w:rPr>
          <w:rFonts w:ascii="Times New Roman" w:hAnsi="Times New Roman" w:cs="Times New Roman"/>
          <w:sz w:val="20"/>
          <w:szCs w:val="20"/>
        </w:rPr>
        <w:t>(</w:t>
      </w:r>
      <w:r w:rsidR="00D27077">
        <w:rPr>
          <w:rFonts w:ascii="Times New Roman" w:hAnsi="Times New Roman" w:cs="Times New Roman"/>
          <w:b/>
          <w:bCs/>
          <w:sz w:val="20"/>
          <w:szCs w:val="20"/>
        </w:rPr>
        <w:t>i</w:t>
      </w:r>
      <w:r w:rsidR="009E700D" w:rsidRPr="00C826E7">
        <w:rPr>
          <w:rFonts w:ascii="Times New Roman" w:hAnsi="Times New Roman" w:cs="Times New Roman"/>
          <w:b/>
          <w:bCs/>
          <w:sz w:val="20"/>
          <w:szCs w:val="20"/>
        </w:rPr>
        <w:t>-</w:t>
      </w:r>
      <w:r w:rsidR="00D27077">
        <w:rPr>
          <w:rFonts w:ascii="Times New Roman" w:hAnsi="Times New Roman" w:cs="Times New Roman"/>
          <w:b/>
          <w:bCs/>
          <w:sz w:val="20"/>
          <w:szCs w:val="20"/>
        </w:rPr>
        <w:t>j</w:t>
      </w:r>
      <w:r w:rsidR="00A1742E" w:rsidRPr="00C826E7">
        <w:rPr>
          <w:rFonts w:ascii="Times New Roman" w:hAnsi="Times New Roman" w:cs="Times New Roman"/>
          <w:sz w:val="20"/>
          <w:szCs w:val="20"/>
        </w:rPr>
        <w:t>)</w:t>
      </w:r>
      <w:r w:rsidR="009E700D" w:rsidRPr="00C826E7">
        <w:rPr>
          <w:rFonts w:ascii="Times New Roman" w:hAnsi="Times New Roman" w:cs="Times New Roman"/>
          <w:sz w:val="20"/>
          <w:szCs w:val="20"/>
        </w:rPr>
        <w:t xml:space="preserve"> Proportion of ETP blasts in BMP-like and T-specified developmental stages. BMP-like stage encapsulates all cells that possess multipotent potential: HSPC/LMPP/CLP/ETP. T-specified stage encapsulates T-cells that have become specified to the T-lineage: Pro-T, Pre-T, DP, alpha-beta, </w:t>
      </w:r>
      <w:proofErr w:type="spellStart"/>
      <w:r w:rsidR="009E700D" w:rsidRPr="00C826E7">
        <w:rPr>
          <w:rFonts w:ascii="Times New Roman" w:hAnsi="Times New Roman" w:cs="Times New Roman"/>
          <w:sz w:val="20"/>
          <w:szCs w:val="20"/>
        </w:rPr>
        <w:t>Naïve_T</w:t>
      </w:r>
      <w:proofErr w:type="spellEnd"/>
      <w:r w:rsidR="009E700D" w:rsidRPr="00C826E7">
        <w:rPr>
          <w:rFonts w:ascii="Times New Roman" w:hAnsi="Times New Roman" w:cs="Times New Roman"/>
          <w:sz w:val="20"/>
          <w:szCs w:val="20"/>
        </w:rPr>
        <w:t xml:space="preserve">. P-values from two-sided t-test are shown above brackets. Alive indicates patients (n=16/25) who were alive at last known follow-up (mean = 2091 days). No event indicates patients (n=13/25) who had no event at last known follow-up (mean = 2108 days). </w:t>
      </w:r>
    </w:p>
    <w:p w14:paraId="6285E048" w14:textId="77777777" w:rsidR="009E700D" w:rsidRPr="007961E4" w:rsidRDefault="009E700D" w:rsidP="009E700D">
      <w:pPr>
        <w:rPr>
          <w:rFonts w:ascii="Times" w:hAnsi="Times"/>
          <w:sz w:val="20"/>
          <w:szCs w:val="20"/>
        </w:rPr>
      </w:pPr>
    </w:p>
    <w:p w14:paraId="44FA074B" w14:textId="77777777" w:rsidR="009E700D" w:rsidRPr="007961E4" w:rsidRDefault="009E700D" w:rsidP="009E700D">
      <w:pPr>
        <w:rPr>
          <w:rFonts w:ascii="Times" w:hAnsi="Times"/>
          <w:sz w:val="20"/>
          <w:szCs w:val="20"/>
        </w:rPr>
      </w:pPr>
    </w:p>
    <w:p w14:paraId="43FA1030" w14:textId="3102BAA9" w:rsidR="00FE6FEF" w:rsidRDefault="00FE6FEF">
      <w:pPr>
        <w:rPr>
          <w:rFonts w:ascii="Times" w:hAnsi="Times"/>
          <w:sz w:val="20"/>
          <w:szCs w:val="20"/>
        </w:rPr>
      </w:pPr>
    </w:p>
    <w:p w14:paraId="50BFA036" w14:textId="62722802" w:rsidR="001C40B7" w:rsidRDefault="001C40B7">
      <w:pPr>
        <w:rPr>
          <w:rFonts w:ascii="Times" w:hAnsi="Times"/>
          <w:sz w:val="20"/>
          <w:szCs w:val="20"/>
        </w:rPr>
      </w:pPr>
    </w:p>
    <w:p w14:paraId="5075C03F" w14:textId="505D23D3" w:rsidR="001C40B7" w:rsidRDefault="001C40B7">
      <w:pPr>
        <w:rPr>
          <w:rFonts w:ascii="Times" w:hAnsi="Times"/>
          <w:sz w:val="20"/>
          <w:szCs w:val="20"/>
        </w:rPr>
      </w:pPr>
    </w:p>
    <w:p w14:paraId="203447EC" w14:textId="10B7DC4A" w:rsidR="001C40B7" w:rsidRDefault="001C40B7">
      <w:pPr>
        <w:rPr>
          <w:rFonts w:ascii="Times" w:hAnsi="Times"/>
          <w:sz w:val="20"/>
          <w:szCs w:val="20"/>
        </w:rPr>
      </w:pPr>
    </w:p>
    <w:p w14:paraId="788AB528" w14:textId="157838C1" w:rsidR="007F0A3A" w:rsidRDefault="007F0A3A">
      <w:pPr>
        <w:rPr>
          <w:rFonts w:ascii="Times" w:hAnsi="Times"/>
          <w:sz w:val="20"/>
          <w:szCs w:val="20"/>
        </w:rPr>
      </w:pPr>
      <w:r>
        <w:rPr>
          <w:rFonts w:ascii="Times" w:hAnsi="Times"/>
          <w:sz w:val="20"/>
          <w:szCs w:val="20"/>
        </w:rPr>
        <w:br w:type="page"/>
      </w:r>
    </w:p>
    <w:p w14:paraId="4026078D" w14:textId="77777777" w:rsidR="001C40B7" w:rsidRDefault="001C40B7">
      <w:pPr>
        <w:rPr>
          <w:rFonts w:ascii="Times" w:hAnsi="Times"/>
          <w:sz w:val="20"/>
          <w:szCs w:val="20"/>
        </w:rPr>
      </w:pPr>
    </w:p>
    <w:p w14:paraId="599D0902" w14:textId="786F67F7" w:rsidR="001C40B7" w:rsidRDefault="001C40B7">
      <w:pPr>
        <w:rPr>
          <w:rFonts w:ascii="Times" w:hAnsi="Times"/>
          <w:sz w:val="20"/>
          <w:szCs w:val="20"/>
        </w:rPr>
      </w:pPr>
    </w:p>
    <w:p w14:paraId="114F3914" w14:textId="77777777" w:rsidR="00A75197" w:rsidRDefault="00A75197" w:rsidP="00A75197">
      <w:pPr>
        <w:pStyle w:val="Paragraph"/>
        <w:suppressLineNumbers/>
        <w:spacing w:before="0" w:line="480" w:lineRule="auto"/>
        <w:ind w:firstLine="0"/>
      </w:pPr>
      <w:r w:rsidRPr="00F40CDA">
        <w:rPr>
          <w:noProof/>
        </w:rPr>
        <w:drawing>
          <wp:inline distT="0" distB="0" distL="0" distR="0" wp14:anchorId="637A08B0" wp14:editId="5BAC3901">
            <wp:extent cx="5943600" cy="437896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378960"/>
                    </a:xfrm>
                    <a:prstGeom prst="rect">
                      <a:avLst/>
                    </a:prstGeom>
                  </pic:spPr>
                </pic:pic>
              </a:graphicData>
            </a:graphic>
          </wp:inline>
        </w:drawing>
      </w:r>
    </w:p>
    <w:p w14:paraId="274D81D1" w14:textId="0FCC4044" w:rsidR="00A75197" w:rsidRPr="00C826E7" w:rsidRDefault="00A75197" w:rsidP="00A75197">
      <w:pPr>
        <w:suppressLineNumbers/>
        <w:pBdr>
          <w:bottom w:val="single" w:sz="6" w:space="1" w:color="auto"/>
        </w:pBdr>
        <w:rPr>
          <w:rFonts w:ascii="Times New Roman" w:hAnsi="Times New Roman" w:cs="Times New Roman"/>
          <w:sz w:val="20"/>
          <w:szCs w:val="20"/>
        </w:rPr>
      </w:pPr>
      <w:r w:rsidRPr="00C826E7">
        <w:rPr>
          <w:rFonts w:ascii="Times New Roman" w:hAnsi="Times New Roman" w:cs="Times New Roman"/>
          <w:b/>
          <w:bCs/>
          <w:sz w:val="20"/>
          <w:szCs w:val="20"/>
        </w:rPr>
        <w:t xml:space="preserve">Supplementary Data Fig 6 | Transcriptional and epigenetic characteristics of BMP-like and T-specified cell states. </w:t>
      </w:r>
      <w:r w:rsidR="00DE35A7" w:rsidRPr="00C826E7">
        <w:rPr>
          <w:rFonts w:ascii="Times New Roman" w:hAnsi="Times New Roman" w:cs="Times New Roman"/>
          <w:b/>
          <w:bCs/>
          <w:sz w:val="20"/>
          <w:szCs w:val="20"/>
        </w:rPr>
        <w:t>(</w:t>
      </w:r>
      <w:r w:rsidRPr="00C826E7">
        <w:rPr>
          <w:rFonts w:ascii="Times New Roman" w:hAnsi="Times New Roman" w:cs="Times New Roman"/>
          <w:b/>
          <w:bCs/>
          <w:sz w:val="20"/>
          <w:szCs w:val="20"/>
        </w:rPr>
        <w:t>a-b</w:t>
      </w:r>
      <w:r w:rsidR="00DE35A7" w:rsidRPr="00C826E7">
        <w:rPr>
          <w:rFonts w:ascii="Times New Roman" w:hAnsi="Times New Roman" w:cs="Times New Roman"/>
          <w:b/>
          <w:bCs/>
          <w:sz w:val="20"/>
          <w:szCs w:val="20"/>
        </w:rPr>
        <w:t>)</w:t>
      </w:r>
      <w:r w:rsidRPr="00C826E7">
        <w:rPr>
          <w:rFonts w:ascii="Times New Roman" w:hAnsi="Times New Roman" w:cs="Times New Roman"/>
          <w:b/>
          <w:bCs/>
          <w:sz w:val="20"/>
          <w:szCs w:val="20"/>
        </w:rPr>
        <w:t xml:space="preserve"> </w:t>
      </w:r>
      <w:r w:rsidRPr="00C826E7">
        <w:rPr>
          <w:rFonts w:ascii="Times New Roman" w:hAnsi="Times New Roman" w:cs="Times New Roman"/>
          <w:sz w:val="20"/>
          <w:szCs w:val="20"/>
        </w:rPr>
        <w:t xml:space="preserve">differential expressed of surface markers and transcription factors between BMP-like blasts from non-responding patients and T-specified blasts from responding patients. DE was performed with 1500 randomly downsampled cells from each group using Mann-Whitney test on log-normalized data. </w:t>
      </w:r>
      <w:r w:rsidR="00DE35A7" w:rsidRPr="00C826E7">
        <w:rPr>
          <w:rFonts w:ascii="Times New Roman" w:hAnsi="Times New Roman" w:cs="Times New Roman"/>
          <w:sz w:val="20"/>
          <w:szCs w:val="20"/>
        </w:rPr>
        <w:t>(</w:t>
      </w:r>
      <w:r w:rsidRPr="00C826E7">
        <w:rPr>
          <w:rFonts w:ascii="Times New Roman" w:hAnsi="Times New Roman" w:cs="Times New Roman"/>
          <w:b/>
          <w:sz w:val="20"/>
          <w:szCs w:val="20"/>
        </w:rPr>
        <w:t>c</w:t>
      </w:r>
      <w:r w:rsidR="00DE35A7" w:rsidRPr="00C826E7">
        <w:rPr>
          <w:rFonts w:ascii="Times New Roman" w:hAnsi="Times New Roman" w:cs="Times New Roman"/>
          <w:sz w:val="20"/>
          <w:szCs w:val="20"/>
        </w:rPr>
        <w:t>)</w:t>
      </w:r>
      <w:r w:rsidRPr="00C826E7">
        <w:rPr>
          <w:rFonts w:ascii="Times New Roman" w:hAnsi="Times New Roman" w:cs="Times New Roman"/>
          <w:sz w:val="20"/>
          <w:szCs w:val="20"/>
        </w:rPr>
        <w:t xml:space="preserve"> differentially accessible transcription factors motifs between BMP-like blasts from non-responding patients and T-specified blasts from responding patients. DA was performed with 1000 randomly downsampled cells from each group. Two-sided Mann-Whitney test was used to compare </w:t>
      </w:r>
      <w:proofErr w:type="spellStart"/>
      <w:r w:rsidRPr="00C826E7">
        <w:rPr>
          <w:rFonts w:ascii="Times New Roman" w:hAnsi="Times New Roman" w:cs="Times New Roman"/>
          <w:sz w:val="20"/>
          <w:szCs w:val="20"/>
        </w:rPr>
        <w:t>chromVAR</w:t>
      </w:r>
      <w:proofErr w:type="spellEnd"/>
      <w:r w:rsidRPr="00C826E7">
        <w:rPr>
          <w:rFonts w:ascii="Times New Roman" w:hAnsi="Times New Roman" w:cs="Times New Roman"/>
          <w:sz w:val="20"/>
          <w:szCs w:val="20"/>
        </w:rPr>
        <w:t xml:space="preserve"> deviation Z-scores. </w:t>
      </w:r>
      <w:r w:rsidR="001A2107" w:rsidRPr="00C826E7">
        <w:rPr>
          <w:rFonts w:ascii="Times New Roman" w:hAnsi="Times New Roman" w:cs="Times New Roman"/>
          <w:sz w:val="20"/>
          <w:szCs w:val="20"/>
        </w:rPr>
        <w:t>(</w:t>
      </w:r>
      <w:r w:rsidRPr="00C826E7">
        <w:rPr>
          <w:rFonts w:ascii="Times New Roman" w:hAnsi="Times New Roman" w:cs="Times New Roman"/>
          <w:b/>
          <w:sz w:val="20"/>
          <w:szCs w:val="20"/>
        </w:rPr>
        <w:t>d</w:t>
      </w:r>
      <w:r w:rsidR="00020534">
        <w:rPr>
          <w:rFonts w:ascii="Times New Roman" w:hAnsi="Times New Roman" w:cs="Times New Roman"/>
          <w:b/>
          <w:sz w:val="20"/>
          <w:szCs w:val="20"/>
        </w:rPr>
        <w:t>-e</w:t>
      </w:r>
      <w:r w:rsidR="001A2107" w:rsidRPr="00C826E7">
        <w:rPr>
          <w:rFonts w:ascii="Times New Roman" w:hAnsi="Times New Roman" w:cs="Times New Roman"/>
          <w:b/>
          <w:sz w:val="20"/>
          <w:szCs w:val="20"/>
        </w:rPr>
        <w:t>)</w:t>
      </w:r>
      <w:r w:rsidRPr="00C826E7">
        <w:rPr>
          <w:rFonts w:ascii="Times New Roman" w:hAnsi="Times New Roman" w:cs="Times New Roman"/>
          <w:b/>
          <w:sz w:val="20"/>
          <w:szCs w:val="20"/>
        </w:rPr>
        <w:t xml:space="preserve"> </w:t>
      </w:r>
      <w:r w:rsidR="001A2107" w:rsidRPr="00C826E7">
        <w:rPr>
          <w:rFonts w:ascii="Times New Roman" w:hAnsi="Times New Roman" w:cs="Times New Roman"/>
          <w:sz w:val="20"/>
          <w:szCs w:val="20"/>
        </w:rPr>
        <w:t xml:space="preserve">intersection </w:t>
      </w:r>
      <w:r w:rsidRPr="00C826E7">
        <w:rPr>
          <w:rFonts w:ascii="Times New Roman" w:hAnsi="Times New Roman" w:cs="Times New Roman"/>
          <w:sz w:val="20"/>
          <w:szCs w:val="20"/>
        </w:rPr>
        <w:t xml:space="preserve">of differentially expressed transcription factors and differentially accessible motifs. Differentially expressed transcription factors were defined by Log2FC &gt; 0.15, adjusted </w:t>
      </w:r>
      <w:proofErr w:type="spellStart"/>
      <w:r w:rsidRPr="00C826E7">
        <w:rPr>
          <w:rFonts w:ascii="Times New Roman" w:hAnsi="Times New Roman" w:cs="Times New Roman"/>
          <w:sz w:val="20"/>
          <w:szCs w:val="20"/>
        </w:rPr>
        <w:t>pvalue</w:t>
      </w:r>
      <w:proofErr w:type="spellEnd"/>
      <w:r w:rsidRPr="00C826E7">
        <w:rPr>
          <w:rFonts w:ascii="Times New Roman" w:hAnsi="Times New Roman" w:cs="Times New Roman"/>
          <w:sz w:val="20"/>
          <w:szCs w:val="20"/>
        </w:rPr>
        <w:t xml:space="preserve"> &lt; 0.01; differentially accessible motifs were defined by </w:t>
      </w:r>
      <w:proofErr w:type="spellStart"/>
      <w:r w:rsidRPr="00C826E7">
        <w:rPr>
          <w:rFonts w:ascii="Times New Roman" w:hAnsi="Times New Roman" w:cs="Times New Roman"/>
          <w:sz w:val="20"/>
          <w:szCs w:val="20"/>
        </w:rPr>
        <w:t>Δmedian</w:t>
      </w:r>
      <w:proofErr w:type="spellEnd"/>
      <w:r w:rsidRPr="00C826E7">
        <w:rPr>
          <w:rFonts w:ascii="Times New Roman" w:hAnsi="Times New Roman" w:cs="Times New Roman"/>
          <w:sz w:val="20"/>
          <w:szCs w:val="20"/>
        </w:rPr>
        <w:t xml:space="preserve"> </w:t>
      </w:r>
      <w:proofErr w:type="spellStart"/>
      <w:r w:rsidRPr="00C826E7">
        <w:rPr>
          <w:rFonts w:ascii="Times New Roman" w:hAnsi="Times New Roman" w:cs="Times New Roman"/>
          <w:sz w:val="20"/>
          <w:szCs w:val="20"/>
        </w:rPr>
        <w:t>chromVAR</w:t>
      </w:r>
      <w:proofErr w:type="spellEnd"/>
      <w:r w:rsidRPr="00C826E7">
        <w:rPr>
          <w:rFonts w:ascii="Times New Roman" w:hAnsi="Times New Roman" w:cs="Times New Roman"/>
          <w:sz w:val="20"/>
          <w:szCs w:val="20"/>
        </w:rPr>
        <w:t xml:space="preserve"> deviation &gt; 0.005, adjusted p-value &lt; 0.01. Differential expression was performed using 5000 randomly downsampled cells per cluster. Differential accessibility was performed using 5000 randomly downsampled cells per cluster. </w:t>
      </w:r>
      <w:r w:rsidR="001A2107" w:rsidRPr="00C826E7">
        <w:rPr>
          <w:rFonts w:ascii="Times New Roman" w:hAnsi="Times New Roman" w:cs="Times New Roman"/>
          <w:sz w:val="20"/>
          <w:szCs w:val="20"/>
        </w:rPr>
        <w:t>(</w:t>
      </w:r>
      <w:r w:rsidR="00020534">
        <w:rPr>
          <w:rFonts w:ascii="Times New Roman" w:hAnsi="Times New Roman" w:cs="Times New Roman"/>
          <w:b/>
          <w:bCs/>
          <w:sz w:val="20"/>
          <w:szCs w:val="20"/>
        </w:rPr>
        <w:t>f</w:t>
      </w:r>
      <w:r w:rsidR="001A2107" w:rsidRPr="00C826E7">
        <w:rPr>
          <w:rFonts w:ascii="Times New Roman" w:hAnsi="Times New Roman" w:cs="Times New Roman"/>
          <w:sz w:val="20"/>
          <w:szCs w:val="20"/>
        </w:rPr>
        <w:t>)</w:t>
      </w:r>
      <w:r w:rsidRPr="00C826E7">
        <w:rPr>
          <w:rFonts w:ascii="Times New Roman" w:hAnsi="Times New Roman" w:cs="Times New Roman"/>
          <w:sz w:val="20"/>
          <w:szCs w:val="20"/>
        </w:rPr>
        <w:t xml:space="preserve"> </w:t>
      </w:r>
      <w:r w:rsidR="001A2107" w:rsidRPr="00C826E7">
        <w:rPr>
          <w:rFonts w:ascii="Times New Roman" w:hAnsi="Times New Roman" w:cs="Times New Roman"/>
          <w:sz w:val="20"/>
          <w:szCs w:val="20"/>
        </w:rPr>
        <w:t>s</w:t>
      </w:r>
      <w:r w:rsidRPr="00C826E7">
        <w:rPr>
          <w:rFonts w:ascii="Times New Roman" w:hAnsi="Times New Roman" w:cs="Times New Roman"/>
          <w:sz w:val="20"/>
          <w:szCs w:val="20"/>
        </w:rPr>
        <w:t xml:space="preserve">ignature scores for T-specified and BMP-like blasts were calculated using </w:t>
      </w:r>
      <w:proofErr w:type="spellStart"/>
      <w:r w:rsidRPr="00C826E7">
        <w:rPr>
          <w:rFonts w:ascii="Times New Roman" w:hAnsi="Times New Roman" w:cs="Times New Roman"/>
          <w:sz w:val="20"/>
          <w:szCs w:val="20"/>
        </w:rPr>
        <w:t>AUCell</w:t>
      </w:r>
      <w:proofErr w:type="spellEnd"/>
      <w:r w:rsidRPr="00C826E7">
        <w:rPr>
          <w:rFonts w:ascii="Times New Roman" w:hAnsi="Times New Roman" w:cs="Times New Roman"/>
          <w:sz w:val="20"/>
          <w:szCs w:val="20"/>
        </w:rPr>
        <w:t xml:space="preserve">. Representative top pathways from </w:t>
      </w:r>
      <w:proofErr w:type="spellStart"/>
      <w:r w:rsidRPr="00C826E7">
        <w:rPr>
          <w:rFonts w:ascii="Times New Roman" w:hAnsi="Times New Roman" w:cs="Times New Roman"/>
          <w:sz w:val="20"/>
          <w:szCs w:val="20"/>
        </w:rPr>
        <w:t>ImmuneSigDB</w:t>
      </w:r>
      <w:proofErr w:type="spellEnd"/>
      <w:r w:rsidRPr="00C826E7">
        <w:rPr>
          <w:rFonts w:ascii="Times New Roman" w:hAnsi="Times New Roman" w:cs="Times New Roman"/>
          <w:sz w:val="20"/>
          <w:szCs w:val="20"/>
        </w:rPr>
        <w:t xml:space="preserve"> and </w:t>
      </w:r>
      <w:proofErr w:type="spellStart"/>
      <w:r w:rsidRPr="00C826E7">
        <w:rPr>
          <w:rFonts w:ascii="Times New Roman" w:hAnsi="Times New Roman" w:cs="Times New Roman"/>
          <w:sz w:val="20"/>
          <w:szCs w:val="20"/>
        </w:rPr>
        <w:t>MSigDB</w:t>
      </w:r>
      <w:proofErr w:type="spellEnd"/>
      <w:r w:rsidRPr="00C826E7">
        <w:rPr>
          <w:rFonts w:ascii="Times New Roman" w:hAnsi="Times New Roman" w:cs="Times New Roman"/>
          <w:sz w:val="20"/>
          <w:szCs w:val="20"/>
        </w:rPr>
        <w:t xml:space="preserve"> Hallmark database are shown.</w:t>
      </w:r>
    </w:p>
    <w:p w14:paraId="64F4718E" w14:textId="10B5341F" w:rsidR="001C40B7" w:rsidRDefault="001C40B7">
      <w:pPr>
        <w:rPr>
          <w:rFonts w:ascii="Times" w:hAnsi="Times"/>
          <w:sz w:val="20"/>
          <w:szCs w:val="20"/>
        </w:rPr>
      </w:pPr>
    </w:p>
    <w:p w14:paraId="129D5372" w14:textId="3896E926" w:rsidR="001C40B7" w:rsidRDefault="001C40B7">
      <w:pPr>
        <w:rPr>
          <w:rFonts w:ascii="Times" w:hAnsi="Times"/>
          <w:sz w:val="20"/>
          <w:szCs w:val="20"/>
        </w:rPr>
      </w:pPr>
    </w:p>
    <w:p w14:paraId="107B1B24" w14:textId="5DCD00BA" w:rsidR="001C40B7" w:rsidRDefault="001C40B7">
      <w:pPr>
        <w:rPr>
          <w:rFonts w:ascii="Times" w:hAnsi="Times"/>
          <w:sz w:val="20"/>
          <w:szCs w:val="20"/>
        </w:rPr>
      </w:pPr>
    </w:p>
    <w:p w14:paraId="1CA1D8CF" w14:textId="08072CA2" w:rsidR="001C40B7" w:rsidRDefault="001C40B7">
      <w:pPr>
        <w:rPr>
          <w:rFonts w:ascii="Times" w:hAnsi="Times"/>
          <w:sz w:val="20"/>
          <w:szCs w:val="20"/>
        </w:rPr>
      </w:pPr>
    </w:p>
    <w:p w14:paraId="1647F582" w14:textId="61A2279C" w:rsidR="001C40B7" w:rsidRDefault="001C40B7">
      <w:pPr>
        <w:rPr>
          <w:rFonts w:ascii="Times" w:hAnsi="Times"/>
          <w:sz w:val="20"/>
          <w:szCs w:val="20"/>
        </w:rPr>
      </w:pPr>
    </w:p>
    <w:p w14:paraId="24D66C08" w14:textId="50FB3902" w:rsidR="001C40B7" w:rsidRDefault="001C40B7">
      <w:pPr>
        <w:rPr>
          <w:rFonts w:ascii="Times" w:hAnsi="Times"/>
          <w:sz w:val="20"/>
          <w:szCs w:val="20"/>
        </w:rPr>
      </w:pPr>
    </w:p>
    <w:p w14:paraId="4A9DF529" w14:textId="28D2FC70" w:rsidR="001C40B7" w:rsidRDefault="001C40B7">
      <w:pPr>
        <w:rPr>
          <w:rFonts w:ascii="Times" w:hAnsi="Times"/>
          <w:sz w:val="20"/>
          <w:szCs w:val="20"/>
        </w:rPr>
      </w:pPr>
    </w:p>
    <w:p w14:paraId="412B26A9" w14:textId="2F76F04C" w:rsidR="001C40B7" w:rsidRDefault="001C40B7">
      <w:pPr>
        <w:rPr>
          <w:rFonts w:ascii="Times" w:hAnsi="Times"/>
          <w:sz w:val="20"/>
          <w:szCs w:val="20"/>
        </w:rPr>
      </w:pPr>
    </w:p>
    <w:p w14:paraId="46AF0505" w14:textId="0DFC71FC" w:rsidR="001C40B7" w:rsidRDefault="001C40B7" w:rsidP="007F0A3A">
      <w:pPr>
        <w:suppressLineNumbers/>
      </w:pPr>
      <w:r w:rsidRPr="00781293">
        <w:rPr>
          <w:noProof/>
        </w:rPr>
        <w:lastRenderedPageBreak/>
        <w:drawing>
          <wp:inline distT="0" distB="0" distL="0" distR="0" wp14:anchorId="62CC1904" wp14:editId="4AE88F56">
            <wp:extent cx="4830948" cy="6418555"/>
            <wp:effectExtent l="0" t="0" r="0" b="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11"/>
                    <a:stretch>
                      <a:fillRect/>
                    </a:stretch>
                  </pic:blipFill>
                  <pic:spPr>
                    <a:xfrm>
                      <a:off x="0" y="0"/>
                      <a:ext cx="4843420" cy="6435126"/>
                    </a:xfrm>
                    <a:prstGeom prst="rect">
                      <a:avLst/>
                    </a:prstGeom>
                  </pic:spPr>
                </pic:pic>
              </a:graphicData>
            </a:graphic>
          </wp:inline>
        </w:drawing>
      </w:r>
    </w:p>
    <w:p w14:paraId="43605C92" w14:textId="29CA2F6B" w:rsidR="001C40B7" w:rsidRPr="00C826E7" w:rsidRDefault="001C40B7" w:rsidP="001C40B7">
      <w:pPr>
        <w:suppressLineNumbers/>
        <w:pBdr>
          <w:bottom w:val="single" w:sz="6" w:space="1" w:color="auto"/>
        </w:pBdr>
        <w:rPr>
          <w:rFonts w:ascii="Times New Roman" w:hAnsi="Times New Roman" w:cs="Times New Roman"/>
          <w:sz w:val="20"/>
          <w:szCs w:val="20"/>
        </w:rPr>
      </w:pPr>
      <w:r w:rsidRPr="00C826E7">
        <w:rPr>
          <w:rFonts w:ascii="Times New Roman" w:hAnsi="Times New Roman" w:cs="Times New Roman"/>
          <w:b/>
          <w:bCs/>
          <w:sz w:val="20"/>
          <w:szCs w:val="20"/>
        </w:rPr>
        <w:t xml:space="preserve">Supplementary Data Fig </w:t>
      </w:r>
      <w:r w:rsidR="00AE04AE" w:rsidRPr="00C826E7">
        <w:rPr>
          <w:rFonts w:ascii="Times New Roman" w:hAnsi="Times New Roman" w:cs="Times New Roman"/>
          <w:b/>
          <w:bCs/>
          <w:sz w:val="20"/>
          <w:szCs w:val="20"/>
        </w:rPr>
        <w:t>7</w:t>
      </w:r>
      <w:r w:rsidRPr="00C826E7">
        <w:rPr>
          <w:rFonts w:ascii="Times New Roman" w:hAnsi="Times New Roman" w:cs="Times New Roman"/>
          <w:b/>
          <w:bCs/>
          <w:sz w:val="20"/>
          <w:szCs w:val="20"/>
        </w:rPr>
        <w:t xml:space="preserve">. | Integration of bulk-derived mutation calls with single-cell-derived tumor phenotype. </w:t>
      </w:r>
      <w:r w:rsidR="00AD33E8" w:rsidRPr="00C826E7">
        <w:rPr>
          <w:rFonts w:ascii="Times New Roman" w:hAnsi="Times New Roman" w:cs="Times New Roman"/>
          <w:b/>
          <w:bCs/>
          <w:sz w:val="20"/>
          <w:szCs w:val="20"/>
        </w:rPr>
        <w:t>(</w:t>
      </w:r>
      <w:r w:rsidRPr="00C826E7">
        <w:rPr>
          <w:rFonts w:ascii="Times New Roman" w:hAnsi="Times New Roman" w:cs="Times New Roman"/>
          <w:b/>
          <w:bCs/>
          <w:sz w:val="20"/>
          <w:szCs w:val="20"/>
        </w:rPr>
        <w:t>a</w:t>
      </w:r>
      <w:r w:rsidR="00AD33E8" w:rsidRPr="00C826E7">
        <w:rPr>
          <w:rFonts w:ascii="Times New Roman" w:hAnsi="Times New Roman" w:cs="Times New Roman"/>
          <w:b/>
          <w:bCs/>
          <w:sz w:val="20"/>
          <w:szCs w:val="20"/>
        </w:rPr>
        <w:t>)</w:t>
      </w:r>
      <w:r w:rsidRPr="00C826E7">
        <w:rPr>
          <w:rFonts w:ascii="Times New Roman" w:hAnsi="Times New Roman" w:cs="Times New Roman"/>
          <w:b/>
          <w:bCs/>
          <w:sz w:val="20"/>
          <w:szCs w:val="20"/>
        </w:rPr>
        <w:t xml:space="preserve"> </w:t>
      </w:r>
      <w:r w:rsidR="00AD33E8" w:rsidRPr="00C826E7">
        <w:rPr>
          <w:rFonts w:ascii="Times New Roman" w:hAnsi="Times New Roman" w:cs="Times New Roman"/>
          <w:sz w:val="20"/>
          <w:szCs w:val="20"/>
        </w:rPr>
        <w:t>r</w:t>
      </w:r>
      <w:r w:rsidRPr="00C826E7">
        <w:rPr>
          <w:rFonts w:ascii="Times New Roman" w:hAnsi="Times New Roman" w:cs="Times New Roman"/>
          <w:sz w:val="20"/>
          <w:szCs w:val="20"/>
        </w:rPr>
        <w:t>ecurrently mutated genes among 25 ETP-ALL patients and associated tumor BMP-like and T-specified proportion. SNV were called using WES data (</w:t>
      </w:r>
      <w:proofErr w:type="spellStart"/>
      <w:r w:rsidRPr="00C826E7">
        <w:rPr>
          <w:rFonts w:ascii="Times New Roman" w:hAnsi="Times New Roman" w:cs="Times New Roman"/>
          <w:sz w:val="20"/>
          <w:szCs w:val="20"/>
        </w:rPr>
        <w:t>Polonen</w:t>
      </w:r>
      <w:proofErr w:type="spellEnd"/>
      <w:r w:rsidRPr="00C826E7">
        <w:rPr>
          <w:rFonts w:ascii="Times New Roman" w:hAnsi="Times New Roman" w:cs="Times New Roman"/>
          <w:sz w:val="20"/>
          <w:szCs w:val="20"/>
        </w:rPr>
        <w:t xml:space="preserve"> et al) and integrated with tumor phenotype derived from </w:t>
      </w:r>
      <w:proofErr w:type="spellStart"/>
      <w:r w:rsidRPr="00C826E7">
        <w:rPr>
          <w:rFonts w:ascii="Times New Roman" w:hAnsi="Times New Roman" w:cs="Times New Roman"/>
          <w:sz w:val="20"/>
          <w:szCs w:val="20"/>
        </w:rPr>
        <w:t>scRNA</w:t>
      </w:r>
      <w:proofErr w:type="spellEnd"/>
      <w:r w:rsidRPr="00C826E7">
        <w:rPr>
          <w:rFonts w:ascii="Times New Roman" w:hAnsi="Times New Roman" w:cs="Times New Roman"/>
          <w:sz w:val="20"/>
          <w:szCs w:val="20"/>
        </w:rPr>
        <w:t xml:space="preserve"> data. </w:t>
      </w:r>
      <w:r w:rsidR="00AD33E8" w:rsidRPr="00C826E7">
        <w:rPr>
          <w:rFonts w:ascii="Times New Roman" w:hAnsi="Times New Roman" w:cs="Times New Roman"/>
          <w:sz w:val="20"/>
          <w:szCs w:val="20"/>
        </w:rPr>
        <w:t>(</w:t>
      </w:r>
      <w:r w:rsidRPr="00C826E7">
        <w:rPr>
          <w:rFonts w:ascii="Times New Roman" w:hAnsi="Times New Roman" w:cs="Times New Roman"/>
          <w:b/>
          <w:sz w:val="20"/>
          <w:szCs w:val="20"/>
        </w:rPr>
        <w:t>b</w:t>
      </w:r>
      <w:r w:rsidR="00AD33E8" w:rsidRPr="00C826E7">
        <w:rPr>
          <w:rFonts w:ascii="Times New Roman" w:hAnsi="Times New Roman" w:cs="Times New Roman"/>
          <w:sz w:val="20"/>
          <w:szCs w:val="20"/>
        </w:rPr>
        <w:t>)</w:t>
      </w:r>
      <w:r w:rsidRPr="00C826E7">
        <w:rPr>
          <w:rFonts w:ascii="Times New Roman" w:hAnsi="Times New Roman" w:cs="Times New Roman"/>
          <w:sz w:val="20"/>
          <w:szCs w:val="20"/>
        </w:rPr>
        <w:t xml:space="preserve"> </w:t>
      </w:r>
      <w:r w:rsidR="00AD33E8" w:rsidRPr="00C826E7">
        <w:rPr>
          <w:rFonts w:ascii="Times New Roman" w:hAnsi="Times New Roman" w:cs="Times New Roman"/>
          <w:sz w:val="20"/>
          <w:szCs w:val="20"/>
        </w:rPr>
        <w:t>d</w:t>
      </w:r>
      <w:r w:rsidRPr="00C826E7">
        <w:rPr>
          <w:rFonts w:ascii="Times New Roman" w:hAnsi="Times New Roman" w:cs="Times New Roman"/>
          <w:sz w:val="20"/>
          <w:szCs w:val="20"/>
        </w:rPr>
        <w:t xml:space="preserve">river fusions among 25 ETP-ALL patients and associated tumor BMP-like and T-specified proportion. Fusions were called from WGS data and </w:t>
      </w:r>
      <w:r w:rsidR="001F505A">
        <w:rPr>
          <w:rFonts w:ascii="Times New Roman" w:hAnsi="Times New Roman" w:cs="Times New Roman"/>
          <w:sz w:val="20"/>
          <w:szCs w:val="20"/>
        </w:rPr>
        <w:t>b</w:t>
      </w:r>
      <w:r w:rsidRPr="00C826E7">
        <w:rPr>
          <w:rFonts w:ascii="Times New Roman" w:hAnsi="Times New Roman" w:cs="Times New Roman"/>
          <w:sz w:val="20"/>
          <w:szCs w:val="20"/>
        </w:rPr>
        <w:t>ulk RNA-sequencing data (</w:t>
      </w:r>
      <w:proofErr w:type="spellStart"/>
      <w:r w:rsidRPr="00C826E7">
        <w:rPr>
          <w:rFonts w:ascii="Times New Roman" w:hAnsi="Times New Roman" w:cs="Times New Roman"/>
          <w:sz w:val="20"/>
          <w:szCs w:val="20"/>
        </w:rPr>
        <w:t>Polonen</w:t>
      </w:r>
      <w:proofErr w:type="spellEnd"/>
      <w:r w:rsidRPr="00C826E7">
        <w:rPr>
          <w:rFonts w:ascii="Times New Roman" w:hAnsi="Times New Roman" w:cs="Times New Roman"/>
          <w:sz w:val="20"/>
          <w:szCs w:val="20"/>
        </w:rPr>
        <w:t xml:space="preserve"> et al) and integrated with tumor phenotype derived from </w:t>
      </w:r>
      <w:proofErr w:type="spellStart"/>
      <w:r w:rsidRPr="00C826E7">
        <w:rPr>
          <w:rFonts w:ascii="Times New Roman" w:hAnsi="Times New Roman" w:cs="Times New Roman"/>
          <w:sz w:val="20"/>
          <w:szCs w:val="20"/>
        </w:rPr>
        <w:t>scRNA</w:t>
      </w:r>
      <w:proofErr w:type="spellEnd"/>
      <w:r w:rsidRPr="00C826E7">
        <w:rPr>
          <w:rFonts w:ascii="Times New Roman" w:hAnsi="Times New Roman" w:cs="Times New Roman"/>
          <w:sz w:val="20"/>
          <w:szCs w:val="20"/>
        </w:rPr>
        <w:t xml:space="preserve"> data. </w:t>
      </w:r>
      <w:r w:rsidR="00AD33E8" w:rsidRPr="00C826E7">
        <w:rPr>
          <w:rFonts w:ascii="Times New Roman" w:hAnsi="Times New Roman" w:cs="Times New Roman"/>
          <w:sz w:val="20"/>
          <w:szCs w:val="20"/>
        </w:rPr>
        <w:t>(</w:t>
      </w:r>
      <w:r w:rsidRPr="00C826E7">
        <w:rPr>
          <w:rFonts w:ascii="Times New Roman" w:hAnsi="Times New Roman" w:cs="Times New Roman"/>
          <w:b/>
          <w:sz w:val="20"/>
          <w:szCs w:val="20"/>
        </w:rPr>
        <w:t>c</w:t>
      </w:r>
      <w:r w:rsidR="00AD33E8" w:rsidRPr="00C826E7">
        <w:rPr>
          <w:rFonts w:ascii="Times New Roman" w:hAnsi="Times New Roman" w:cs="Times New Roman"/>
          <w:b/>
          <w:sz w:val="20"/>
          <w:szCs w:val="20"/>
        </w:rPr>
        <w:t>)</w:t>
      </w:r>
      <w:r w:rsidRPr="00C826E7">
        <w:rPr>
          <w:rFonts w:ascii="Times New Roman" w:hAnsi="Times New Roman" w:cs="Times New Roman"/>
          <w:sz w:val="20"/>
          <w:szCs w:val="20"/>
        </w:rPr>
        <w:t xml:space="preserve"> </w:t>
      </w:r>
      <w:r w:rsidR="00AD33E8" w:rsidRPr="00C826E7">
        <w:rPr>
          <w:rFonts w:ascii="Times New Roman" w:hAnsi="Times New Roman" w:cs="Times New Roman"/>
          <w:sz w:val="20"/>
          <w:szCs w:val="20"/>
        </w:rPr>
        <w:t>r</w:t>
      </w:r>
      <w:r w:rsidRPr="00C826E7">
        <w:rPr>
          <w:rFonts w:ascii="Times New Roman" w:hAnsi="Times New Roman" w:cs="Times New Roman"/>
          <w:sz w:val="20"/>
          <w:szCs w:val="20"/>
        </w:rPr>
        <w:t xml:space="preserve">ecurrently mutated genes seen in high BMP-like patients (high risk). </w:t>
      </w:r>
      <w:r w:rsidR="00AD33E8" w:rsidRPr="00C826E7">
        <w:rPr>
          <w:rFonts w:ascii="Times New Roman" w:hAnsi="Times New Roman" w:cs="Times New Roman"/>
          <w:sz w:val="20"/>
          <w:szCs w:val="20"/>
        </w:rPr>
        <w:t>(</w:t>
      </w:r>
      <w:r w:rsidRPr="00C826E7">
        <w:rPr>
          <w:rFonts w:ascii="Times New Roman" w:hAnsi="Times New Roman" w:cs="Times New Roman"/>
          <w:b/>
          <w:sz w:val="20"/>
          <w:szCs w:val="20"/>
        </w:rPr>
        <w:t>d</w:t>
      </w:r>
      <w:r w:rsidR="00AD33E8" w:rsidRPr="00C826E7">
        <w:rPr>
          <w:rFonts w:ascii="Times New Roman" w:hAnsi="Times New Roman" w:cs="Times New Roman"/>
          <w:b/>
          <w:sz w:val="20"/>
          <w:szCs w:val="20"/>
        </w:rPr>
        <w:t>)</w:t>
      </w:r>
      <w:r w:rsidRPr="00C826E7">
        <w:rPr>
          <w:rFonts w:ascii="Times New Roman" w:hAnsi="Times New Roman" w:cs="Times New Roman"/>
          <w:sz w:val="20"/>
          <w:szCs w:val="20"/>
        </w:rPr>
        <w:t xml:space="preserve"> </w:t>
      </w:r>
      <w:r w:rsidR="00AD33E8" w:rsidRPr="00C826E7">
        <w:rPr>
          <w:rFonts w:ascii="Times New Roman" w:hAnsi="Times New Roman" w:cs="Times New Roman"/>
          <w:sz w:val="20"/>
          <w:szCs w:val="20"/>
        </w:rPr>
        <w:t>r</w:t>
      </w:r>
      <w:r w:rsidRPr="00C826E7">
        <w:rPr>
          <w:rFonts w:ascii="Times New Roman" w:hAnsi="Times New Roman" w:cs="Times New Roman"/>
          <w:sz w:val="20"/>
          <w:szCs w:val="20"/>
        </w:rPr>
        <w:t xml:space="preserve">ecurrently mutated genes seen in high T-specified patients (low risk). </w:t>
      </w:r>
      <w:r w:rsidR="00AD33E8" w:rsidRPr="00C826E7">
        <w:rPr>
          <w:rFonts w:ascii="Times New Roman" w:hAnsi="Times New Roman" w:cs="Times New Roman"/>
          <w:sz w:val="20"/>
          <w:szCs w:val="20"/>
        </w:rPr>
        <w:t>(</w:t>
      </w:r>
      <w:r w:rsidR="00AD33E8" w:rsidRPr="00C826E7">
        <w:rPr>
          <w:rFonts w:ascii="Times New Roman" w:hAnsi="Times New Roman" w:cs="Times New Roman"/>
          <w:b/>
          <w:bCs/>
          <w:sz w:val="20"/>
          <w:szCs w:val="20"/>
        </w:rPr>
        <w:t>e</w:t>
      </w:r>
      <w:r w:rsidR="00AD33E8" w:rsidRPr="00C826E7">
        <w:rPr>
          <w:rFonts w:ascii="Times New Roman" w:hAnsi="Times New Roman" w:cs="Times New Roman"/>
          <w:sz w:val="20"/>
          <w:szCs w:val="20"/>
        </w:rPr>
        <w:t>)</w:t>
      </w:r>
      <w:r w:rsidRPr="00C826E7">
        <w:rPr>
          <w:rFonts w:ascii="Times New Roman" w:hAnsi="Times New Roman" w:cs="Times New Roman"/>
          <w:sz w:val="20"/>
          <w:szCs w:val="20"/>
        </w:rPr>
        <w:t xml:space="preserve"> </w:t>
      </w:r>
      <w:r w:rsidR="00AD33E8" w:rsidRPr="00C826E7">
        <w:rPr>
          <w:rFonts w:ascii="Times New Roman" w:hAnsi="Times New Roman" w:cs="Times New Roman"/>
          <w:sz w:val="20"/>
          <w:szCs w:val="20"/>
        </w:rPr>
        <w:t>d</w:t>
      </w:r>
      <w:r w:rsidRPr="00C826E7">
        <w:rPr>
          <w:rFonts w:ascii="Times New Roman" w:hAnsi="Times New Roman" w:cs="Times New Roman"/>
          <w:sz w:val="20"/>
          <w:szCs w:val="20"/>
        </w:rPr>
        <w:t xml:space="preserve">river fusion profile of high BMP-like patients (high risk, left) and high T-specified patients (low risk, right). </w:t>
      </w:r>
    </w:p>
    <w:p w14:paraId="44F6AF47" w14:textId="77777777" w:rsidR="001C40B7" w:rsidRDefault="001C40B7">
      <w:pPr>
        <w:rPr>
          <w:rFonts w:ascii="Times" w:hAnsi="Times"/>
          <w:sz w:val="20"/>
          <w:szCs w:val="20"/>
        </w:rPr>
      </w:pPr>
    </w:p>
    <w:p w14:paraId="5924F915" w14:textId="1EA5DE5E" w:rsidR="00FE6FEF" w:rsidRDefault="00FE6FEF" w:rsidP="00FE6FEF">
      <w:pPr>
        <w:jc w:val="center"/>
        <w:rPr>
          <w:rFonts w:ascii="Times" w:hAnsi="Times"/>
          <w:sz w:val="20"/>
          <w:szCs w:val="20"/>
        </w:rPr>
      </w:pPr>
      <w:r w:rsidRPr="00FE6FEF">
        <w:rPr>
          <w:rFonts w:ascii="Times" w:hAnsi="Times"/>
          <w:noProof/>
          <w:sz w:val="20"/>
          <w:szCs w:val="20"/>
        </w:rPr>
        <w:lastRenderedPageBreak/>
        <w:drawing>
          <wp:inline distT="0" distB="0" distL="0" distR="0" wp14:anchorId="315CCC5B" wp14:editId="7C06DB0E">
            <wp:extent cx="4956463" cy="66086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83554" cy="6644738"/>
                    </a:xfrm>
                    <a:prstGeom prst="rect">
                      <a:avLst/>
                    </a:prstGeom>
                  </pic:spPr>
                </pic:pic>
              </a:graphicData>
            </a:graphic>
          </wp:inline>
        </w:drawing>
      </w:r>
    </w:p>
    <w:p w14:paraId="015B47A7" w14:textId="3A1B6D54" w:rsidR="00EF06CD" w:rsidRDefault="00EF06CD">
      <w:pPr>
        <w:pBdr>
          <w:bottom w:val="single" w:sz="6" w:space="1" w:color="auto"/>
        </w:pBdr>
        <w:rPr>
          <w:rFonts w:ascii="Times" w:hAnsi="Times"/>
          <w:sz w:val="20"/>
          <w:szCs w:val="20"/>
        </w:rPr>
      </w:pPr>
      <w:r>
        <w:rPr>
          <w:rFonts w:ascii="Times" w:hAnsi="Times"/>
          <w:b/>
          <w:bCs/>
          <w:sz w:val="20"/>
          <w:szCs w:val="20"/>
        </w:rPr>
        <w:t>Supplementary</w:t>
      </w:r>
      <w:r w:rsidRPr="0073181E">
        <w:rPr>
          <w:rFonts w:ascii="Times" w:hAnsi="Times"/>
          <w:b/>
          <w:bCs/>
          <w:sz w:val="20"/>
          <w:szCs w:val="20"/>
        </w:rPr>
        <w:t xml:space="preserve"> Data Fig</w:t>
      </w:r>
      <w:r>
        <w:rPr>
          <w:rFonts w:ascii="Times" w:hAnsi="Times"/>
          <w:b/>
          <w:bCs/>
          <w:sz w:val="20"/>
          <w:szCs w:val="20"/>
        </w:rPr>
        <w:t>.</w:t>
      </w:r>
      <w:r w:rsidRPr="0073181E">
        <w:rPr>
          <w:rFonts w:ascii="Times" w:hAnsi="Times"/>
          <w:b/>
          <w:bCs/>
          <w:sz w:val="20"/>
          <w:szCs w:val="20"/>
        </w:rPr>
        <w:t xml:space="preserve"> </w:t>
      </w:r>
      <w:r w:rsidR="00AE04AE">
        <w:rPr>
          <w:rFonts w:ascii="Times" w:hAnsi="Times"/>
          <w:b/>
          <w:bCs/>
          <w:sz w:val="20"/>
          <w:szCs w:val="20"/>
        </w:rPr>
        <w:t>8</w:t>
      </w:r>
      <w:r>
        <w:rPr>
          <w:rFonts w:ascii="Times" w:hAnsi="Times"/>
          <w:b/>
          <w:bCs/>
          <w:sz w:val="20"/>
          <w:szCs w:val="20"/>
        </w:rPr>
        <w:t xml:space="preserve"> |</w:t>
      </w:r>
      <w:r w:rsidRPr="0073181E">
        <w:rPr>
          <w:rFonts w:ascii="Times" w:hAnsi="Times"/>
          <w:b/>
          <w:bCs/>
          <w:sz w:val="20"/>
          <w:szCs w:val="20"/>
        </w:rPr>
        <w:t xml:space="preserve"> Prognostic value of </w:t>
      </w:r>
      <w:r w:rsidR="00E50D1F">
        <w:rPr>
          <w:rFonts w:ascii="Times" w:hAnsi="Times"/>
          <w:b/>
          <w:bCs/>
          <w:sz w:val="20"/>
          <w:szCs w:val="20"/>
        </w:rPr>
        <w:t xml:space="preserve">individual mutated genes </w:t>
      </w:r>
      <w:r w:rsidRPr="0073181E">
        <w:rPr>
          <w:rFonts w:ascii="Times" w:hAnsi="Times"/>
          <w:b/>
          <w:bCs/>
          <w:sz w:val="20"/>
          <w:szCs w:val="20"/>
        </w:rPr>
        <w:t>associated with BMP-like</w:t>
      </w:r>
      <w:r w:rsidR="00595C88">
        <w:rPr>
          <w:rFonts w:ascii="Times" w:hAnsi="Times"/>
          <w:b/>
          <w:bCs/>
          <w:sz w:val="20"/>
          <w:szCs w:val="20"/>
        </w:rPr>
        <w:t xml:space="preserve"> </w:t>
      </w:r>
      <w:r w:rsidR="00595C88" w:rsidRPr="0073181E">
        <w:rPr>
          <w:rFonts w:ascii="Times" w:hAnsi="Times"/>
          <w:b/>
          <w:bCs/>
          <w:sz w:val="20"/>
          <w:szCs w:val="20"/>
        </w:rPr>
        <w:t xml:space="preserve">and T-specified </w:t>
      </w:r>
      <w:r w:rsidRPr="0073181E">
        <w:rPr>
          <w:rFonts w:ascii="Times" w:hAnsi="Times"/>
          <w:b/>
          <w:bCs/>
          <w:sz w:val="20"/>
          <w:szCs w:val="20"/>
        </w:rPr>
        <w:t>states</w:t>
      </w:r>
      <w:r>
        <w:rPr>
          <w:rFonts w:ascii="Times" w:hAnsi="Times"/>
          <w:b/>
          <w:bCs/>
          <w:sz w:val="20"/>
          <w:szCs w:val="20"/>
        </w:rPr>
        <w:t xml:space="preserve">. </w:t>
      </w:r>
      <w:r w:rsidR="003604AB">
        <w:rPr>
          <w:rFonts w:ascii="Times" w:hAnsi="Times"/>
          <w:b/>
          <w:bCs/>
          <w:sz w:val="20"/>
          <w:szCs w:val="20"/>
        </w:rPr>
        <w:t>(</w:t>
      </w:r>
      <w:r w:rsidR="00595C88">
        <w:rPr>
          <w:rFonts w:ascii="Times" w:hAnsi="Times"/>
          <w:b/>
          <w:bCs/>
          <w:sz w:val="20"/>
          <w:szCs w:val="20"/>
        </w:rPr>
        <w:t>a-d</w:t>
      </w:r>
      <w:r w:rsidR="003604AB">
        <w:rPr>
          <w:rFonts w:ascii="Times" w:hAnsi="Times"/>
          <w:b/>
          <w:bCs/>
          <w:sz w:val="20"/>
          <w:szCs w:val="20"/>
        </w:rPr>
        <w:t>)</w:t>
      </w:r>
      <w:r>
        <w:rPr>
          <w:rFonts w:ascii="Times" w:hAnsi="Times"/>
          <w:b/>
          <w:bCs/>
          <w:sz w:val="20"/>
          <w:szCs w:val="20"/>
        </w:rPr>
        <w:t xml:space="preserve"> </w:t>
      </w:r>
      <w:r>
        <w:rPr>
          <w:rFonts w:ascii="Times" w:hAnsi="Times"/>
          <w:sz w:val="20"/>
          <w:szCs w:val="20"/>
        </w:rPr>
        <w:t>recurrently mutated genes associated with BMP-like cell state. O</w:t>
      </w:r>
      <w:r w:rsidRPr="0073181E">
        <w:rPr>
          <w:rFonts w:ascii="Times" w:hAnsi="Times"/>
          <w:sz w:val="20"/>
          <w:szCs w:val="20"/>
        </w:rPr>
        <w:t xml:space="preserve">verall survival </w:t>
      </w:r>
      <w:r>
        <w:rPr>
          <w:rFonts w:ascii="Times" w:hAnsi="Times"/>
          <w:sz w:val="20"/>
          <w:szCs w:val="20"/>
        </w:rPr>
        <w:t xml:space="preserve">and single cell-signature </w:t>
      </w:r>
      <w:r w:rsidRPr="0073181E">
        <w:rPr>
          <w:rFonts w:ascii="Times" w:hAnsi="Times"/>
          <w:sz w:val="20"/>
          <w:szCs w:val="20"/>
        </w:rPr>
        <w:t>score</w:t>
      </w:r>
      <w:r>
        <w:rPr>
          <w:rFonts w:ascii="Times" w:hAnsi="Times"/>
          <w:sz w:val="20"/>
          <w:szCs w:val="20"/>
        </w:rPr>
        <w:t>s</w:t>
      </w:r>
      <w:r w:rsidRPr="0073181E">
        <w:rPr>
          <w:rFonts w:ascii="Times" w:hAnsi="Times"/>
          <w:sz w:val="20"/>
          <w:szCs w:val="20"/>
        </w:rPr>
        <w:t xml:space="preserve"> among 110 bulk-sequenced ETP-ALL patients</w:t>
      </w:r>
      <w:r>
        <w:rPr>
          <w:rFonts w:ascii="Times" w:hAnsi="Times"/>
          <w:sz w:val="20"/>
          <w:szCs w:val="20"/>
        </w:rPr>
        <w:t xml:space="preserve"> </w:t>
      </w:r>
      <w:r w:rsidRPr="0073181E">
        <w:rPr>
          <w:rFonts w:ascii="Times" w:hAnsi="Times"/>
          <w:sz w:val="20"/>
          <w:szCs w:val="20"/>
        </w:rPr>
        <w:t xml:space="preserve">grouped by mutation status </w:t>
      </w:r>
      <w:r>
        <w:rPr>
          <w:rFonts w:ascii="Times" w:hAnsi="Times"/>
          <w:sz w:val="20"/>
          <w:szCs w:val="20"/>
        </w:rPr>
        <w:t>within</w:t>
      </w:r>
      <w:r w:rsidRPr="0073181E">
        <w:rPr>
          <w:rFonts w:ascii="Times" w:hAnsi="Times"/>
          <w:sz w:val="20"/>
          <w:szCs w:val="20"/>
        </w:rPr>
        <w:t xml:space="preserve"> </w:t>
      </w:r>
      <w:r>
        <w:rPr>
          <w:rFonts w:ascii="Times" w:hAnsi="Times"/>
          <w:sz w:val="20"/>
          <w:szCs w:val="20"/>
        </w:rPr>
        <w:t>BMP-like (</w:t>
      </w:r>
      <w:r w:rsidRPr="0073181E">
        <w:rPr>
          <w:rFonts w:ascii="Times" w:hAnsi="Times"/>
          <w:i/>
          <w:iCs/>
          <w:sz w:val="20"/>
          <w:szCs w:val="20"/>
        </w:rPr>
        <w:t>ETV6</w:t>
      </w:r>
      <w:r w:rsidRPr="0073181E">
        <w:rPr>
          <w:rFonts w:ascii="Times" w:hAnsi="Times"/>
          <w:sz w:val="20"/>
          <w:szCs w:val="20"/>
        </w:rPr>
        <w:t xml:space="preserve">, </w:t>
      </w:r>
      <w:r>
        <w:rPr>
          <w:rFonts w:ascii="Times" w:hAnsi="Times"/>
          <w:i/>
          <w:iCs/>
          <w:sz w:val="20"/>
          <w:szCs w:val="20"/>
        </w:rPr>
        <w:t xml:space="preserve">NRAS, HLA-C, </w:t>
      </w:r>
      <w:r w:rsidRPr="0073181E">
        <w:rPr>
          <w:rFonts w:ascii="Times" w:hAnsi="Times"/>
          <w:i/>
          <w:iCs/>
          <w:sz w:val="20"/>
          <w:szCs w:val="20"/>
        </w:rPr>
        <w:t>SAT1B</w:t>
      </w:r>
      <w:r>
        <w:rPr>
          <w:rFonts w:ascii="Times" w:hAnsi="Times"/>
          <w:i/>
          <w:iCs/>
          <w:sz w:val="20"/>
          <w:szCs w:val="20"/>
        </w:rPr>
        <w:t>)</w:t>
      </w:r>
      <w:r>
        <w:rPr>
          <w:rFonts w:ascii="Times" w:hAnsi="Times"/>
          <w:sz w:val="20"/>
          <w:szCs w:val="20"/>
        </w:rPr>
        <w:t xml:space="preserve"> </w:t>
      </w:r>
      <w:r w:rsidR="00595C88">
        <w:rPr>
          <w:rFonts w:ascii="Times" w:hAnsi="Times"/>
          <w:sz w:val="20"/>
          <w:szCs w:val="20"/>
        </w:rPr>
        <w:t xml:space="preserve">genes. </w:t>
      </w:r>
      <w:r w:rsidR="00595C88" w:rsidRPr="0073181E">
        <w:rPr>
          <w:rFonts w:ascii="Times" w:hAnsi="Times"/>
          <w:sz w:val="20"/>
          <w:szCs w:val="20"/>
        </w:rPr>
        <w:t>The p-value for Log-likelihood statistic of Cox-proportion</w:t>
      </w:r>
      <w:r w:rsidR="00595C88">
        <w:rPr>
          <w:rFonts w:ascii="Times" w:hAnsi="Times"/>
          <w:sz w:val="20"/>
          <w:szCs w:val="20"/>
        </w:rPr>
        <w:t>al</w:t>
      </w:r>
      <w:r w:rsidR="00595C88" w:rsidRPr="0073181E">
        <w:rPr>
          <w:rFonts w:ascii="Times" w:hAnsi="Times"/>
          <w:sz w:val="20"/>
          <w:szCs w:val="20"/>
        </w:rPr>
        <w:t xml:space="preserve"> hazard test run with Day 29 MRD as a co-variate is shown in the bottom left</w:t>
      </w:r>
      <w:r w:rsidR="00595C88">
        <w:rPr>
          <w:rFonts w:ascii="Times" w:hAnsi="Times"/>
          <w:sz w:val="20"/>
          <w:szCs w:val="20"/>
        </w:rPr>
        <w:t xml:space="preserve"> of Kaplan-Meier curves</w:t>
      </w:r>
      <w:r w:rsidR="00595C88" w:rsidRPr="0073181E">
        <w:rPr>
          <w:rFonts w:ascii="Times" w:hAnsi="Times"/>
          <w:sz w:val="20"/>
          <w:szCs w:val="20"/>
        </w:rPr>
        <w:t>.</w:t>
      </w:r>
      <w:r w:rsidR="00595C88">
        <w:rPr>
          <w:rFonts w:ascii="Times" w:hAnsi="Times"/>
          <w:sz w:val="20"/>
          <w:szCs w:val="20"/>
        </w:rPr>
        <w:t xml:space="preserve"> </w:t>
      </w:r>
      <w:r w:rsidR="003604AB">
        <w:rPr>
          <w:rFonts w:ascii="Times" w:hAnsi="Times"/>
          <w:sz w:val="20"/>
          <w:szCs w:val="20"/>
        </w:rPr>
        <w:t>(</w:t>
      </w:r>
      <w:r w:rsidR="00595C88" w:rsidRPr="00595C88">
        <w:rPr>
          <w:rFonts w:ascii="Times" w:hAnsi="Times"/>
          <w:b/>
          <w:bCs/>
          <w:sz w:val="20"/>
          <w:szCs w:val="20"/>
        </w:rPr>
        <w:t>e-h</w:t>
      </w:r>
      <w:r w:rsidR="003604AB">
        <w:rPr>
          <w:rFonts w:ascii="Times" w:hAnsi="Times"/>
          <w:sz w:val="20"/>
          <w:szCs w:val="20"/>
        </w:rPr>
        <w:t>)</w:t>
      </w:r>
      <w:r w:rsidR="00595C88">
        <w:rPr>
          <w:rFonts w:ascii="Times" w:hAnsi="Times"/>
          <w:sz w:val="20"/>
          <w:szCs w:val="20"/>
        </w:rPr>
        <w:t xml:space="preserve"> </w:t>
      </w:r>
      <w:r w:rsidR="003604AB">
        <w:rPr>
          <w:rFonts w:ascii="Times" w:hAnsi="Times"/>
          <w:sz w:val="20"/>
          <w:szCs w:val="20"/>
        </w:rPr>
        <w:t>i</w:t>
      </w:r>
      <w:r w:rsidR="00595C88">
        <w:rPr>
          <w:rFonts w:ascii="Times" w:hAnsi="Times"/>
          <w:sz w:val="20"/>
          <w:szCs w:val="20"/>
        </w:rPr>
        <w:t xml:space="preserve">dentical analysis performed with recurrently mutated genes associated with T-specified cell state. </w:t>
      </w:r>
    </w:p>
    <w:p w14:paraId="588B72EF" w14:textId="77777777" w:rsidR="005B1B4D" w:rsidRDefault="005B1B4D">
      <w:pPr>
        <w:rPr>
          <w:rFonts w:ascii="Times" w:hAnsi="Times"/>
          <w:sz w:val="20"/>
          <w:szCs w:val="20"/>
        </w:rPr>
      </w:pPr>
    </w:p>
    <w:p w14:paraId="7385F54B" w14:textId="7520281E" w:rsidR="00DB641D" w:rsidRDefault="00DB641D" w:rsidP="00581CDA">
      <w:pPr>
        <w:rPr>
          <w:rFonts w:ascii="Times" w:hAnsi="Times"/>
          <w:sz w:val="20"/>
          <w:szCs w:val="20"/>
        </w:rPr>
      </w:pPr>
    </w:p>
    <w:p w14:paraId="6DAFFA10" w14:textId="131918B3" w:rsidR="00DB641D" w:rsidRDefault="00DB641D" w:rsidP="00581CDA">
      <w:pPr>
        <w:rPr>
          <w:rFonts w:ascii="Times" w:hAnsi="Times"/>
          <w:sz w:val="20"/>
          <w:szCs w:val="20"/>
        </w:rPr>
      </w:pPr>
    </w:p>
    <w:p w14:paraId="02CD5B0E" w14:textId="77777777" w:rsidR="00AE04AE" w:rsidRPr="008D35BC" w:rsidRDefault="00AE04AE" w:rsidP="00AE04AE">
      <w:pPr>
        <w:jc w:val="center"/>
        <w:rPr>
          <w:rFonts w:ascii="Times New Roman" w:hAnsi="Times New Roman" w:cs="Times New Roman"/>
        </w:rPr>
      </w:pPr>
      <w:r w:rsidRPr="008D35BC">
        <w:rPr>
          <w:rFonts w:ascii="Times New Roman" w:hAnsi="Times New Roman" w:cs="Times New Roman"/>
          <w:noProof/>
        </w:rPr>
        <w:lastRenderedPageBreak/>
        <w:drawing>
          <wp:inline distT="0" distB="0" distL="0" distR="0" wp14:anchorId="54A946D5" wp14:editId="7D0F4306">
            <wp:extent cx="5943600" cy="4833620"/>
            <wp:effectExtent l="0" t="0" r="0" b="5080"/>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pic:cNvPicPr/>
                  </pic:nvPicPr>
                  <pic:blipFill>
                    <a:blip r:embed="rId13"/>
                    <a:stretch>
                      <a:fillRect/>
                    </a:stretch>
                  </pic:blipFill>
                  <pic:spPr>
                    <a:xfrm>
                      <a:off x="0" y="0"/>
                      <a:ext cx="5943600" cy="4833620"/>
                    </a:xfrm>
                    <a:prstGeom prst="rect">
                      <a:avLst/>
                    </a:prstGeom>
                  </pic:spPr>
                </pic:pic>
              </a:graphicData>
            </a:graphic>
          </wp:inline>
        </w:drawing>
      </w:r>
    </w:p>
    <w:p w14:paraId="1B2AD139" w14:textId="63D4F697" w:rsidR="00AE04AE" w:rsidRPr="008D35BC" w:rsidRDefault="00AE04AE" w:rsidP="00AE04AE">
      <w:pPr>
        <w:suppressLineNumbers/>
        <w:pBdr>
          <w:bottom w:val="single" w:sz="6" w:space="1" w:color="auto"/>
        </w:pBdr>
        <w:rPr>
          <w:rFonts w:ascii="Times New Roman" w:hAnsi="Times New Roman" w:cs="Times New Roman"/>
        </w:rPr>
      </w:pPr>
      <w:r w:rsidRPr="008D35BC">
        <w:rPr>
          <w:rFonts w:ascii="Times New Roman" w:hAnsi="Times New Roman" w:cs="Times New Roman"/>
          <w:b/>
          <w:bCs/>
        </w:rPr>
        <w:t>Supplemental</w:t>
      </w:r>
      <w:r>
        <w:rPr>
          <w:rFonts w:ascii="Times New Roman" w:hAnsi="Times New Roman" w:cs="Times New Roman"/>
          <w:b/>
          <w:bCs/>
        </w:rPr>
        <w:t xml:space="preserve"> Data</w:t>
      </w:r>
      <w:r w:rsidRPr="008D35BC">
        <w:rPr>
          <w:rFonts w:ascii="Times New Roman" w:hAnsi="Times New Roman" w:cs="Times New Roman"/>
          <w:b/>
          <w:bCs/>
        </w:rPr>
        <w:t xml:space="preserve"> Figure </w:t>
      </w:r>
      <w:r>
        <w:rPr>
          <w:rFonts w:ascii="Times New Roman" w:hAnsi="Times New Roman" w:cs="Times New Roman"/>
          <w:b/>
          <w:bCs/>
        </w:rPr>
        <w:t>9</w:t>
      </w:r>
      <w:r w:rsidRPr="008D35BC">
        <w:rPr>
          <w:rFonts w:ascii="Times New Roman" w:hAnsi="Times New Roman" w:cs="Times New Roman"/>
          <w:b/>
          <w:bCs/>
        </w:rPr>
        <w:t xml:space="preserve"> | Detection of </w:t>
      </w:r>
      <w:r w:rsidRPr="008D35BC">
        <w:rPr>
          <w:rFonts w:ascii="Times New Roman" w:hAnsi="Times New Roman" w:cs="Times New Roman"/>
          <w:b/>
          <w:bCs/>
          <w:i/>
          <w:iCs/>
        </w:rPr>
        <w:t xml:space="preserve">NOTCH1 </w:t>
      </w:r>
      <w:r w:rsidRPr="008D35BC">
        <w:rPr>
          <w:rFonts w:ascii="Times New Roman" w:hAnsi="Times New Roman" w:cs="Times New Roman"/>
          <w:b/>
          <w:bCs/>
        </w:rPr>
        <w:t xml:space="preserve">mutant single-cells via genotyping of transcriptomes. </w:t>
      </w:r>
      <w:r w:rsidR="00EC7876">
        <w:rPr>
          <w:rFonts w:ascii="Times New Roman" w:hAnsi="Times New Roman" w:cs="Times New Roman"/>
          <w:b/>
          <w:bCs/>
        </w:rPr>
        <w:t>(</w:t>
      </w:r>
      <w:r w:rsidRPr="008D35BC">
        <w:rPr>
          <w:rFonts w:ascii="Times New Roman" w:hAnsi="Times New Roman" w:cs="Times New Roman"/>
          <w:b/>
        </w:rPr>
        <w:t>a-d</w:t>
      </w:r>
      <w:r w:rsidR="00EC7876">
        <w:rPr>
          <w:rFonts w:ascii="Times New Roman" w:hAnsi="Times New Roman" w:cs="Times New Roman"/>
          <w:b/>
        </w:rPr>
        <w:t>)</w:t>
      </w:r>
      <w:r w:rsidRPr="008D35BC">
        <w:rPr>
          <w:rFonts w:ascii="Times New Roman" w:hAnsi="Times New Roman" w:cs="Times New Roman"/>
          <w:b/>
        </w:rPr>
        <w:t xml:space="preserve"> </w:t>
      </w:r>
      <w:r w:rsidRPr="008D35BC">
        <w:rPr>
          <w:rFonts w:ascii="Times New Roman" w:hAnsi="Times New Roman" w:cs="Times New Roman"/>
          <w:bCs/>
        </w:rPr>
        <w:t>summary statistics from n=9314 genotyped cells</w:t>
      </w:r>
      <w:r w:rsidRPr="008D35BC">
        <w:rPr>
          <w:rFonts w:ascii="Times New Roman" w:hAnsi="Times New Roman" w:cs="Times New Roman"/>
        </w:rPr>
        <w:t xml:space="preserve"> from 7 independent </w:t>
      </w:r>
      <w:proofErr w:type="spellStart"/>
      <w:r w:rsidRPr="008D35BC">
        <w:rPr>
          <w:rFonts w:ascii="Times New Roman" w:hAnsi="Times New Roman" w:cs="Times New Roman"/>
        </w:rPr>
        <w:t>GoT</w:t>
      </w:r>
      <w:proofErr w:type="spellEnd"/>
      <w:r w:rsidRPr="008D35BC">
        <w:rPr>
          <w:rFonts w:ascii="Times New Roman" w:hAnsi="Times New Roman" w:cs="Times New Roman"/>
        </w:rPr>
        <w:t xml:space="preserve"> experiments. P-values from correlation test are shown (* &lt; 0.05; ** &lt; 0.01, ***&lt; 0.001). </w:t>
      </w:r>
      <w:r w:rsidR="00EC7876">
        <w:rPr>
          <w:rFonts w:ascii="Times New Roman" w:hAnsi="Times New Roman" w:cs="Times New Roman"/>
        </w:rPr>
        <w:t>(</w:t>
      </w:r>
      <w:r w:rsidR="00EC7876" w:rsidRPr="00C826E7">
        <w:rPr>
          <w:rFonts w:ascii="Times New Roman" w:hAnsi="Times New Roman" w:cs="Times New Roman"/>
          <w:b/>
          <w:bCs/>
        </w:rPr>
        <w:t>e</w:t>
      </w:r>
      <w:r w:rsidR="00EC7876">
        <w:rPr>
          <w:rFonts w:ascii="Times New Roman" w:hAnsi="Times New Roman" w:cs="Times New Roman"/>
        </w:rPr>
        <w:t>)</w:t>
      </w:r>
      <w:r w:rsidRPr="008D35BC">
        <w:rPr>
          <w:rFonts w:ascii="Times New Roman" w:hAnsi="Times New Roman" w:cs="Times New Roman"/>
          <w:b/>
        </w:rPr>
        <w:t xml:space="preserve"> </w:t>
      </w:r>
      <w:r w:rsidRPr="008D35BC">
        <w:rPr>
          <w:rFonts w:ascii="Times New Roman" w:hAnsi="Times New Roman" w:cs="Times New Roman"/>
        </w:rPr>
        <w:t xml:space="preserve">Expression of mutant </w:t>
      </w:r>
      <w:r w:rsidRPr="00EE56CC">
        <w:rPr>
          <w:rFonts w:ascii="Times New Roman" w:hAnsi="Times New Roman" w:cs="Times New Roman"/>
          <w:i/>
          <w:iCs/>
        </w:rPr>
        <w:t>NOTCH1</w:t>
      </w:r>
      <w:r w:rsidRPr="008D35BC">
        <w:rPr>
          <w:rFonts w:ascii="Times New Roman" w:hAnsi="Times New Roman" w:cs="Times New Roman"/>
        </w:rPr>
        <w:t xml:space="preserve"> UMI amongst ETP-blast and non-ETP-blast populations in </w:t>
      </w:r>
      <w:proofErr w:type="spellStart"/>
      <w:r w:rsidRPr="008D35BC">
        <w:rPr>
          <w:rFonts w:ascii="Times New Roman" w:hAnsi="Times New Roman" w:cs="Times New Roman"/>
        </w:rPr>
        <w:t>scRNA</w:t>
      </w:r>
      <w:proofErr w:type="spellEnd"/>
      <w:r w:rsidRPr="008D35BC">
        <w:rPr>
          <w:rFonts w:ascii="Times New Roman" w:hAnsi="Times New Roman" w:cs="Times New Roman"/>
        </w:rPr>
        <w:t>-seq data. P-values from two</w:t>
      </w:r>
      <w:r w:rsidR="00C415BC">
        <w:rPr>
          <w:rFonts w:ascii="Times New Roman" w:hAnsi="Times New Roman" w:cs="Times New Roman"/>
        </w:rPr>
        <w:t>-</w:t>
      </w:r>
      <w:r w:rsidRPr="008D35BC">
        <w:rPr>
          <w:rFonts w:ascii="Times New Roman" w:hAnsi="Times New Roman" w:cs="Times New Roman"/>
        </w:rPr>
        <w:t>sided Mann</w:t>
      </w:r>
      <w:r w:rsidR="00C415BC">
        <w:rPr>
          <w:rFonts w:ascii="Times New Roman" w:hAnsi="Times New Roman" w:cs="Times New Roman"/>
        </w:rPr>
        <w:t>-</w:t>
      </w:r>
      <w:r w:rsidRPr="008D35BC">
        <w:rPr>
          <w:rFonts w:ascii="Times New Roman" w:hAnsi="Times New Roman" w:cs="Times New Roman"/>
        </w:rPr>
        <w:t xml:space="preserve">Whitney test are shown (* &lt; 0.05; ** &lt; 0.01, ***&lt; 0.001). In each sample, cutoffs for </w:t>
      </w:r>
      <w:r w:rsidRPr="00EE56CC">
        <w:rPr>
          <w:rFonts w:ascii="Times New Roman" w:hAnsi="Times New Roman" w:cs="Times New Roman"/>
          <w:i/>
          <w:iCs/>
        </w:rPr>
        <w:t>NOTCH1</w:t>
      </w:r>
      <w:r w:rsidRPr="008D35BC">
        <w:rPr>
          <w:rFonts w:ascii="Times New Roman" w:hAnsi="Times New Roman" w:cs="Times New Roman"/>
        </w:rPr>
        <w:t xml:space="preserve"> mutant cells are indicated by the dotted line, which is representative of the 90</w:t>
      </w:r>
      <w:r w:rsidRPr="008D35BC">
        <w:rPr>
          <w:rFonts w:ascii="Times New Roman" w:hAnsi="Times New Roman" w:cs="Times New Roman"/>
          <w:vertAlign w:val="superscript"/>
        </w:rPr>
        <w:t>th</w:t>
      </w:r>
      <w:r w:rsidRPr="008D35BC">
        <w:rPr>
          <w:rFonts w:ascii="Times New Roman" w:hAnsi="Times New Roman" w:cs="Times New Roman"/>
        </w:rPr>
        <w:t xml:space="preserve"> percentile of UMI reads detected in non-ETP-blast populations. The median of both populations and 90</w:t>
      </w:r>
      <w:r w:rsidRPr="008D35BC">
        <w:rPr>
          <w:rFonts w:ascii="Times New Roman" w:hAnsi="Times New Roman" w:cs="Times New Roman"/>
          <w:vertAlign w:val="superscript"/>
        </w:rPr>
        <w:t>th</w:t>
      </w:r>
      <w:r w:rsidRPr="008D35BC">
        <w:rPr>
          <w:rFonts w:ascii="Times New Roman" w:hAnsi="Times New Roman" w:cs="Times New Roman"/>
        </w:rPr>
        <w:t xml:space="preserve"> percentile of UMI reads in ETP-blast populations are indicated within each violin plot. </w:t>
      </w:r>
      <w:r w:rsidR="00EC7876">
        <w:rPr>
          <w:rFonts w:ascii="Times New Roman" w:hAnsi="Times New Roman" w:cs="Times New Roman"/>
        </w:rPr>
        <w:t>(</w:t>
      </w:r>
      <w:r w:rsidRPr="008D35BC">
        <w:rPr>
          <w:rFonts w:ascii="Times New Roman" w:hAnsi="Times New Roman" w:cs="Times New Roman"/>
          <w:b/>
          <w:bCs/>
        </w:rPr>
        <w:t>f-g</w:t>
      </w:r>
      <w:r w:rsidR="00EC7876">
        <w:rPr>
          <w:rFonts w:ascii="Times New Roman" w:hAnsi="Times New Roman" w:cs="Times New Roman"/>
          <w:b/>
          <w:bCs/>
        </w:rPr>
        <w:t>)</w:t>
      </w:r>
      <w:r w:rsidRPr="008D35BC">
        <w:rPr>
          <w:rFonts w:ascii="Times New Roman" w:hAnsi="Times New Roman" w:cs="Times New Roman"/>
          <w:b/>
          <w:bCs/>
        </w:rPr>
        <w:t xml:space="preserve"> </w:t>
      </w:r>
      <w:r w:rsidRPr="008D35BC">
        <w:rPr>
          <w:rFonts w:ascii="Times New Roman" w:hAnsi="Times New Roman" w:cs="Times New Roman"/>
        </w:rPr>
        <w:t xml:space="preserve">summary statistics for 7 </w:t>
      </w:r>
      <w:r w:rsidRPr="008D35BC">
        <w:rPr>
          <w:rFonts w:ascii="Times New Roman" w:hAnsi="Times New Roman" w:cs="Times New Roman"/>
          <w:i/>
          <w:iCs/>
        </w:rPr>
        <w:t>NOTCH1</w:t>
      </w:r>
      <w:r w:rsidRPr="008D35BC">
        <w:rPr>
          <w:rFonts w:ascii="Times New Roman" w:hAnsi="Times New Roman" w:cs="Times New Roman"/>
        </w:rPr>
        <w:t xml:space="preserve"> variants amongst 2 single-cell sequenced patients selected for </w:t>
      </w:r>
      <w:proofErr w:type="spellStart"/>
      <w:r w:rsidRPr="008D35BC">
        <w:rPr>
          <w:rFonts w:ascii="Times New Roman" w:hAnsi="Times New Roman" w:cs="Times New Roman"/>
        </w:rPr>
        <w:t>GoT</w:t>
      </w:r>
      <w:proofErr w:type="spellEnd"/>
      <w:r w:rsidRPr="008D35BC">
        <w:rPr>
          <w:rFonts w:ascii="Times New Roman" w:hAnsi="Times New Roman" w:cs="Times New Roman"/>
        </w:rPr>
        <w:t>.</w:t>
      </w:r>
    </w:p>
    <w:p w14:paraId="4DBF6957" w14:textId="1377731B" w:rsidR="00F77FAF" w:rsidRDefault="00F77FAF" w:rsidP="00581CDA">
      <w:pPr>
        <w:rPr>
          <w:rFonts w:ascii="Times" w:hAnsi="Times"/>
          <w:sz w:val="20"/>
          <w:szCs w:val="20"/>
        </w:rPr>
      </w:pPr>
    </w:p>
    <w:p w14:paraId="6887A05B" w14:textId="361FC330" w:rsidR="001C40B7" w:rsidRDefault="001C40B7" w:rsidP="00581CDA">
      <w:pPr>
        <w:rPr>
          <w:rFonts w:ascii="Times" w:hAnsi="Times"/>
          <w:sz w:val="20"/>
          <w:szCs w:val="20"/>
        </w:rPr>
      </w:pPr>
    </w:p>
    <w:p w14:paraId="57A3E996" w14:textId="77777777" w:rsidR="001C40B7" w:rsidRDefault="001C40B7" w:rsidP="001C40B7">
      <w:pPr>
        <w:suppressLineNumbers/>
        <w:rPr>
          <w:b/>
        </w:rPr>
      </w:pPr>
      <w:r w:rsidRPr="001726B5">
        <w:rPr>
          <w:b/>
          <w:noProof/>
        </w:rPr>
        <w:lastRenderedPageBreak/>
        <w:drawing>
          <wp:inline distT="0" distB="0" distL="0" distR="0" wp14:anchorId="6311D607" wp14:editId="3E4CAB20">
            <wp:extent cx="5943600" cy="5353050"/>
            <wp:effectExtent l="0" t="0" r="0" b="635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4"/>
                    <a:stretch>
                      <a:fillRect/>
                    </a:stretch>
                  </pic:blipFill>
                  <pic:spPr>
                    <a:xfrm>
                      <a:off x="0" y="0"/>
                      <a:ext cx="5943600" cy="5353050"/>
                    </a:xfrm>
                    <a:prstGeom prst="rect">
                      <a:avLst/>
                    </a:prstGeom>
                  </pic:spPr>
                </pic:pic>
              </a:graphicData>
            </a:graphic>
          </wp:inline>
        </w:drawing>
      </w:r>
    </w:p>
    <w:p w14:paraId="464513B5" w14:textId="7EB03587" w:rsidR="001C40B7" w:rsidRPr="00541F68" w:rsidRDefault="001C40B7" w:rsidP="001C40B7">
      <w:pPr>
        <w:suppressLineNumbers/>
        <w:pBdr>
          <w:bottom w:val="single" w:sz="6" w:space="1" w:color="auto"/>
        </w:pBdr>
        <w:rPr>
          <w:rFonts w:ascii="Times" w:hAnsi="Times"/>
          <w:color w:val="000000" w:themeColor="text1"/>
          <w:sz w:val="20"/>
          <w:szCs w:val="20"/>
        </w:rPr>
      </w:pPr>
      <w:r>
        <w:rPr>
          <w:rFonts w:ascii="Times" w:hAnsi="Times"/>
          <w:b/>
          <w:bCs/>
          <w:sz w:val="20"/>
          <w:szCs w:val="20"/>
        </w:rPr>
        <w:t>Supplementary</w:t>
      </w:r>
      <w:r w:rsidRPr="00541F68">
        <w:rPr>
          <w:rFonts w:ascii="Times" w:hAnsi="Times"/>
          <w:b/>
          <w:bCs/>
          <w:sz w:val="20"/>
          <w:szCs w:val="20"/>
        </w:rPr>
        <w:t xml:space="preserve"> Data</w:t>
      </w:r>
      <w:r>
        <w:rPr>
          <w:rFonts w:ascii="Times" w:hAnsi="Times"/>
          <w:b/>
          <w:bCs/>
          <w:sz w:val="20"/>
          <w:szCs w:val="20"/>
        </w:rPr>
        <w:t xml:space="preserve"> Fig</w:t>
      </w:r>
      <w:r w:rsidRPr="00541F68">
        <w:rPr>
          <w:rFonts w:ascii="Times" w:hAnsi="Times"/>
          <w:b/>
          <w:bCs/>
          <w:sz w:val="20"/>
          <w:szCs w:val="20"/>
        </w:rPr>
        <w:t xml:space="preserve"> </w:t>
      </w:r>
      <w:r w:rsidR="00AE04AE">
        <w:rPr>
          <w:rFonts w:ascii="Times" w:hAnsi="Times"/>
          <w:b/>
          <w:bCs/>
          <w:sz w:val="20"/>
          <w:szCs w:val="20"/>
        </w:rPr>
        <w:t>10</w:t>
      </w:r>
      <w:r>
        <w:rPr>
          <w:rFonts w:ascii="Times" w:hAnsi="Times"/>
          <w:b/>
          <w:bCs/>
          <w:sz w:val="20"/>
          <w:szCs w:val="20"/>
        </w:rPr>
        <w:t xml:space="preserve"> |</w:t>
      </w:r>
      <w:r w:rsidRPr="00541F68">
        <w:rPr>
          <w:rFonts w:ascii="Times" w:hAnsi="Times"/>
          <w:b/>
          <w:bCs/>
          <w:sz w:val="20"/>
          <w:szCs w:val="20"/>
        </w:rPr>
        <w:t xml:space="preserve"> Pre-Committed and BMP-like populations in Non-ETP T-ALL are associated with poor outcome</w:t>
      </w:r>
      <w:r w:rsidR="00B035B6">
        <w:rPr>
          <w:rFonts w:ascii="Times" w:hAnsi="Times"/>
          <w:b/>
          <w:bCs/>
          <w:sz w:val="20"/>
          <w:szCs w:val="20"/>
        </w:rPr>
        <w:t>.</w:t>
      </w:r>
      <w:r>
        <w:rPr>
          <w:rFonts w:ascii="Times" w:hAnsi="Times"/>
          <w:b/>
          <w:bCs/>
          <w:sz w:val="20"/>
          <w:szCs w:val="20"/>
        </w:rPr>
        <w:t xml:space="preserve"> </w:t>
      </w:r>
      <w:r w:rsidR="008B6532">
        <w:rPr>
          <w:rFonts w:ascii="Times" w:hAnsi="Times"/>
          <w:b/>
          <w:bCs/>
          <w:sz w:val="20"/>
          <w:szCs w:val="20"/>
        </w:rPr>
        <w:t>(</w:t>
      </w:r>
      <w:r w:rsidRPr="00541F68">
        <w:rPr>
          <w:rFonts w:ascii="Times" w:hAnsi="Times"/>
          <w:b/>
          <w:bCs/>
          <w:sz w:val="20"/>
          <w:szCs w:val="20"/>
        </w:rPr>
        <w:t>a</w:t>
      </w:r>
      <w:r w:rsidR="008B6532">
        <w:rPr>
          <w:rFonts w:ascii="Times" w:hAnsi="Times"/>
          <w:b/>
          <w:bCs/>
          <w:sz w:val="20"/>
          <w:szCs w:val="20"/>
        </w:rPr>
        <w:t>)</w:t>
      </w:r>
      <w:r w:rsidRPr="00541F68">
        <w:rPr>
          <w:rFonts w:ascii="Times" w:hAnsi="Times"/>
          <w:b/>
          <w:bCs/>
          <w:sz w:val="20"/>
          <w:szCs w:val="20"/>
        </w:rPr>
        <w:t xml:space="preserve"> </w:t>
      </w:r>
      <w:r w:rsidR="008B6532">
        <w:rPr>
          <w:rFonts w:ascii="Times" w:hAnsi="Times"/>
          <w:sz w:val="20"/>
          <w:szCs w:val="20"/>
        </w:rPr>
        <w:t>d</w:t>
      </w:r>
      <w:r w:rsidRPr="00541F68">
        <w:rPr>
          <w:rFonts w:ascii="Times" w:hAnsi="Times"/>
          <w:sz w:val="20"/>
          <w:szCs w:val="20"/>
        </w:rPr>
        <w:t xml:space="preserve">ifferentially expressed genes and TFs between MRD+ and MRD- non-ETP patients treated in AALL0434. Genes related to T-cell maturation state are labeled. </w:t>
      </w:r>
      <w:r w:rsidR="008B6532">
        <w:rPr>
          <w:rFonts w:ascii="Times" w:hAnsi="Times"/>
          <w:sz w:val="20"/>
          <w:szCs w:val="20"/>
        </w:rPr>
        <w:t>(</w:t>
      </w:r>
      <w:r w:rsidRPr="00541F68">
        <w:rPr>
          <w:rFonts w:ascii="Times" w:hAnsi="Times"/>
          <w:b/>
          <w:sz w:val="20"/>
          <w:szCs w:val="20"/>
        </w:rPr>
        <w:t>b</w:t>
      </w:r>
      <w:r w:rsidR="008B6532">
        <w:rPr>
          <w:rFonts w:ascii="Times" w:hAnsi="Times"/>
          <w:b/>
          <w:sz w:val="20"/>
          <w:szCs w:val="20"/>
        </w:rPr>
        <w:t>)</w:t>
      </w:r>
      <w:r w:rsidRPr="00541F68">
        <w:rPr>
          <w:rFonts w:ascii="Times" w:hAnsi="Times"/>
          <w:sz w:val="20"/>
          <w:szCs w:val="20"/>
        </w:rPr>
        <w:t xml:space="preserve"> </w:t>
      </w:r>
      <w:r w:rsidR="008B6532">
        <w:rPr>
          <w:rFonts w:ascii="Times" w:hAnsi="Times"/>
          <w:color w:val="000000" w:themeColor="text1"/>
          <w:sz w:val="20"/>
          <w:szCs w:val="20"/>
        </w:rPr>
        <w:t>p</w:t>
      </w:r>
      <w:r w:rsidRPr="00541F68">
        <w:rPr>
          <w:rFonts w:ascii="Times" w:hAnsi="Times"/>
          <w:color w:val="000000" w:themeColor="text1"/>
          <w:sz w:val="20"/>
          <w:szCs w:val="20"/>
        </w:rPr>
        <w:t xml:space="preserve">roportion of </w:t>
      </w:r>
      <w:proofErr w:type="gramStart"/>
      <w:r w:rsidRPr="00541F68">
        <w:rPr>
          <w:rFonts w:ascii="Times" w:hAnsi="Times"/>
          <w:color w:val="000000" w:themeColor="text1"/>
          <w:sz w:val="20"/>
          <w:szCs w:val="20"/>
        </w:rPr>
        <w:t>Non-ETP</w:t>
      </w:r>
      <w:proofErr w:type="gramEnd"/>
      <w:r w:rsidRPr="00541F68">
        <w:rPr>
          <w:rFonts w:ascii="Times" w:hAnsi="Times"/>
          <w:color w:val="000000" w:themeColor="text1"/>
          <w:sz w:val="20"/>
          <w:szCs w:val="20"/>
        </w:rPr>
        <w:t xml:space="preserve"> blasts in </w:t>
      </w:r>
      <w:r w:rsidR="002A63C6">
        <w:rPr>
          <w:rFonts w:ascii="Times" w:hAnsi="Times"/>
          <w:color w:val="000000" w:themeColor="text1"/>
          <w:sz w:val="20"/>
          <w:szCs w:val="20"/>
        </w:rPr>
        <w:t>p</w:t>
      </w:r>
      <w:r w:rsidRPr="00541F68">
        <w:rPr>
          <w:rFonts w:ascii="Times" w:hAnsi="Times"/>
          <w:color w:val="000000" w:themeColor="text1"/>
          <w:sz w:val="20"/>
          <w:szCs w:val="20"/>
        </w:rPr>
        <w:t>re-</w:t>
      </w:r>
      <w:r w:rsidR="002A63C6">
        <w:rPr>
          <w:rFonts w:ascii="Times" w:hAnsi="Times"/>
          <w:color w:val="000000" w:themeColor="text1"/>
          <w:sz w:val="20"/>
          <w:szCs w:val="20"/>
        </w:rPr>
        <w:t>c</w:t>
      </w:r>
      <w:r w:rsidRPr="00541F68">
        <w:rPr>
          <w:rFonts w:ascii="Times" w:hAnsi="Times"/>
          <w:color w:val="000000" w:themeColor="text1"/>
          <w:sz w:val="20"/>
          <w:szCs w:val="20"/>
        </w:rPr>
        <w:t xml:space="preserve">ommit (all cells before the Pre-T stage) and </w:t>
      </w:r>
      <w:r w:rsidR="002A63C6">
        <w:rPr>
          <w:rFonts w:ascii="Times" w:hAnsi="Times"/>
          <w:color w:val="000000" w:themeColor="text1"/>
          <w:sz w:val="20"/>
          <w:szCs w:val="20"/>
        </w:rPr>
        <w:t>p</w:t>
      </w:r>
      <w:r w:rsidRPr="00541F68">
        <w:rPr>
          <w:rFonts w:ascii="Times" w:hAnsi="Times"/>
          <w:color w:val="000000" w:themeColor="text1"/>
          <w:sz w:val="20"/>
          <w:szCs w:val="20"/>
        </w:rPr>
        <w:t>ost-</w:t>
      </w:r>
      <w:r w:rsidR="002A63C6">
        <w:rPr>
          <w:rFonts w:ascii="Times" w:hAnsi="Times"/>
          <w:color w:val="000000" w:themeColor="text1"/>
          <w:sz w:val="20"/>
          <w:szCs w:val="20"/>
        </w:rPr>
        <w:t>c</w:t>
      </w:r>
      <w:r w:rsidRPr="00541F68">
        <w:rPr>
          <w:rFonts w:ascii="Times" w:hAnsi="Times"/>
          <w:color w:val="000000" w:themeColor="text1"/>
          <w:sz w:val="20"/>
          <w:szCs w:val="20"/>
        </w:rPr>
        <w:t xml:space="preserve">ommit (after the Pre-T stage) developmental arrest state. P-values from two-sided Mann-Whitney test are indicated (* &lt; 0.05; **&lt; 0.01). </w:t>
      </w:r>
      <w:r w:rsidR="008B6532">
        <w:rPr>
          <w:rFonts w:ascii="Times" w:hAnsi="Times"/>
          <w:color w:val="000000" w:themeColor="text1"/>
          <w:sz w:val="20"/>
          <w:szCs w:val="20"/>
        </w:rPr>
        <w:t>(</w:t>
      </w:r>
      <w:r w:rsidRPr="00541F68">
        <w:rPr>
          <w:rFonts w:ascii="Times" w:hAnsi="Times"/>
          <w:b/>
          <w:color w:val="000000" w:themeColor="text1"/>
          <w:sz w:val="20"/>
          <w:szCs w:val="20"/>
        </w:rPr>
        <w:t>c</w:t>
      </w:r>
      <w:r w:rsidR="008B6532">
        <w:rPr>
          <w:rFonts w:ascii="Times" w:hAnsi="Times"/>
          <w:color w:val="000000" w:themeColor="text1"/>
          <w:sz w:val="20"/>
          <w:szCs w:val="20"/>
        </w:rPr>
        <w:t>)</w:t>
      </w:r>
      <w:r w:rsidRPr="00541F68">
        <w:rPr>
          <w:rFonts w:ascii="Times" w:hAnsi="Times"/>
          <w:color w:val="000000" w:themeColor="text1"/>
          <w:sz w:val="20"/>
          <w:szCs w:val="20"/>
        </w:rPr>
        <w:t xml:space="preserve"> </w:t>
      </w:r>
      <w:r w:rsidR="008B6532">
        <w:rPr>
          <w:rFonts w:ascii="Times" w:hAnsi="Times"/>
          <w:sz w:val="20"/>
          <w:szCs w:val="20"/>
          <w:lang w:eastAsia="zh-CN"/>
        </w:rPr>
        <w:t>d</w:t>
      </w:r>
      <w:r w:rsidRPr="00541F68">
        <w:rPr>
          <w:rFonts w:ascii="Times" w:hAnsi="Times"/>
          <w:sz w:val="20"/>
          <w:szCs w:val="20"/>
        </w:rPr>
        <w:t>ifferential expression between pre-</w:t>
      </w:r>
      <w:proofErr w:type="spellStart"/>
      <w:r w:rsidRPr="00541F68">
        <w:rPr>
          <w:rFonts w:ascii="Times" w:hAnsi="Times"/>
          <w:sz w:val="20"/>
          <w:szCs w:val="20"/>
        </w:rPr>
        <w:t>committment</w:t>
      </w:r>
      <w:proofErr w:type="spellEnd"/>
      <w:r w:rsidRPr="00541F68">
        <w:rPr>
          <w:rFonts w:ascii="Times" w:hAnsi="Times"/>
          <w:sz w:val="20"/>
          <w:szCs w:val="20"/>
        </w:rPr>
        <w:t xml:space="preserve"> vs post-</w:t>
      </w:r>
      <w:proofErr w:type="spellStart"/>
      <w:r w:rsidRPr="00541F68">
        <w:rPr>
          <w:rFonts w:ascii="Times" w:hAnsi="Times"/>
          <w:sz w:val="20"/>
          <w:szCs w:val="20"/>
        </w:rPr>
        <w:t>committment</w:t>
      </w:r>
      <w:proofErr w:type="spellEnd"/>
      <w:r w:rsidRPr="00541F68">
        <w:rPr>
          <w:rFonts w:ascii="Times" w:hAnsi="Times"/>
          <w:sz w:val="20"/>
          <w:szCs w:val="20"/>
        </w:rPr>
        <w:t xml:space="preserve"> projected Non-ETP blasts from our single cell cohort. Left to right: DE surface protein markers, DEGs, and DE TFs. Genes related to T-cell maturation state are labeled. </w:t>
      </w:r>
      <w:r w:rsidR="008B6532">
        <w:rPr>
          <w:rFonts w:ascii="Times" w:hAnsi="Times"/>
          <w:sz w:val="20"/>
          <w:szCs w:val="20"/>
        </w:rPr>
        <w:t>(</w:t>
      </w:r>
      <w:r w:rsidRPr="00541F68">
        <w:rPr>
          <w:rFonts w:ascii="Times" w:hAnsi="Times"/>
          <w:b/>
          <w:sz w:val="20"/>
          <w:szCs w:val="20"/>
        </w:rPr>
        <w:t>d</w:t>
      </w:r>
      <w:r w:rsidR="008B6532">
        <w:rPr>
          <w:rFonts w:ascii="Times" w:hAnsi="Times"/>
          <w:sz w:val="20"/>
          <w:szCs w:val="20"/>
        </w:rPr>
        <w:t>)</w:t>
      </w:r>
      <w:r w:rsidRPr="00541F68">
        <w:rPr>
          <w:rFonts w:ascii="Times" w:hAnsi="Times"/>
          <w:sz w:val="20"/>
          <w:szCs w:val="20"/>
        </w:rPr>
        <w:t xml:space="preserve"> </w:t>
      </w:r>
      <w:r w:rsidR="008B6532">
        <w:rPr>
          <w:rFonts w:ascii="Times" w:hAnsi="Times"/>
          <w:sz w:val="20"/>
          <w:szCs w:val="20"/>
        </w:rPr>
        <w:t>d</w:t>
      </w:r>
      <w:r w:rsidRPr="00541F68">
        <w:rPr>
          <w:rFonts w:ascii="Times" w:hAnsi="Times"/>
          <w:sz w:val="20"/>
          <w:szCs w:val="20"/>
        </w:rPr>
        <w:t>ifferential expression between BMP-like and post-</w:t>
      </w:r>
      <w:r w:rsidR="00D27A4F" w:rsidRPr="00541F68">
        <w:rPr>
          <w:rFonts w:ascii="Times" w:hAnsi="Times"/>
          <w:sz w:val="20"/>
          <w:szCs w:val="20"/>
        </w:rPr>
        <w:t>commit</w:t>
      </w:r>
      <w:r w:rsidR="00D27A4F">
        <w:rPr>
          <w:rFonts w:ascii="Times" w:hAnsi="Times"/>
          <w:sz w:val="20"/>
          <w:szCs w:val="20"/>
        </w:rPr>
        <w:t>ted</w:t>
      </w:r>
      <w:r w:rsidRPr="00541F68">
        <w:rPr>
          <w:rFonts w:ascii="Times" w:hAnsi="Times"/>
          <w:sz w:val="20"/>
          <w:szCs w:val="20"/>
        </w:rPr>
        <w:t xml:space="preserve"> projected </w:t>
      </w:r>
      <w:proofErr w:type="gramStart"/>
      <w:r w:rsidRPr="00541F68">
        <w:rPr>
          <w:rFonts w:ascii="Times" w:hAnsi="Times"/>
          <w:sz w:val="20"/>
          <w:szCs w:val="20"/>
        </w:rPr>
        <w:t>Non-ETP</w:t>
      </w:r>
      <w:proofErr w:type="gramEnd"/>
      <w:r w:rsidRPr="00541F68">
        <w:rPr>
          <w:rFonts w:ascii="Times" w:hAnsi="Times"/>
          <w:sz w:val="20"/>
          <w:szCs w:val="20"/>
        </w:rPr>
        <w:t xml:space="preserve"> blasts from our single cell cohort. Left to right: DEGs</w:t>
      </w:r>
      <w:r>
        <w:rPr>
          <w:rFonts w:ascii="Times" w:hAnsi="Times"/>
          <w:sz w:val="20"/>
          <w:szCs w:val="20"/>
        </w:rPr>
        <w:t xml:space="preserve"> </w:t>
      </w:r>
      <w:r w:rsidRPr="00541F68">
        <w:rPr>
          <w:rFonts w:ascii="Times" w:hAnsi="Times"/>
          <w:sz w:val="20"/>
          <w:szCs w:val="20"/>
        </w:rPr>
        <w:t xml:space="preserve">and DE TFs. Genes related to T-cell maturation state are labeled. </w:t>
      </w:r>
      <w:r w:rsidR="008B6532">
        <w:rPr>
          <w:rFonts w:ascii="Times" w:hAnsi="Times"/>
          <w:sz w:val="20"/>
          <w:szCs w:val="20"/>
        </w:rPr>
        <w:t>(</w:t>
      </w:r>
      <w:r w:rsidRPr="00541F68">
        <w:rPr>
          <w:rFonts w:ascii="Times" w:hAnsi="Times"/>
          <w:b/>
          <w:sz w:val="20"/>
          <w:szCs w:val="20"/>
        </w:rPr>
        <w:t>e-f</w:t>
      </w:r>
      <w:r w:rsidR="008B6532">
        <w:rPr>
          <w:rFonts w:ascii="Times" w:hAnsi="Times"/>
          <w:b/>
          <w:sz w:val="20"/>
          <w:szCs w:val="20"/>
        </w:rPr>
        <w:t>)</w:t>
      </w:r>
      <w:r w:rsidRPr="00541F68">
        <w:rPr>
          <w:rFonts w:ascii="Times" w:hAnsi="Times"/>
          <w:sz w:val="20"/>
          <w:szCs w:val="20"/>
        </w:rPr>
        <w:t xml:space="preserve"> Kaplan-Meier plot showing overall survival of Non-ETP T-ALL patients in AALL0434 (left) and AALL1231 (right) when binarized using signatures derived from pre-committed Non-ETP blasts and BMP-like Non-ETP blasts. </w:t>
      </w:r>
      <w:r>
        <w:rPr>
          <w:rFonts w:ascii="Times" w:hAnsi="Times"/>
          <w:sz w:val="20"/>
          <w:szCs w:val="20"/>
        </w:rPr>
        <w:t>P</w:t>
      </w:r>
      <w:r w:rsidRPr="0073181E">
        <w:rPr>
          <w:rFonts w:ascii="Times" w:hAnsi="Times"/>
          <w:sz w:val="20"/>
          <w:szCs w:val="20"/>
        </w:rPr>
        <w:t>-value for Log-likelihood statistic of Cox-proportion</w:t>
      </w:r>
      <w:r>
        <w:rPr>
          <w:rFonts w:ascii="Times" w:hAnsi="Times"/>
          <w:sz w:val="20"/>
          <w:szCs w:val="20"/>
        </w:rPr>
        <w:t>al</w:t>
      </w:r>
      <w:r w:rsidRPr="0073181E">
        <w:rPr>
          <w:rFonts w:ascii="Times" w:hAnsi="Times"/>
          <w:sz w:val="20"/>
          <w:szCs w:val="20"/>
        </w:rPr>
        <w:t xml:space="preserve"> hazard test run with Day 29 MRD as a co-variate is shown in the bottom left</w:t>
      </w:r>
      <w:r>
        <w:rPr>
          <w:rFonts w:ascii="Times" w:hAnsi="Times"/>
          <w:sz w:val="20"/>
          <w:szCs w:val="20"/>
        </w:rPr>
        <w:t>.</w:t>
      </w:r>
    </w:p>
    <w:p w14:paraId="7B8FD323" w14:textId="1B961450" w:rsidR="005367BF" w:rsidRDefault="005367BF">
      <w:pPr>
        <w:rPr>
          <w:rFonts w:ascii="Times" w:hAnsi="Times"/>
          <w:sz w:val="20"/>
          <w:szCs w:val="20"/>
        </w:rPr>
      </w:pPr>
      <w:r>
        <w:rPr>
          <w:rFonts w:ascii="Times" w:hAnsi="Times"/>
          <w:sz w:val="20"/>
          <w:szCs w:val="20"/>
        </w:rPr>
        <w:br w:type="page"/>
      </w:r>
    </w:p>
    <w:p w14:paraId="6795F55C" w14:textId="1BD2E44D" w:rsidR="001C40B7" w:rsidRDefault="00C80EA5" w:rsidP="00581CDA">
      <w:pPr>
        <w:rPr>
          <w:rFonts w:ascii="Times" w:hAnsi="Times"/>
          <w:sz w:val="20"/>
          <w:szCs w:val="20"/>
        </w:rPr>
      </w:pPr>
      <w:r w:rsidRPr="00C80EA5">
        <w:rPr>
          <w:rFonts w:ascii="Times" w:hAnsi="Times"/>
          <w:noProof/>
          <w:sz w:val="20"/>
          <w:szCs w:val="20"/>
        </w:rPr>
        <w:lastRenderedPageBreak/>
        <w:drawing>
          <wp:inline distT="0" distB="0" distL="0" distR="0" wp14:anchorId="048D25E8" wp14:editId="5AEA7E65">
            <wp:extent cx="5943600" cy="40532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053205"/>
                    </a:xfrm>
                    <a:prstGeom prst="rect">
                      <a:avLst/>
                    </a:prstGeom>
                  </pic:spPr>
                </pic:pic>
              </a:graphicData>
            </a:graphic>
          </wp:inline>
        </w:drawing>
      </w:r>
    </w:p>
    <w:p w14:paraId="1E9AB2E9" w14:textId="7F9ECC0B" w:rsidR="005B6898" w:rsidRPr="00C826E7" w:rsidRDefault="005B6898" w:rsidP="00581CDA">
      <w:pPr>
        <w:rPr>
          <w:rFonts w:ascii="Times New Roman" w:hAnsi="Times New Roman" w:cs="Times New Roman"/>
          <w:color w:val="000000" w:themeColor="text1"/>
          <w:sz w:val="20"/>
          <w:szCs w:val="20"/>
        </w:rPr>
      </w:pPr>
      <w:r w:rsidRPr="00C826E7">
        <w:rPr>
          <w:rFonts w:ascii="Times New Roman" w:hAnsi="Times New Roman" w:cs="Times New Roman"/>
          <w:b/>
          <w:color w:val="000000" w:themeColor="text1"/>
          <w:sz w:val="20"/>
          <w:szCs w:val="20"/>
        </w:rPr>
        <w:t>Supplemental Data Fig 11 | Peripheral blood leukemic burden in BM</w:t>
      </w:r>
      <w:r w:rsidR="00C6073A">
        <w:rPr>
          <w:rFonts w:ascii="Times New Roman" w:hAnsi="Times New Roman" w:cs="Times New Roman"/>
          <w:b/>
          <w:color w:val="000000" w:themeColor="text1"/>
          <w:sz w:val="20"/>
          <w:szCs w:val="20"/>
        </w:rPr>
        <w:t xml:space="preserve">P-low and BMP-high </w:t>
      </w:r>
      <w:r w:rsidRPr="00C826E7">
        <w:rPr>
          <w:rFonts w:ascii="Times New Roman" w:hAnsi="Times New Roman" w:cs="Times New Roman"/>
          <w:b/>
          <w:color w:val="000000" w:themeColor="text1"/>
          <w:sz w:val="20"/>
          <w:szCs w:val="20"/>
        </w:rPr>
        <w:t xml:space="preserve">PDX models during </w:t>
      </w:r>
      <w:proofErr w:type="spellStart"/>
      <w:r w:rsidRPr="00C826E7">
        <w:rPr>
          <w:rFonts w:ascii="Times New Roman" w:hAnsi="Times New Roman" w:cs="Times New Roman"/>
          <w:b/>
          <w:color w:val="000000" w:themeColor="text1"/>
          <w:sz w:val="20"/>
          <w:szCs w:val="20"/>
        </w:rPr>
        <w:t>venetoclax</w:t>
      </w:r>
      <w:proofErr w:type="spellEnd"/>
      <w:r w:rsidRPr="00C826E7">
        <w:rPr>
          <w:rFonts w:ascii="Times New Roman" w:hAnsi="Times New Roman" w:cs="Times New Roman"/>
          <w:b/>
          <w:color w:val="000000" w:themeColor="text1"/>
          <w:sz w:val="20"/>
          <w:szCs w:val="20"/>
        </w:rPr>
        <w:t xml:space="preserve"> treatment. </w:t>
      </w:r>
      <w:r w:rsidRPr="00C826E7">
        <w:rPr>
          <w:rFonts w:ascii="Times New Roman" w:hAnsi="Times New Roman" w:cs="Times New Roman"/>
          <w:color w:val="000000" w:themeColor="text1"/>
          <w:sz w:val="20"/>
          <w:szCs w:val="20"/>
        </w:rPr>
        <w:t>(</w:t>
      </w:r>
      <w:r w:rsidRPr="00C826E7">
        <w:rPr>
          <w:rFonts w:ascii="Times New Roman" w:hAnsi="Times New Roman" w:cs="Times New Roman"/>
          <w:b/>
          <w:color w:val="000000" w:themeColor="text1"/>
          <w:sz w:val="20"/>
          <w:szCs w:val="20"/>
        </w:rPr>
        <w:t>a</w:t>
      </w:r>
      <w:r w:rsidRPr="00C826E7">
        <w:rPr>
          <w:rFonts w:ascii="Times New Roman" w:hAnsi="Times New Roman" w:cs="Times New Roman"/>
          <w:color w:val="000000" w:themeColor="text1"/>
          <w:sz w:val="20"/>
          <w:szCs w:val="20"/>
        </w:rPr>
        <w:t xml:space="preserve">) experimental workflow for quantification of peripheral blast percentage during </w:t>
      </w:r>
      <w:proofErr w:type="spellStart"/>
      <w:r w:rsidRPr="00C826E7">
        <w:rPr>
          <w:rFonts w:ascii="Times New Roman" w:hAnsi="Times New Roman" w:cs="Times New Roman"/>
          <w:color w:val="000000" w:themeColor="text1"/>
          <w:sz w:val="20"/>
          <w:szCs w:val="20"/>
        </w:rPr>
        <w:t>venetoclax</w:t>
      </w:r>
      <w:proofErr w:type="spellEnd"/>
      <w:r w:rsidRPr="00C826E7">
        <w:rPr>
          <w:rFonts w:ascii="Times New Roman" w:hAnsi="Times New Roman" w:cs="Times New Roman"/>
          <w:color w:val="000000" w:themeColor="text1"/>
          <w:sz w:val="20"/>
          <w:szCs w:val="20"/>
        </w:rPr>
        <w:t xml:space="preserve"> or control treatment</w:t>
      </w:r>
      <w:r w:rsidR="00C6073A">
        <w:rPr>
          <w:rFonts w:ascii="Times New Roman" w:hAnsi="Times New Roman" w:cs="Times New Roman"/>
          <w:color w:val="000000" w:themeColor="text1"/>
          <w:sz w:val="20"/>
          <w:szCs w:val="20"/>
        </w:rPr>
        <w:t xml:space="preserve"> for PAUNDK (BMP-low) PDX</w:t>
      </w:r>
      <w:r w:rsidR="00C91809">
        <w:rPr>
          <w:rFonts w:ascii="Times New Roman" w:hAnsi="Times New Roman" w:cs="Times New Roman"/>
          <w:color w:val="000000" w:themeColor="text1"/>
          <w:sz w:val="20"/>
          <w:szCs w:val="20"/>
        </w:rPr>
        <w:t>.</w:t>
      </w:r>
      <w:r w:rsidRPr="00C826E7">
        <w:rPr>
          <w:rFonts w:ascii="Times New Roman" w:hAnsi="Times New Roman" w:cs="Times New Roman"/>
          <w:color w:val="000000" w:themeColor="text1"/>
          <w:sz w:val="20"/>
          <w:szCs w:val="20"/>
        </w:rPr>
        <w:t xml:space="preserve"> (</w:t>
      </w:r>
      <w:r w:rsidRPr="00C826E7">
        <w:rPr>
          <w:rFonts w:ascii="Times New Roman" w:hAnsi="Times New Roman" w:cs="Times New Roman"/>
          <w:b/>
          <w:color w:val="000000" w:themeColor="text1"/>
          <w:sz w:val="20"/>
          <w:szCs w:val="20"/>
        </w:rPr>
        <w:t>b</w:t>
      </w:r>
      <w:r w:rsidRPr="00C826E7">
        <w:rPr>
          <w:rFonts w:ascii="Times New Roman" w:hAnsi="Times New Roman" w:cs="Times New Roman"/>
          <w:color w:val="000000" w:themeColor="text1"/>
          <w:sz w:val="20"/>
          <w:szCs w:val="20"/>
        </w:rPr>
        <w:t xml:space="preserve">) peripheral blast percentage during control (left) and </w:t>
      </w:r>
      <w:proofErr w:type="spellStart"/>
      <w:r w:rsidRPr="00C826E7">
        <w:rPr>
          <w:rFonts w:ascii="Times New Roman" w:hAnsi="Times New Roman" w:cs="Times New Roman"/>
          <w:color w:val="000000" w:themeColor="text1"/>
          <w:sz w:val="20"/>
          <w:szCs w:val="20"/>
        </w:rPr>
        <w:t>venetoclax</w:t>
      </w:r>
      <w:proofErr w:type="spellEnd"/>
      <w:r w:rsidRPr="00C826E7">
        <w:rPr>
          <w:rFonts w:ascii="Times New Roman" w:hAnsi="Times New Roman" w:cs="Times New Roman"/>
          <w:color w:val="000000" w:themeColor="text1"/>
          <w:sz w:val="20"/>
          <w:szCs w:val="20"/>
        </w:rPr>
        <w:t xml:space="preserve"> (right) treatment</w:t>
      </w:r>
      <w:r w:rsidR="001732EB">
        <w:rPr>
          <w:rFonts w:ascii="Times New Roman" w:hAnsi="Times New Roman" w:cs="Times New Roman"/>
          <w:color w:val="000000" w:themeColor="text1"/>
          <w:sz w:val="20"/>
          <w:szCs w:val="20"/>
        </w:rPr>
        <w:t xml:space="preserve"> for PAUNDK PDX models</w:t>
      </w:r>
      <w:r w:rsidRPr="00C826E7">
        <w:rPr>
          <w:rFonts w:ascii="Times New Roman" w:hAnsi="Times New Roman" w:cs="Times New Roman"/>
          <w:color w:val="000000" w:themeColor="text1"/>
          <w:sz w:val="20"/>
          <w:szCs w:val="20"/>
        </w:rPr>
        <w:t>. Timepoints of retro-orbital bleeds are indicated with black points. (</w:t>
      </w:r>
      <w:r w:rsidRPr="00C826E7">
        <w:rPr>
          <w:rFonts w:ascii="Times New Roman" w:hAnsi="Times New Roman" w:cs="Times New Roman"/>
          <w:b/>
          <w:color w:val="000000" w:themeColor="text1"/>
          <w:sz w:val="20"/>
          <w:szCs w:val="20"/>
        </w:rPr>
        <w:t>c</w:t>
      </w:r>
      <w:r w:rsidRPr="00C826E7">
        <w:rPr>
          <w:rFonts w:ascii="Times New Roman" w:hAnsi="Times New Roman" w:cs="Times New Roman"/>
          <w:color w:val="000000" w:themeColor="text1"/>
          <w:sz w:val="20"/>
          <w:szCs w:val="20"/>
        </w:rPr>
        <w:t>) log2 fold change of peripheral blast % over study period</w:t>
      </w:r>
      <w:r w:rsidR="001732EB">
        <w:rPr>
          <w:rFonts w:ascii="Times New Roman" w:hAnsi="Times New Roman" w:cs="Times New Roman"/>
          <w:color w:val="000000" w:themeColor="text1"/>
          <w:sz w:val="20"/>
          <w:szCs w:val="20"/>
        </w:rPr>
        <w:t xml:space="preserve"> for PAUNDK PDX models</w:t>
      </w:r>
      <w:r w:rsidRPr="00C826E7">
        <w:rPr>
          <w:rFonts w:ascii="Times New Roman" w:hAnsi="Times New Roman" w:cs="Times New Roman"/>
          <w:color w:val="000000" w:themeColor="text1"/>
          <w:sz w:val="20"/>
          <w:szCs w:val="20"/>
        </w:rPr>
        <w:t>. P-value from two-sided t-test is shown.</w:t>
      </w:r>
      <w:r w:rsidR="001732EB">
        <w:rPr>
          <w:rFonts w:ascii="Times New Roman" w:hAnsi="Times New Roman" w:cs="Times New Roman"/>
          <w:color w:val="000000" w:themeColor="text1"/>
          <w:sz w:val="20"/>
          <w:szCs w:val="20"/>
        </w:rPr>
        <w:t xml:space="preserve"> (</w:t>
      </w:r>
      <w:r w:rsidR="001732EB" w:rsidRPr="001732EB">
        <w:rPr>
          <w:rFonts w:ascii="Times New Roman" w:hAnsi="Times New Roman" w:cs="Times New Roman"/>
          <w:b/>
          <w:color w:val="000000" w:themeColor="text1"/>
          <w:sz w:val="20"/>
          <w:szCs w:val="20"/>
        </w:rPr>
        <w:t>d</w:t>
      </w:r>
      <w:r w:rsidR="002453A3">
        <w:rPr>
          <w:rFonts w:ascii="Times New Roman" w:hAnsi="Times New Roman" w:cs="Times New Roman"/>
          <w:color w:val="000000" w:themeColor="text1"/>
          <w:sz w:val="20"/>
          <w:szCs w:val="20"/>
        </w:rPr>
        <w:t>-</w:t>
      </w:r>
      <w:r w:rsidR="002453A3" w:rsidRPr="002453A3">
        <w:rPr>
          <w:rFonts w:ascii="Times New Roman" w:hAnsi="Times New Roman" w:cs="Times New Roman"/>
          <w:b/>
          <w:color w:val="000000" w:themeColor="text1"/>
          <w:sz w:val="20"/>
          <w:szCs w:val="20"/>
        </w:rPr>
        <w:t>f</w:t>
      </w:r>
      <w:r w:rsidR="002453A3">
        <w:rPr>
          <w:rFonts w:ascii="Times New Roman" w:hAnsi="Times New Roman" w:cs="Times New Roman"/>
          <w:color w:val="000000" w:themeColor="text1"/>
          <w:sz w:val="20"/>
          <w:szCs w:val="20"/>
        </w:rPr>
        <w:t>) experimental workflow, peripheral blast percentage, and log2 fold change of peripheral blast % over study period for PATTDP (BMP-high) PDX model.</w:t>
      </w:r>
    </w:p>
    <w:p w14:paraId="6E895D5B" w14:textId="77777777" w:rsidR="005B6898" w:rsidRDefault="005B6898">
      <w:pPr>
        <w:rPr>
          <w:rFonts w:ascii="Times" w:hAnsi="Times"/>
          <w:color w:val="000000" w:themeColor="text1"/>
        </w:rPr>
      </w:pPr>
      <w:r>
        <w:rPr>
          <w:rFonts w:ascii="Times" w:hAnsi="Times"/>
          <w:color w:val="000000" w:themeColor="text1"/>
        </w:rPr>
        <w:br w:type="page"/>
      </w:r>
    </w:p>
    <w:p w14:paraId="0E4153F0" w14:textId="703F3F2F" w:rsidR="005367BF" w:rsidRDefault="005367BF" w:rsidP="00581CDA">
      <w:pPr>
        <w:rPr>
          <w:rFonts w:ascii="Times" w:hAnsi="Times"/>
          <w:color w:val="000000" w:themeColor="text1"/>
          <w:sz w:val="20"/>
          <w:szCs w:val="20"/>
        </w:rPr>
      </w:pPr>
    </w:p>
    <w:p w14:paraId="4567CFC8" w14:textId="3A9B001A" w:rsidR="00C826E7" w:rsidRDefault="00C826E7" w:rsidP="00581CDA">
      <w:pPr>
        <w:rPr>
          <w:rFonts w:ascii="Times" w:hAnsi="Times"/>
          <w:color w:val="000000" w:themeColor="text1"/>
          <w:sz w:val="20"/>
          <w:szCs w:val="20"/>
        </w:rPr>
      </w:pPr>
    </w:p>
    <w:p w14:paraId="7ADFD7EC" w14:textId="4E408102" w:rsidR="00C826E7" w:rsidRPr="00C826E7" w:rsidRDefault="004C4AC3" w:rsidP="00C826E7">
      <w:pPr>
        <w:rPr>
          <w:rFonts w:ascii="Times New Roman" w:hAnsi="Times New Roman" w:cs="Times New Roman"/>
          <w:color w:val="000000" w:themeColor="text1"/>
          <w:sz w:val="20"/>
          <w:szCs w:val="20"/>
        </w:rPr>
      </w:pPr>
      <w:r w:rsidRPr="004C4AC3">
        <w:rPr>
          <w:rFonts w:ascii="Times New Roman" w:hAnsi="Times New Roman" w:cs="Times New Roman"/>
          <w:b/>
          <w:noProof/>
          <w:color w:val="000000" w:themeColor="text1"/>
          <w:sz w:val="20"/>
          <w:szCs w:val="20"/>
        </w:rPr>
        <w:drawing>
          <wp:inline distT="0" distB="0" distL="0" distR="0" wp14:anchorId="1BA20CEF" wp14:editId="6E31B846">
            <wp:extent cx="5943600" cy="4745355"/>
            <wp:effectExtent l="0" t="0" r="0" b="4445"/>
            <wp:docPr id="1377631640" name="Picture 1" descr="A collage of images of a variety of colore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631640" name="Picture 1" descr="A collage of images of a variety of colored dots&#10;&#10;Description automatically generated with medium confidence"/>
                    <pic:cNvPicPr/>
                  </pic:nvPicPr>
                  <pic:blipFill>
                    <a:blip r:embed="rId16"/>
                    <a:stretch>
                      <a:fillRect/>
                    </a:stretch>
                  </pic:blipFill>
                  <pic:spPr>
                    <a:xfrm>
                      <a:off x="0" y="0"/>
                      <a:ext cx="5943600" cy="4745355"/>
                    </a:xfrm>
                    <a:prstGeom prst="rect">
                      <a:avLst/>
                    </a:prstGeom>
                  </pic:spPr>
                </pic:pic>
              </a:graphicData>
            </a:graphic>
          </wp:inline>
        </w:drawing>
      </w:r>
      <w:r w:rsidR="00C826E7" w:rsidRPr="00C826E7">
        <w:rPr>
          <w:rFonts w:ascii="Times New Roman" w:hAnsi="Times New Roman" w:cs="Times New Roman"/>
          <w:b/>
          <w:color w:val="000000" w:themeColor="text1"/>
          <w:sz w:val="20"/>
          <w:szCs w:val="20"/>
        </w:rPr>
        <w:t>Supplemental Data Fig</w:t>
      </w:r>
      <w:r w:rsidR="00707691">
        <w:rPr>
          <w:rFonts w:ascii="Times New Roman" w:hAnsi="Times New Roman" w:cs="Times New Roman"/>
          <w:b/>
          <w:color w:val="000000" w:themeColor="text1"/>
          <w:sz w:val="20"/>
          <w:szCs w:val="20"/>
        </w:rPr>
        <w:t xml:space="preserve"> </w:t>
      </w:r>
      <w:r w:rsidR="00C826E7" w:rsidRPr="00C826E7">
        <w:rPr>
          <w:rFonts w:ascii="Times New Roman" w:hAnsi="Times New Roman" w:cs="Times New Roman"/>
          <w:b/>
          <w:color w:val="000000" w:themeColor="text1"/>
          <w:sz w:val="20"/>
          <w:szCs w:val="20"/>
        </w:rPr>
        <w:t>1</w:t>
      </w:r>
      <w:r w:rsidR="000C0562">
        <w:rPr>
          <w:rFonts w:ascii="Times New Roman" w:hAnsi="Times New Roman" w:cs="Times New Roman"/>
          <w:b/>
          <w:color w:val="000000" w:themeColor="text1"/>
          <w:sz w:val="20"/>
          <w:szCs w:val="20"/>
        </w:rPr>
        <w:t>2</w:t>
      </w:r>
      <w:r w:rsidR="00C826E7" w:rsidRPr="00C826E7">
        <w:rPr>
          <w:rFonts w:ascii="Times New Roman" w:hAnsi="Times New Roman" w:cs="Times New Roman"/>
          <w:b/>
          <w:color w:val="000000" w:themeColor="text1"/>
          <w:sz w:val="20"/>
          <w:szCs w:val="20"/>
        </w:rPr>
        <w:t xml:space="preserve"> | </w:t>
      </w:r>
      <w:r w:rsidR="00C826E7">
        <w:rPr>
          <w:rFonts w:ascii="Times New Roman" w:hAnsi="Times New Roman" w:cs="Times New Roman"/>
          <w:b/>
          <w:color w:val="000000" w:themeColor="text1"/>
          <w:sz w:val="20"/>
          <w:szCs w:val="20"/>
        </w:rPr>
        <w:t xml:space="preserve">Response to </w:t>
      </w:r>
      <w:proofErr w:type="spellStart"/>
      <w:r w:rsidR="00C826E7">
        <w:rPr>
          <w:rFonts w:ascii="Times New Roman" w:hAnsi="Times New Roman" w:cs="Times New Roman"/>
          <w:b/>
          <w:color w:val="000000" w:themeColor="text1"/>
          <w:sz w:val="20"/>
          <w:szCs w:val="20"/>
        </w:rPr>
        <w:t>venetoclax</w:t>
      </w:r>
      <w:proofErr w:type="spellEnd"/>
      <w:r w:rsidR="00C826E7">
        <w:rPr>
          <w:rFonts w:ascii="Times New Roman" w:hAnsi="Times New Roman" w:cs="Times New Roman"/>
          <w:b/>
          <w:color w:val="000000" w:themeColor="text1"/>
          <w:sz w:val="20"/>
          <w:szCs w:val="20"/>
        </w:rPr>
        <w:t xml:space="preserve"> vs. control</w:t>
      </w:r>
      <w:r w:rsidR="00C826E7" w:rsidRPr="00C826E7">
        <w:rPr>
          <w:rFonts w:ascii="Times New Roman" w:hAnsi="Times New Roman" w:cs="Times New Roman"/>
          <w:b/>
          <w:color w:val="000000" w:themeColor="text1"/>
          <w:sz w:val="20"/>
          <w:szCs w:val="20"/>
        </w:rPr>
        <w:t xml:space="preserve"> in BMP-</w:t>
      </w:r>
      <w:r w:rsidR="00C826E7">
        <w:rPr>
          <w:rFonts w:ascii="Times New Roman" w:hAnsi="Times New Roman" w:cs="Times New Roman"/>
          <w:b/>
          <w:color w:val="000000" w:themeColor="text1"/>
          <w:sz w:val="20"/>
          <w:szCs w:val="20"/>
        </w:rPr>
        <w:t>low PDX via two-</w:t>
      </w:r>
      <w:r w:rsidR="00C826E7" w:rsidRPr="00C826E7">
        <w:rPr>
          <w:rFonts w:ascii="Times New Roman" w:hAnsi="Times New Roman" w:cs="Times New Roman"/>
          <w:b/>
          <w:color w:val="000000" w:themeColor="text1"/>
          <w:sz w:val="20"/>
          <w:szCs w:val="20"/>
        </w:rPr>
        <w:t xml:space="preserve">marker flow cytometry. </w:t>
      </w:r>
      <w:r w:rsidR="00C826E7" w:rsidRPr="00C826E7">
        <w:rPr>
          <w:rFonts w:ascii="Times New Roman" w:hAnsi="Times New Roman" w:cs="Times New Roman"/>
          <w:color w:val="000000" w:themeColor="text1"/>
          <w:sz w:val="20"/>
          <w:szCs w:val="20"/>
        </w:rPr>
        <w:t>(</w:t>
      </w:r>
      <w:r w:rsidR="00C826E7" w:rsidRPr="00C826E7">
        <w:rPr>
          <w:rFonts w:ascii="Times New Roman" w:hAnsi="Times New Roman" w:cs="Times New Roman"/>
          <w:b/>
          <w:color w:val="000000" w:themeColor="text1"/>
          <w:sz w:val="20"/>
          <w:szCs w:val="20"/>
        </w:rPr>
        <w:t>a</w:t>
      </w:r>
      <w:r w:rsidR="00C826E7" w:rsidRPr="00C826E7">
        <w:rPr>
          <w:rFonts w:ascii="Times New Roman" w:hAnsi="Times New Roman" w:cs="Times New Roman"/>
          <w:color w:val="000000" w:themeColor="text1"/>
          <w:sz w:val="20"/>
          <w:szCs w:val="20"/>
        </w:rPr>
        <w:t>) bone marrow leukemic blast % post control (top, n=</w:t>
      </w:r>
      <w:r w:rsidR="00C826E7">
        <w:rPr>
          <w:rFonts w:ascii="Times New Roman" w:hAnsi="Times New Roman" w:cs="Times New Roman"/>
          <w:color w:val="000000" w:themeColor="text1"/>
          <w:sz w:val="20"/>
          <w:szCs w:val="20"/>
        </w:rPr>
        <w:t>5</w:t>
      </w:r>
      <w:r w:rsidR="00C826E7" w:rsidRPr="00C826E7">
        <w:rPr>
          <w:rFonts w:ascii="Times New Roman" w:hAnsi="Times New Roman" w:cs="Times New Roman"/>
          <w:color w:val="000000" w:themeColor="text1"/>
          <w:sz w:val="20"/>
          <w:szCs w:val="20"/>
        </w:rPr>
        <w:t xml:space="preserve">) and </w:t>
      </w:r>
      <w:proofErr w:type="spellStart"/>
      <w:r w:rsidR="00C826E7" w:rsidRPr="00C826E7">
        <w:rPr>
          <w:rFonts w:ascii="Times New Roman" w:hAnsi="Times New Roman" w:cs="Times New Roman"/>
          <w:color w:val="000000" w:themeColor="text1"/>
          <w:sz w:val="20"/>
          <w:szCs w:val="20"/>
        </w:rPr>
        <w:t>venetoclax</w:t>
      </w:r>
      <w:proofErr w:type="spellEnd"/>
      <w:r w:rsidR="00C826E7" w:rsidRPr="00C826E7">
        <w:rPr>
          <w:rFonts w:ascii="Times New Roman" w:hAnsi="Times New Roman" w:cs="Times New Roman"/>
          <w:color w:val="000000" w:themeColor="text1"/>
          <w:sz w:val="20"/>
          <w:szCs w:val="20"/>
        </w:rPr>
        <w:t xml:space="preserve"> (bottom, n=</w:t>
      </w:r>
      <w:r w:rsidR="00C826E7">
        <w:rPr>
          <w:rFonts w:ascii="Times New Roman" w:hAnsi="Times New Roman" w:cs="Times New Roman"/>
          <w:color w:val="000000" w:themeColor="text1"/>
          <w:sz w:val="20"/>
          <w:szCs w:val="20"/>
        </w:rPr>
        <w:t>4</w:t>
      </w:r>
      <w:r w:rsidR="00C826E7" w:rsidRPr="00C826E7">
        <w:rPr>
          <w:rFonts w:ascii="Times New Roman" w:hAnsi="Times New Roman" w:cs="Times New Roman"/>
          <w:color w:val="000000" w:themeColor="text1"/>
          <w:sz w:val="20"/>
          <w:szCs w:val="20"/>
        </w:rPr>
        <w:t>) treatment. Gates were set using CD</w:t>
      </w:r>
      <w:r w:rsidR="00C826E7">
        <w:rPr>
          <w:rFonts w:ascii="Times New Roman" w:hAnsi="Times New Roman" w:cs="Times New Roman"/>
          <w:color w:val="000000" w:themeColor="text1"/>
          <w:sz w:val="20"/>
          <w:szCs w:val="20"/>
        </w:rPr>
        <w:t>38-FITC</w:t>
      </w:r>
      <w:r w:rsidR="00C826E7" w:rsidRPr="00C826E7">
        <w:rPr>
          <w:rFonts w:ascii="Times New Roman" w:hAnsi="Times New Roman" w:cs="Times New Roman"/>
          <w:color w:val="000000" w:themeColor="text1"/>
          <w:sz w:val="20"/>
          <w:szCs w:val="20"/>
        </w:rPr>
        <w:t>/CD45-APC FMO controls. The percentage of hCD</w:t>
      </w:r>
      <w:r w:rsidR="00C826E7">
        <w:rPr>
          <w:rFonts w:ascii="Times New Roman" w:hAnsi="Times New Roman" w:cs="Times New Roman"/>
          <w:color w:val="000000" w:themeColor="text1"/>
          <w:sz w:val="20"/>
          <w:szCs w:val="20"/>
        </w:rPr>
        <w:t>38</w:t>
      </w:r>
      <w:r w:rsidR="00C826E7" w:rsidRPr="00C826E7">
        <w:rPr>
          <w:rFonts w:ascii="Times New Roman" w:hAnsi="Times New Roman" w:cs="Times New Roman"/>
          <w:color w:val="000000" w:themeColor="text1"/>
          <w:sz w:val="20"/>
          <w:szCs w:val="20"/>
        </w:rPr>
        <w:t>+CD</w:t>
      </w:r>
      <w:r w:rsidR="00C826E7">
        <w:rPr>
          <w:rFonts w:ascii="Times New Roman" w:hAnsi="Times New Roman" w:cs="Times New Roman"/>
          <w:color w:val="000000" w:themeColor="text1"/>
          <w:sz w:val="20"/>
          <w:szCs w:val="20"/>
        </w:rPr>
        <w:t>45</w:t>
      </w:r>
      <w:r w:rsidR="00C826E7" w:rsidRPr="00C826E7">
        <w:rPr>
          <w:rFonts w:ascii="Times New Roman" w:hAnsi="Times New Roman" w:cs="Times New Roman"/>
          <w:color w:val="000000" w:themeColor="text1"/>
          <w:sz w:val="20"/>
          <w:szCs w:val="20"/>
        </w:rPr>
        <w:t>+ blasts amongst all live singlets is plotted. (</w:t>
      </w:r>
      <w:r w:rsidR="00C826E7" w:rsidRPr="00C826E7">
        <w:rPr>
          <w:rFonts w:ascii="Times New Roman" w:hAnsi="Times New Roman" w:cs="Times New Roman"/>
          <w:b/>
          <w:color w:val="000000" w:themeColor="text1"/>
          <w:sz w:val="20"/>
          <w:szCs w:val="20"/>
        </w:rPr>
        <w:t>b</w:t>
      </w:r>
      <w:r w:rsidR="00C826E7" w:rsidRPr="00C826E7">
        <w:rPr>
          <w:rFonts w:ascii="Times New Roman" w:hAnsi="Times New Roman" w:cs="Times New Roman"/>
          <w:color w:val="000000" w:themeColor="text1"/>
          <w:sz w:val="20"/>
          <w:szCs w:val="20"/>
        </w:rPr>
        <w:t>) Splenic leukemic blast % post control (top, n=</w:t>
      </w:r>
      <w:r w:rsidR="00C826E7">
        <w:rPr>
          <w:rFonts w:ascii="Times New Roman" w:hAnsi="Times New Roman" w:cs="Times New Roman"/>
          <w:color w:val="000000" w:themeColor="text1"/>
          <w:sz w:val="20"/>
          <w:szCs w:val="20"/>
        </w:rPr>
        <w:t>5</w:t>
      </w:r>
      <w:r w:rsidR="00C826E7" w:rsidRPr="00C826E7">
        <w:rPr>
          <w:rFonts w:ascii="Times New Roman" w:hAnsi="Times New Roman" w:cs="Times New Roman"/>
          <w:color w:val="000000" w:themeColor="text1"/>
          <w:sz w:val="20"/>
          <w:szCs w:val="20"/>
        </w:rPr>
        <w:t xml:space="preserve">) and </w:t>
      </w:r>
      <w:proofErr w:type="spellStart"/>
      <w:r w:rsidR="00C826E7" w:rsidRPr="00C826E7">
        <w:rPr>
          <w:rFonts w:ascii="Times New Roman" w:hAnsi="Times New Roman" w:cs="Times New Roman"/>
          <w:color w:val="000000" w:themeColor="text1"/>
          <w:sz w:val="20"/>
          <w:szCs w:val="20"/>
        </w:rPr>
        <w:t>venetoclax</w:t>
      </w:r>
      <w:proofErr w:type="spellEnd"/>
      <w:r w:rsidR="00C826E7" w:rsidRPr="00C826E7">
        <w:rPr>
          <w:rFonts w:ascii="Times New Roman" w:hAnsi="Times New Roman" w:cs="Times New Roman"/>
          <w:color w:val="000000" w:themeColor="text1"/>
          <w:sz w:val="20"/>
          <w:szCs w:val="20"/>
        </w:rPr>
        <w:t xml:space="preserve"> (bottom, n=</w:t>
      </w:r>
      <w:r w:rsidR="00C826E7">
        <w:rPr>
          <w:rFonts w:ascii="Times New Roman" w:hAnsi="Times New Roman" w:cs="Times New Roman"/>
          <w:color w:val="000000" w:themeColor="text1"/>
          <w:sz w:val="20"/>
          <w:szCs w:val="20"/>
        </w:rPr>
        <w:t>4</w:t>
      </w:r>
      <w:r w:rsidR="00C826E7" w:rsidRPr="00C826E7">
        <w:rPr>
          <w:rFonts w:ascii="Times New Roman" w:hAnsi="Times New Roman" w:cs="Times New Roman"/>
          <w:color w:val="000000" w:themeColor="text1"/>
          <w:sz w:val="20"/>
          <w:szCs w:val="20"/>
        </w:rPr>
        <w:t>) treatment. Gates were set using CD</w:t>
      </w:r>
      <w:r w:rsidR="00C826E7">
        <w:rPr>
          <w:rFonts w:ascii="Times New Roman" w:hAnsi="Times New Roman" w:cs="Times New Roman"/>
          <w:color w:val="000000" w:themeColor="text1"/>
          <w:sz w:val="20"/>
          <w:szCs w:val="20"/>
        </w:rPr>
        <w:t>38-FITC</w:t>
      </w:r>
      <w:r w:rsidR="00C826E7" w:rsidRPr="00C826E7">
        <w:rPr>
          <w:rFonts w:ascii="Times New Roman" w:hAnsi="Times New Roman" w:cs="Times New Roman"/>
          <w:color w:val="000000" w:themeColor="text1"/>
          <w:sz w:val="20"/>
          <w:szCs w:val="20"/>
        </w:rPr>
        <w:t>/CD45-APC FMO controls. The percentage of hCD</w:t>
      </w:r>
      <w:r w:rsidR="00C826E7">
        <w:rPr>
          <w:rFonts w:ascii="Times New Roman" w:hAnsi="Times New Roman" w:cs="Times New Roman"/>
          <w:color w:val="000000" w:themeColor="text1"/>
          <w:sz w:val="20"/>
          <w:szCs w:val="20"/>
        </w:rPr>
        <w:t>38</w:t>
      </w:r>
      <w:r w:rsidR="00C826E7" w:rsidRPr="00C826E7">
        <w:rPr>
          <w:rFonts w:ascii="Times New Roman" w:hAnsi="Times New Roman" w:cs="Times New Roman"/>
          <w:color w:val="000000" w:themeColor="text1"/>
          <w:sz w:val="20"/>
          <w:szCs w:val="20"/>
        </w:rPr>
        <w:t>+CD</w:t>
      </w:r>
      <w:r w:rsidR="00C826E7">
        <w:rPr>
          <w:rFonts w:ascii="Times New Roman" w:hAnsi="Times New Roman" w:cs="Times New Roman"/>
          <w:color w:val="000000" w:themeColor="text1"/>
          <w:sz w:val="20"/>
          <w:szCs w:val="20"/>
        </w:rPr>
        <w:t>45</w:t>
      </w:r>
      <w:r w:rsidR="00C826E7" w:rsidRPr="00C826E7">
        <w:rPr>
          <w:rFonts w:ascii="Times New Roman" w:hAnsi="Times New Roman" w:cs="Times New Roman"/>
          <w:color w:val="000000" w:themeColor="text1"/>
          <w:sz w:val="20"/>
          <w:szCs w:val="20"/>
        </w:rPr>
        <w:t xml:space="preserve">+ blasts amongst all live singlets is plotted. </w:t>
      </w:r>
    </w:p>
    <w:p w14:paraId="25B6007C" w14:textId="1C0075D0" w:rsidR="000C0562" w:rsidRDefault="000C0562">
      <w:pPr>
        <w:rPr>
          <w:rFonts w:ascii="Times" w:hAnsi="Times"/>
          <w:color w:val="000000" w:themeColor="text1"/>
          <w:sz w:val="20"/>
          <w:szCs w:val="20"/>
        </w:rPr>
      </w:pPr>
      <w:r>
        <w:rPr>
          <w:rFonts w:ascii="Times" w:hAnsi="Times"/>
          <w:color w:val="000000" w:themeColor="text1"/>
          <w:sz w:val="20"/>
          <w:szCs w:val="20"/>
        </w:rPr>
        <w:br w:type="page"/>
      </w:r>
    </w:p>
    <w:p w14:paraId="1DFA0D19" w14:textId="77777777" w:rsidR="000C0562" w:rsidRDefault="000C0562" w:rsidP="000C0562">
      <w:pPr>
        <w:jc w:val="center"/>
        <w:rPr>
          <w:rFonts w:ascii="Times" w:hAnsi="Times"/>
          <w:b/>
          <w:color w:val="000000" w:themeColor="text1"/>
        </w:rPr>
      </w:pPr>
      <w:r w:rsidRPr="00EB571B">
        <w:rPr>
          <w:rFonts w:ascii="Times" w:hAnsi="Times"/>
          <w:b/>
          <w:noProof/>
          <w:color w:val="000000" w:themeColor="text1"/>
        </w:rPr>
        <w:lastRenderedPageBreak/>
        <w:drawing>
          <wp:inline distT="0" distB="0" distL="0" distR="0" wp14:anchorId="54664C2E" wp14:editId="73856410">
            <wp:extent cx="5554645" cy="6810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56570" cy="6812735"/>
                    </a:xfrm>
                    <a:prstGeom prst="rect">
                      <a:avLst/>
                    </a:prstGeom>
                  </pic:spPr>
                </pic:pic>
              </a:graphicData>
            </a:graphic>
          </wp:inline>
        </w:drawing>
      </w:r>
    </w:p>
    <w:p w14:paraId="1CD5281D" w14:textId="52963AB7" w:rsidR="000C0562" w:rsidRPr="00C826E7" w:rsidRDefault="000C0562" w:rsidP="000C0562">
      <w:pPr>
        <w:rPr>
          <w:rFonts w:ascii="Times New Roman" w:hAnsi="Times New Roman" w:cs="Times New Roman"/>
          <w:color w:val="000000" w:themeColor="text1"/>
          <w:sz w:val="20"/>
          <w:szCs w:val="20"/>
        </w:rPr>
      </w:pPr>
      <w:r w:rsidRPr="00C826E7">
        <w:rPr>
          <w:rFonts w:ascii="Times New Roman" w:hAnsi="Times New Roman" w:cs="Times New Roman"/>
          <w:b/>
          <w:color w:val="000000" w:themeColor="text1"/>
          <w:sz w:val="20"/>
          <w:szCs w:val="20"/>
        </w:rPr>
        <w:t>Supplemental Data Fig 1</w:t>
      </w:r>
      <w:r>
        <w:rPr>
          <w:rFonts w:ascii="Times New Roman" w:hAnsi="Times New Roman" w:cs="Times New Roman"/>
          <w:b/>
          <w:color w:val="000000" w:themeColor="text1"/>
          <w:sz w:val="20"/>
          <w:szCs w:val="20"/>
        </w:rPr>
        <w:t>3</w:t>
      </w:r>
      <w:r w:rsidRPr="00C826E7">
        <w:rPr>
          <w:rFonts w:ascii="Times New Roman" w:hAnsi="Times New Roman" w:cs="Times New Roman"/>
          <w:b/>
          <w:color w:val="000000" w:themeColor="text1"/>
          <w:sz w:val="20"/>
          <w:szCs w:val="20"/>
        </w:rPr>
        <w:t xml:space="preserve"> | Robust blast clearance in BMP-high models detected via two-marker flow cytometry. </w:t>
      </w:r>
      <w:r w:rsidRPr="00C826E7">
        <w:rPr>
          <w:rFonts w:ascii="Times New Roman" w:hAnsi="Times New Roman" w:cs="Times New Roman"/>
          <w:color w:val="000000" w:themeColor="text1"/>
          <w:sz w:val="20"/>
          <w:szCs w:val="20"/>
        </w:rPr>
        <w:t>(</w:t>
      </w:r>
      <w:r w:rsidRPr="00C826E7">
        <w:rPr>
          <w:rFonts w:ascii="Times New Roman" w:hAnsi="Times New Roman" w:cs="Times New Roman"/>
          <w:b/>
          <w:color w:val="000000" w:themeColor="text1"/>
          <w:sz w:val="20"/>
          <w:szCs w:val="20"/>
        </w:rPr>
        <w:t>a</w:t>
      </w:r>
      <w:r w:rsidRPr="00C826E7">
        <w:rPr>
          <w:rFonts w:ascii="Times New Roman" w:hAnsi="Times New Roman" w:cs="Times New Roman"/>
          <w:color w:val="000000" w:themeColor="text1"/>
          <w:sz w:val="20"/>
          <w:szCs w:val="20"/>
        </w:rPr>
        <w:t xml:space="preserve">) bone marrow leukemic blast % post control (top, n=3) and </w:t>
      </w:r>
      <w:proofErr w:type="spellStart"/>
      <w:r w:rsidRPr="00C826E7">
        <w:rPr>
          <w:rFonts w:ascii="Times New Roman" w:hAnsi="Times New Roman" w:cs="Times New Roman"/>
          <w:color w:val="000000" w:themeColor="text1"/>
          <w:sz w:val="20"/>
          <w:szCs w:val="20"/>
        </w:rPr>
        <w:t>venetoclax</w:t>
      </w:r>
      <w:proofErr w:type="spellEnd"/>
      <w:r w:rsidRPr="00C826E7">
        <w:rPr>
          <w:rFonts w:ascii="Times New Roman" w:hAnsi="Times New Roman" w:cs="Times New Roman"/>
          <w:color w:val="000000" w:themeColor="text1"/>
          <w:sz w:val="20"/>
          <w:szCs w:val="20"/>
        </w:rPr>
        <w:t xml:space="preserve"> (bottom, n=3) treatment. Gates were set using CD7-PE/CD45-APC FMO controls. The percentage of hCD45+CD7+ blasts amongst all live singlets is plotted. (</w:t>
      </w:r>
      <w:r w:rsidRPr="00C826E7">
        <w:rPr>
          <w:rFonts w:ascii="Times New Roman" w:hAnsi="Times New Roman" w:cs="Times New Roman"/>
          <w:b/>
          <w:color w:val="000000" w:themeColor="text1"/>
          <w:sz w:val="20"/>
          <w:szCs w:val="20"/>
        </w:rPr>
        <w:t>b</w:t>
      </w:r>
      <w:r w:rsidRPr="00C826E7">
        <w:rPr>
          <w:rFonts w:ascii="Times New Roman" w:hAnsi="Times New Roman" w:cs="Times New Roman"/>
          <w:color w:val="000000" w:themeColor="text1"/>
          <w:sz w:val="20"/>
          <w:szCs w:val="20"/>
        </w:rPr>
        <w:t xml:space="preserve">) Splenic leukemic blast % post control (top, n=3) and </w:t>
      </w:r>
      <w:proofErr w:type="spellStart"/>
      <w:r w:rsidRPr="00C826E7">
        <w:rPr>
          <w:rFonts w:ascii="Times New Roman" w:hAnsi="Times New Roman" w:cs="Times New Roman"/>
          <w:color w:val="000000" w:themeColor="text1"/>
          <w:sz w:val="20"/>
          <w:szCs w:val="20"/>
        </w:rPr>
        <w:t>venetoclax</w:t>
      </w:r>
      <w:proofErr w:type="spellEnd"/>
      <w:r w:rsidRPr="00C826E7">
        <w:rPr>
          <w:rFonts w:ascii="Times New Roman" w:hAnsi="Times New Roman" w:cs="Times New Roman"/>
          <w:color w:val="000000" w:themeColor="text1"/>
          <w:sz w:val="20"/>
          <w:szCs w:val="20"/>
        </w:rPr>
        <w:t xml:space="preserve"> (bottom, n=3) treatment. Gates were set using CD7-PE/CD45-APC FMO controls. The percentage of hCD45+CD7+ blasts amongst all live singlets is plotted.</w:t>
      </w:r>
    </w:p>
    <w:p w14:paraId="3870A492" w14:textId="77777777" w:rsidR="000C0562" w:rsidRDefault="000C0562" w:rsidP="000C0562">
      <w:pPr>
        <w:rPr>
          <w:rFonts w:ascii="Times" w:hAnsi="Times"/>
          <w:color w:val="000000" w:themeColor="text1"/>
        </w:rPr>
      </w:pPr>
    </w:p>
    <w:p w14:paraId="58B47504" w14:textId="77777777" w:rsidR="00C826E7" w:rsidRPr="005B6898" w:rsidRDefault="00C826E7" w:rsidP="00581CDA">
      <w:pPr>
        <w:rPr>
          <w:rFonts w:ascii="Times" w:hAnsi="Times"/>
          <w:color w:val="000000" w:themeColor="text1"/>
          <w:sz w:val="20"/>
          <w:szCs w:val="20"/>
        </w:rPr>
      </w:pPr>
    </w:p>
    <w:sectPr w:rsidR="00C826E7" w:rsidRPr="005B6898" w:rsidSect="003479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altName w:val="Times New Roman"/>
    <w:panose1 w:val="020B0604020202020204"/>
    <w:charset w:val="00"/>
    <w:family w:val="auto"/>
    <w:pitch w:val="variable"/>
    <w:sig w:usb0="E00002FF" w:usb1="5000205A"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115491"/>
    <w:multiLevelType w:val="hybridMultilevel"/>
    <w:tmpl w:val="25CA30CE"/>
    <w:lvl w:ilvl="0" w:tplc="37948D9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BBA6E7E"/>
    <w:multiLevelType w:val="hybridMultilevel"/>
    <w:tmpl w:val="4740ECE2"/>
    <w:lvl w:ilvl="0" w:tplc="31BC652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EA6C5C"/>
    <w:multiLevelType w:val="hybridMultilevel"/>
    <w:tmpl w:val="0A746714"/>
    <w:lvl w:ilvl="0" w:tplc="2FAA07B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09886262">
    <w:abstractNumId w:val="0"/>
  </w:num>
  <w:num w:numId="2" w16cid:durableId="409624319">
    <w:abstractNumId w:val="1"/>
  </w:num>
  <w:num w:numId="3" w16cid:durableId="9928769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EA5"/>
    <w:rsid w:val="00020534"/>
    <w:rsid w:val="00067DCC"/>
    <w:rsid w:val="000A35B6"/>
    <w:rsid w:val="000C0562"/>
    <w:rsid w:val="000C2147"/>
    <w:rsid w:val="00120FB7"/>
    <w:rsid w:val="001574AE"/>
    <w:rsid w:val="00163367"/>
    <w:rsid w:val="0017205A"/>
    <w:rsid w:val="001732EB"/>
    <w:rsid w:val="001879DA"/>
    <w:rsid w:val="001A2107"/>
    <w:rsid w:val="001A5EE9"/>
    <w:rsid w:val="001C40B7"/>
    <w:rsid w:val="001D50C5"/>
    <w:rsid w:val="001E3467"/>
    <w:rsid w:val="001E40AD"/>
    <w:rsid w:val="001E4628"/>
    <w:rsid w:val="001F1376"/>
    <w:rsid w:val="001F505A"/>
    <w:rsid w:val="002156A3"/>
    <w:rsid w:val="002453A3"/>
    <w:rsid w:val="00247784"/>
    <w:rsid w:val="00247CAC"/>
    <w:rsid w:val="002500BB"/>
    <w:rsid w:val="002622FB"/>
    <w:rsid w:val="00280276"/>
    <w:rsid w:val="00280435"/>
    <w:rsid w:val="00285C75"/>
    <w:rsid w:val="002A3F4A"/>
    <w:rsid w:val="002A63C6"/>
    <w:rsid w:val="002B33AA"/>
    <w:rsid w:val="002D73CF"/>
    <w:rsid w:val="00326F08"/>
    <w:rsid w:val="0034791A"/>
    <w:rsid w:val="003604AB"/>
    <w:rsid w:val="0036198C"/>
    <w:rsid w:val="00377676"/>
    <w:rsid w:val="003805B8"/>
    <w:rsid w:val="003B1A38"/>
    <w:rsid w:val="003B1B23"/>
    <w:rsid w:val="003B6477"/>
    <w:rsid w:val="003C2622"/>
    <w:rsid w:val="003D1CDD"/>
    <w:rsid w:val="003F74DF"/>
    <w:rsid w:val="00433C72"/>
    <w:rsid w:val="00446F9A"/>
    <w:rsid w:val="004533B9"/>
    <w:rsid w:val="00454A1D"/>
    <w:rsid w:val="00454CB1"/>
    <w:rsid w:val="00456E4B"/>
    <w:rsid w:val="004853D3"/>
    <w:rsid w:val="004C0420"/>
    <w:rsid w:val="004C4AC3"/>
    <w:rsid w:val="004E0038"/>
    <w:rsid w:val="004F0F95"/>
    <w:rsid w:val="005019AF"/>
    <w:rsid w:val="00514C55"/>
    <w:rsid w:val="005210F0"/>
    <w:rsid w:val="005367BF"/>
    <w:rsid w:val="00581CDA"/>
    <w:rsid w:val="00595C88"/>
    <w:rsid w:val="005A524A"/>
    <w:rsid w:val="005B1B4D"/>
    <w:rsid w:val="005B6898"/>
    <w:rsid w:val="006201A5"/>
    <w:rsid w:val="006249E5"/>
    <w:rsid w:val="00646234"/>
    <w:rsid w:val="00684389"/>
    <w:rsid w:val="006C3BD3"/>
    <w:rsid w:val="00707691"/>
    <w:rsid w:val="007318F0"/>
    <w:rsid w:val="00746247"/>
    <w:rsid w:val="00750696"/>
    <w:rsid w:val="00757528"/>
    <w:rsid w:val="0078194C"/>
    <w:rsid w:val="007961E4"/>
    <w:rsid w:val="007E1ABA"/>
    <w:rsid w:val="007F0A3A"/>
    <w:rsid w:val="007F2EA5"/>
    <w:rsid w:val="0081405B"/>
    <w:rsid w:val="008204A0"/>
    <w:rsid w:val="00853BEF"/>
    <w:rsid w:val="00862EFF"/>
    <w:rsid w:val="008757DB"/>
    <w:rsid w:val="00894A89"/>
    <w:rsid w:val="008B36EF"/>
    <w:rsid w:val="008B6532"/>
    <w:rsid w:val="008C1BC8"/>
    <w:rsid w:val="00921543"/>
    <w:rsid w:val="00944937"/>
    <w:rsid w:val="00963696"/>
    <w:rsid w:val="00970E55"/>
    <w:rsid w:val="009A1CFF"/>
    <w:rsid w:val="009B6172"/>
    <w:rsid w:val="009D5168"/>
    <w:rsid w:val="009E034D"/>
    <w:rsid w:val="009E700D"/>
    <w:rsid w:val="00A11C0F"/>
    <w:rsid w:val="00A1742E"/>
    <w:rsid w:val="00A431AC"/>
    <w:rsid w:val="00A47B99"/>
    <w:rsid w:val="00A501D4"/>
    <w:rsid w:val="00A75197"/>
    <w:rsid w:val="00A96C55"/>
    <w:rsid w:val="00AC2930"/>
    <w:rsid w:val="00AC516E"/>
    <w:rsid w:val="00AD33E8"/>
    <w:rsid w:val="00AD6851"/>
    <w:rsid w:val="00AE04AE"/>
    <w:rsid w:val="00B035B6"/>
    <w:rsid w:val="00B11EA9"/>
    <w:rsid w:val="00B164DF"/>
    <w:rsid w:val="00B20CBE"/>
    <w:rsid w:val="00B20DA2"/>
    <w:rsid w:val="00B21F47"/>
    <w:rsid w:val="00B2260D"/>
    <w:rsid w:val="00B36A5F"/>
    <w:rsid w:val="00B463FA"/>
    <w:rsid w:val="00B91DFA"/>
    <w:rsid w:val="00BC424A"/>
    <w:rsid w:val="00C05B2B"/>
    <w:rsid w:val="00C15956"/>
    <w:rsid w:val="00C2098C"/>
    <w:rsid w:val="00C2156B"/>
    <w:rsid w:val="00C25247"/>
    <w:rsid w:val="00C415BC"/>
    <w:rsid w:val="00C6073A"/>
    <w:rsid w:val="00C717CE"/>
    <w:rsid w:val="00C80EA5"/>
    <w:rsid w:val="00C826E7"/>
    <w:rsid w:val="00C83BB5"/>
    <w:rsid w:val="00C91809"/>
    <w:rsid w:val="00CA160A"/>
    <w:rsid w:val="00CA4188"/>
    <w:rsid w:val="00CB2F29"/>
    <w:rsid w:val="00CD5D90"/>
    <w:rsid w:val="00D2052D"/>
    <w:rsid w:val="00D27077"/>
    <w:rsid w:val="00D27A4F"/>
    <w:rsid w:val="00D40CCF"/>
    <w:rsid w:val="00D44390"/>
    <w:rsid w:val="00D76AE7"/>
    <w:rsid w:val="00D97017"/>
    <w:rsid w:val="00DB33FC"/>
    <w:rsid w:val="00DB641D"/>
    <w:rsid w:val="00DC0773"/>
    <w:rsid w:val="00DE35A7"/>
    <w:rsid w:val="00DF7AC0"/>
    <w:rsid w:val="00E034AF"/>
    <w:rsid w:val="00E4778F"/>
    <w:rsid w:val="00E50D1F"/>
    <w:rsid w:val="00E60ED2"/>
    <w:rsid w:val="00E7092D"/>
    <w:rsid w:val="00E87309"/>
    <w:rsid w:val="00EA0CED"/>
    <w:rsid w:val="00EB00CF"/>
    <w:rsid w:val="00EB571B"/>
    <w:rsid w:val="00EB7025"/>
    <w:rsid w:val="00EC7876"/>
    <w:rsid w:val="00EE56CC"/>
    <w:rsid w:val="00EF06CD"/>
    <w:rsid w:val="00EF168D"/>
    <w:rsid w:val="00EF6B6F"/>
    <w:rsid w:val="00F27FDE"/>
    <w:rsid w:val="00F43BF8"/>
    <w:rsid w:val="00F77FAF"/>
    <w:rsid w:val="00F87218"/>
    <w:rsid w:val="00FD6510"/>
    <w:rsid w:val="00FE1EF1"/>
    <w:rsid w:val="00FE2D25"/>
    <w:rsid w:val="00FE6FEF"/>
    <w:rsid w:val="00FF194D"/>
    <w:rsid w:val="00FF1E37"/>
    <w:rsid w:val="00FF64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84960"/>
  <w15:chartTrackingRefBased/>
  <w15:docId w15:val="{484E741B-C912-FD41-97ED-DD94802BE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367"/>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3367"/>
    <w:pPr>
      <w:ind w:left="720"/>
      <w:contextualSpacing/>
    </w:pPr>
  </w:style>
  <w:style w:type="character" w:styleId="CommentReference">
    <w:name w:val="annotation reference"/>
    <w:basedOn w:val="DefaultParagraphFont"/>
    <w:uiPriority w:val="99"/>
    <w:semiHidden/>
    <w:unhideWhenUsed/>
    <w:rsid w:val="00163367"/>
    <w:rPr>
      <w:sz w:val="16"/>
      <w:szCs w:val="16"/>
    </w:rPr>
  </w:style>
  <w:style w:type="paragraph" w:styleId="BalloonText">
    <w:name w:val="Balloon Text"/>
    <w:basedOn w:val="Normal"/>
    <w:link w:val="BalloonTextChar"/>
    <w:uiPriority w:val="99"/>
    <w:semiHidden/>
    <w:unhideWhenUsed/>
    <w:rsid w:val="0016336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63367"/>
    <w:rPr>
      <w:rFonts w:ascii="Times New Roman" w:eastAsiaTheme="minorHAnsi" w:hAnsi="Times New Roman" w:cs="Times New Roman"/>
      <w:sz w:val="18"/>
      <w:szCs w:val="18"/>
      <w:lang w:eastAsia="en-US"/>
    </w:rPr>
  </w:style>
  <w:style w:type="paragraph" w:customStyle="1" w:styleId="Paragraph">
    <w:name w:val="Paragraph"/>
    <w:basedOn w:val="Normal"/>
    <w:link w:val="ParagraphChar"/>
    <w:rsid w:val="00A75197"/>
    <w:pPr>
      <w:spacing w:before="120"/>
      <w:ind w:firstLine="720"/>
    </w:pPr>
    <w:rPr>
      <w:rFonts w:ascii="Times New Roman" w:eastAsia="Times New Roman" w:hAnsi="Times New Roman" w:cs="Times New Roman"/>
    </w:rPr>
  </w:style>
  <w:style w:type="character" w:customStyle="1" w:styleId="ParagraphChar">
    <w:name w:val="Paragraph Char"/>
    <w:basedOn w:val="DefaultParagraphFont"/>
    <w:link w:val="Paragraph"/>
    <w:rsid w:val="00A75197"/>
    <w:rPr>
      <w:rFonts w:ascii="Times New Roman" w:eastAsia="Times New Roman" w:hAnsi="Times New Roman" w:cs="Times New Roman"/>
      <w:lang w:eastAsia="en-US"/>
    </w:rPr>
  </w:style>
  <w:style w:type="paragraph" w:styleId="Revision">
    <w:name w:val="Revision"/>
    <w:hidden/>
    <w:uiPriority w:val="99"/>
    <w:semiHidden/>
    <w:rsid w:val="00B2260D"/>
    <w:rPr>
      <w:rFonts w:eastAsiaTheme="minorHAnsi"/>
      <w:lang w:eastAsia="en-US"/>
    </w:rPr>
  </w:style>
  <w:style w:type="paragraph" w:styleId="CommentText">
    <w:name w:val="annotation text"/>
    <w:basedOn w:val="Normal"/>
    <w:link w:val="CommentTextChar"/>
    <w:uiPriority w:val="99"/>
    <w:semiHidden/>
    <w:unhideWhenUsed/>
    <w:rsid w:val="00F27FDE"/>
    <w:rPr>
      <w:sz w:val="20"/>
      <w:szCs w:val="20"/>
    </w:rPr>
  </w:style>
  <w:style w:type="character" w:customStyle="1" w:styleId="CommentTextChar">
    <w:name w:val="Comment Text Char"/>
    <w:basedOn w:val="DefaultParagraphFont"/>
    <w:link w:val="CommentText"/>
    <w:uiPriority w:val="99"/>
    <w:semiHidden/>
    <w:rsid w:val="00F27FDE"/>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F27FDE"/>
    <w:rPr>
      <w:b/>
      <w:bCs/>
    </w:rPr>
  </w:style>
  <w:style w:type="character" w:customStyle="1" w:styleId="CommentSubjectChar">
    <w:name w:val="Comment Subject Char"/>
    <w:basedOn w:val="CommentTextChar"/>
    <w:link w:val="CommentSubject"/>
    <w:uiPriority w:val="99"/>
    <w:semiHidden/>
    <w:rsid w:val="00F27FDE"/>
    <w:rPr>
      <w:rFonts w:eastAsiaTheme="minorHAnsi"/>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1828</Words>
  <Characters>10422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Xu</dc:creator>
  <cp:keywords/>
  <dc:description/>
  <cp:lastModifiedBy>Xu, Jason</cp:lastModifiedBy>
  <cp:revision>2</cp:revision>
  <dcterms:created xsi:type="dcterms:W3CDTF">2023-10-12T03:04:00Z</dcterms:created>
  <dcterms:modified xsi:type="dcterms:W3CDTF">2023-10-12T03:04:00Z</dcterms:modified>
</cp:coreProperties>
</file>