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9CA40" w14:textId="77777777" w:rsidR="00F166D7" w:rsidRPr="00DF1C31" w:rsidRDefault="00F166D7" w:rsidP="00F166D7">
      <w:pPr>
        <w:pStyle w:val="Paragraph"/>
        <w:suppressLineNumbers/>
        <w:spacing w:before="0"/>
        <w:ind w:firstLine="0"/>
        <w:rPr>
          <w:b/>
          <w:color w:val="000000" w:themeColor="text1"/>
          <w:sz w:val="32"/>
          <w:szCs w:val="32"/>
        </w:rPr>
      </w:pPr>
      <w:r w:rsidRPr="00DF1C31">
        <w:rPr>
          <w:b/>
          <w:color w:val="000000" w:themeColor="text1"/>
          <w:sz w:val="32"/>
          <w:szCs w:val="32"/>
        </w:rPr>
        <w:t>Extended Data Figures and Tables</w:t>
      </w:r>
    </w:p>
    <w:p w14:paraId="7250AE26" w14:textId="77777777" w:rsidR="00F166D7" w:rsidRPr="00DF1C31" w:rsidRDefault="00F166D7" w:rsidP="00F166D7">
      <w:pPr>
        <w:pStyle w:val="Paragraph"/>
        <w:suppressLineNumbers/>
        <w:spacing w:before="0"/>
        <w:ind w:firstLine="0"/>
        <w:jc w:val="center"/>
        <w:rPr>
          <w:b/>
          <w:color w:val="000000" w:themeColor="text1"/>
          <w:sz w:val="32"/>
          <w:szCs w:val="32"/>
        </w:rPr>
      </w:pPr>
      <w:r w:rsidRPr="00DF1C31">
        <w:rPr>
          <w:noProof/>
          <w:color w:val="000000" w:themeColor="text1"/>
        </w:rPr>
        <w:drawing>
          <wp:inline distT="0" distB="0" distL="0" distR="0" wp14:anchorId="110B98F0" wp14:editId="04F6E178">
            <wp:extent cx="4854223" cy="6459332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3405" cy="649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5CACA" w14:textId="77777777" w:rsidR="00F166D7" w:rsidRPr="00DF1C31" w:rsidRDefault="00F166D7" w:rsidP="00F166D7">
      <w:pPr>
        <w:pStyle w:val="Paragraph"/>
        <w:suppressLineNumbers/>
        <w:spacing w:before="0"/>
        <w:ind w:firstLine="0"/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>Extended Data Fig. 1</w:t>
      </w:r>
      <w:r w:rsidRPr="00DF1C31">
        <w:rPr>
          <w:rFonts w:ascii="Times" w:hAnsi="Times"/>
          <w:bCs/>
          <w:color w:val="000000" w:themeColor="text1"/>
          <w:sz w:val="20"/>
          <w:szCs w:val="20"/>
        </w:rPr>
        <w:t xml:space="preserve"> |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 xml:space="preserve"> Healthy reference maps of pediatric hematopoiesis.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a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sample composition of scRNA-seq and snATAC-seq reference maps.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b-c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UMAP representation of developmental reference trajectories, based on scRNA (b) and scATAC (c) data. Key stages of T-cell development implicated in T-ALL and low-frequency thymic populations are labeled.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d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cell-type composition of scRNA-seq and snATAC-seq reference maps.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e-f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UMAP representation of developmental reference trajectories. 26 distinct cell populations defined by clustering and marker gene expression are labeled.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g,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Stem, T, and S-Phase marker gene expression (scRNA, log-normalized counts) within developing T-cell populations.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h,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Stem, T-lineage, and effector transcription factor motif accessibility (scATAC, chromVAR-Z) within developing T-cell populations.</w:t>
      </w:r>
    </w:p>
    <w:p w14:paraId="56B158E9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color w:val="000000" w:themeColor="text1"/>
          <w:sz w:val="20"/>
          <w:szCs w:val="20"/>
        </w:rPr>
      </w:pPr>
    </w:p>
    <w:p w14:paraId="6CACBEF4" w14:textId="77777777" w:rsidR="00F166D7" w:rsidRPr="00DF1C31" w:rsidRDefault="00F166D7" w:rsidP="00F166D7">
      <w:pPr>
        <w:pStyle w:val="Paragraph"/>
        <w:suppressLineNumbers/>
        <w:spacing w:before="0" w:line="480" w:lineRule="auto"/>
        <w:ind w:firstLine="0"/>
        <w:rPr>
          <w:color w:val="000000" w:themeColor="text1"/>
        </w:rPr>
      </w:pPr>
    </w:p>
    <w:p w14:paraId="3A268E74" w14:textId="77777777" w:rsidR="00F166D7" w:rsidRPr="00DF1C31" w:rsidRDefault="00F166D7" w:rsidP="00F166D7">
      <w:pPr>
        <w:suppressLineNumbers/>
        <w:pBdr>
          <w:bottom w:val="single" w:sz="6" w:space="1" w:color="auto"/>
        </w:pBdr>
        <w:jc w:val="center"/>
        <w:rPr>
          <w:rFonts w:ascii="Times" w:hAnsi="Times"/>
          <w:b/>
          <w:bCs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bCs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0E346781" wp14:editId="0B73681A">
            <wp:extent cx="5362113" cy="5182803"/>
            <wp:effectExtent l="0" t="0" r="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5949" cy="51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3BCB2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>Extended Data Fig. 2</w:t>
      </w:r>
      <w:r w:rsidRPr="00DF1C31">
        <w:rPr>
          <w:rFonts w:ascii="Times" w:hAnsi="Times"/>
          <w:bCs/>
          <w:color w:val="000000" w:themeColor="text1"/>
          <w:sz w:val="20"/>
          <w:szCs w:val="20"/>
        </w:rPr>
        <w:t xml:space="preserve"> |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TCF7/LEF1 activation underlies CD5 expression in Near-ETP T-ALL and contributes to positive outcome in ETP-ALL Patients.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a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Overall survival of ETP, Near-ETP and Non-ETP patients from Children’s Oncology Group AALL0434 cohort (n=1411).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b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Intersection of differentially expressed transcription factors and differentially accessible motifs.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c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Expression of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TCF7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and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LEF1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and accessibility of TCF7 and LEF1 motifs in healthy T-cell development.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d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Subset of transcriptional regulatory network constructed using integrated scRNA and scATAC data from ETP-ALL patients. Transcription factors are represented as squares, gene targets as ovals. Color is proportional to expression fold change in comparison to Near-ETP and Non-ETP blasts: blue is downregulated, red upregulated. Edges with &gt; 100 edge score are shown, with edge score representing the sum of -log(p-value) of all predicted EP interactions. Predicted regulators of </w:t>
      </w:r>
      <w:r w:rsidRPr="00DF1C31">
        <w:rPr>
          <w:rFonts w:ascii="Times" w:hAnsi="Times"/>
          <w:i/>
          <w:color w:val="000000" w:themeColor="text1"/>
          <w:sz w:val="20"/>
          <w:szCs w:val="20"/>
        </w:rPr>
        <w:t>TCF7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and </w:t>
      </w:r>
      <w:r w:rsidRPr="00DF1C31">
        <w:rPr>
          <w:rFonts w:ascii="Times" w:hAnsi="Times"/>
          <w:i/>
          <w:color w:val="000000" w:themeColor="text1"/>
          <w:sz w:val="20"/>
          <w:szCs w:val="20"/>
        </w:rPr>
        <w:t>LEF1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are highlighted.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e,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Subset of transcriptional regulatory network constructed using integrated scRNA and scATAC data from Near-ETP-ALL patients. Transcription factors are represented as squares, gene targets as ovals. Color is proportional to expression fold change in comparison to ETP blasts: blue is downregulated, red upregulated. Edges contacting </w:t>
      </w:r>
      <w:r w:rsidRPr="00DF1C31">
        <w:rPr>
          <w:rFonts w:ascii="Times" w:hAnsi="Times"/>
          <w:i/>
          <w:color w:val="000000" w:themeColor="text1"/>
          <w:sz w:val="20"/>
          <w:szCs w:val="20"/>
        </w:rPr>
        <w:t>TCF7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and </w:t>
      </w:r>
      <w:r w:rsidRPr="00DF1C31">
        <w:rPr>
          <w:rFonts w:ascii="Times" w:hAnsi="Times"/>
          <w:i/>
          <w:color w:val="000000" w:themeColor="text1"/>
          <w:sz w:val="20"/>
          <w:szCs w:val="20"/>
        </w:rPr>
        <w:t>LEF1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with regression coefficient &gt; 0.3 are shown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e,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Signature score of top 28 target genes of the TCF7/LEF1 regulon and top 11 predicted TF regulators of TCF7/LEF1/CD5 in bulk-sequenced ETP and Near-ETP T-ALL patients from COG AALL0434 trial.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g-i,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Kaplan-Meier plot showing overall survival of bulk-RNA-sequenced ETP-ALL and Near-ETP patients in AALL0434 binarized using the TCF7-LEF1 targets and activator signature. Prognostic value of the TCF7/LEF1 signature in multivariate analysis (w/ Day 29 MRD and CNS status) is shown below the Cox-proportional hazard log-likelihood p-value.</w:t>
      </w:r>
    </w:p>
    <w:p w14:paraId="7FDB0095" w14:textId="77777777" w:rsidR="00F166D7" w:rsidRPr="00DF1C31" w:rsidRDefault="00F166D7" w:rsidP="00F166D7">
      <w:pPr>
        <w:pStyle w:val="Paragraph"/>
        <w:suppressLineNumbers/>
        <w:spacing w:before="0" w:line="480" w:lineRule="auto"/>
        <w:ind w:firstLine="0"/>
        <w:rPr>
          <w:color w:val="000000" w:themeColor="text1"/>
        </w:rPr>
      </w:pPr>
    </w:p>
    <w:p w14:paraId="0FB24127" w14:textId="77777777" w:rsidR="00F166D7" w:rsidRPr="00DF1C31" w:rsidRDefault="00F166D7" w:rsidP="00F166D7">
      <w:pPr>
        <w:suppressLineNumbers/>
        <w:jc w:val="center"/>
        <w:rPr>
          <w:b/>
          <w:bCs/>
          <w:color w:val="000000" w:themeColor="text1"/>
        </w:rPr>
      </w:pPr>
      <w:r w:rsidRPr="00DF1C31"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656D75AD" wp14:editId="33484B96">
            <wp:extent cx="5095386" cy="5690937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5386" cy="5690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A33BC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Extended Data Fig. 3 | Non-Malignant counterparts to BMP-like blasts and associated resistance to frontline ALL therapy.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a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Healthy reference trajectory with BMP-like ETP and T-specifying ETP highlighted. Thymus, bone marrow, and subset of BM progenitors (HSPC/LMPP) are colored in different shades of gray.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b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average Z score of BMP-like and T-specified-like gene signatures derived from non-responding and responding ETP-ALL patients were computed for BMP-like ETP, T-specifying ETP, and Pro-T cells.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c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Expression of BMP-like and T-specified TFs and marker genes across multipotent BM progenitors, BMP-like ETP, T-specifying ETP, and Pro-T cells.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HOXA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cluster denotes sum of expression across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HOXA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cluster genes and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MEIS1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the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HOX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co-factor.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 xml:space="preserve">d,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expression of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NR3C1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during thymic entry, T-specification, and T-commitment. P-value was calculated based on Mann Whitney test on log normalized data. *** &lt; .001.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 xml:space="preserve">e,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Expression of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NR3C1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in BMP-like ETP blasts from non-responding patients and T-specified ETP blasts from responding patients. P-value was calculated based on Mann Whitney test on log normalized data.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 xml:space="preserve">f,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Response of Three High BMP, and One MRD Negative ETP patient to prednisolone. Three high MRD patients both had &gt; 30% BMP-like blast; MRD Negative patient and Non-ETP Patients had &gt; 50% T-specified blast.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g,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AUCell signature score for 48 LSC-related genes (Ng et.al. Nature 2016) in T-specified and BMP-like ETP blasts.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h</w:t>
      </w:r>
      <w:r w:rsidRPr="00DF1C31">
        <w:rPr>
          <w:rFonts w:ascii="Times" w:hAnsi="Times"/>
          <w:color w:val="000000" w:themeColor="text1"/>
          <w:sz w:val="20"/>
          <w:szCs w:val="20"/>
        </w:rPr>
        <w:t>, response of Three High BMP-like and One MRD Negative ETP patient. Three high MRD patients all had &gt; 30% BMP-like blasts; MRD Negative patient had &gt; 50% T-specified blasts.</w:t>
      </w:r>
    </w:p>
    <w:p w14:paraId="1F1F807A" w14:textId="77777777" w:rsidR="00F166D7" w:rsidRPr="00DF1C31" w:rsidRDefault="00F166D7" w:rsidP="00F166D7">
      <w:pPr>
        <w:suppressLineNumbers/>
        <w:jc w:val="center"/>
        <w:rPr>
          <w:color w:val="000000" w:themeColor="text1"/>
        </w:rPr>
      </w:pPr>
      <w:r w:rsidRPr="00DF1C31">
        <w:rPr>
          <w:noProof/>
          <w:color w:val="000000" w:themeColor="text1"/>
        </w:rPr>
        <w:lastRenderedPageBreak/>
        <w:drawing>
          <wp:inline distT="0" distB="0" distL="0" distR="0" wp14:anchorId="778875E2" wp14:editId="491F4860">
            <wp:extent cx="5042535" cy="4061011"/>
            <wp:effectExtent l="0" t="0" r="0" b="3175"/>
            <wp:docPr id="19" name="Picture 1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Diagram&#10;&#10;Description automatically generated"/>
                    <pic:cNvPicPr/>
                  </pic:nvPicPr>
                  <pic:blipFill rotWithShape="1">
                    <a:blip r:embed="rId7"/>
                    <a:srcRect b="38510"/>
                    <a:stretch/>
                  </pic:blipFill>
                  <pic:spPr bwMode="auto">
                    <a:xfrm>
                      <a:off x="0" y="0"/>
                      <a:ext cx="5065725" cy="4079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907F3F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Extended Data Fig. 4 | Prognostic value of mutations associated with T-specified and BMP-like states. a,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recurrently mutated genes associated with BMP-like and T-specified cell states. Top recurrently mutated genes are highlighted.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 xml:space="preserve">b-e, </w:t>
      </w:r>
      <w:r w:rsidRPr="00DF1C31">
        <w:rPr>
          <w:rFonts w:ascii="Times" w:hAnsi="Times"/>
          <w:color w:val="000000" w:themeColor="text1"/>
          <w:sz w:val="20"/>
          <w:szCs w:val="20"/>
        </w:rPr>
        <w:t>Overall survival and single cell-signature scores among 110 bulk-sequenced ETP-ALL patients grouped by mutation status within BMP-like (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ETV6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NRAS, HLA-C, SAT1B)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and T-specified (</w:t>
      </w:r>
      <w:r w:rsidRPr="00DF1C31">
        <w:rPr>
          <w:rFonts w:ascii="Times" w:hAnsi="Times"/>
          <w:i/>
          <w:iCs/>
          <w:color w:val="000000" w:themeColor="text1"/>
          <w:sz w:val="20"/>
          <w:szCs w:val="20"/>
        </w:rPr>
        <w:t>NOTCH1, IL7R, RUNX1, SUZ12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) associated genes (**, p&lt;0.01, *** p&lt;1e-5). The p-value for Log-likelihood statistic of Cox-proportional hazard test run with Day 29 MRD as a co-variate is shown in the bottom left of Kaplan-Meier curves. </w:t>
      </w:r>
    </w:p>
    <w:p w14:paraId="406E4CD5" w14:textId="77777777" w:rsidR="00F166D7" w:rsidRPr="00DF1C31" w:rsidRDefault="00F166D7" w:rsidP="00F166D7">
      <w:pPr>
        <w:rPr>
          <w:rFonts w:ascii="Times New Roman" w:hAnsi="Times New Roman" w:cs="Times New Roman"/>
          <w:color w:val="000000" w:themeColor="text1"/>
        </w:rPr>
      </w:pPr>
      <w:r w:rsidRPr="00DF1C31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0286CA8" wp14:editId="39DD4472">
            <wp:extent cx="5943600" cy="4555490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66304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1C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Extended Data Fig. 5 | Sub-clonal </w:t>
      </w:r>
      <w:r w:rsidRPr="00DF1C31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 xml:space="preserve">NOTCH1 </w:t>
      </w:r>
      <w:r w:rsidRPr="00DF1C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mutations additively contribute to differentiation towards the T-specified state. </w:t>
      </w:r>
      <w:r w:rsidRPr="00DF1C3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a,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identification of </w:t>
      </w:r>
      <w:r w:rsidRPr="00DF1C31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subclonal </w:t>
      </w:r>
      <w:r w:rsidRPr="00DF1C3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N</w:t>
      </w:r>
      <w:r w:rsidRPr="00DF1C31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OTCH1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mutations in MRD negative patients with BMP-like associated fusion drivers. </w:t>
      </w:r>
      <w:r w:rsidRPr="00DF1C3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b, 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Summed VAF of </w:t>
      </w:r>
      <w:r w:rsidRPr="00DF1C31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NOTCH1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mutations in AALL0434 ETP patients with 0 (WT), 1, and 2+ </w:t>
      </w:r>
      <w:r w:rsidRPr="00DF1C31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NOTCH1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mutations. P-values from two-sided Mann-Whitney test are indicated (***, p&lt;1e-5). Single-cell profiled samples with multiple </w:t>
      </w:r>
      <w:r w:rsidRPr="00DF1C31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NOTCH1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mutations are highlighted. </w:t>
      </w:r>
      <w:r w:rsidRPr="00DF1C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c, 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experimental workflow for detection of NOTCH1-mut leukemic blasts in scRNA libraries via genotyping of transcriptomes (GoT). </w:t>
      </w:r>
      <w:r w:rsidRPr="00DF1C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d, 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GoT detection of 7/7 mutant transcripts determined from bulk WES/WGS. </w:t>
      </w:r>
      <w:r w:rsidRPr="00DF1C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e, 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fraction of BMP-like and T-specified cells within NOTCH-mut cells </w:t>
      </w:r>
      <w:r w:rsidRPr="00DF1C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f, 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detection of n= 1971 cells harboring 2 unique NOTCH1 mutations within leukemic blasts from PAVLKA and PAWGWD.42 </w:t>
      </w:r>
      <w:r w:rsidRPr="00DF1C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g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association of BMP-like and T-specified signature scores with NOTCH1 mutation dosage in single-cells. Cells are binarized into 0 (WT), 1, and 2 mutations. P-values from two-sided Mann-Whitney test are shown (* &lt; 0.05; ** &lt; 0.01, ***&lt; 0.001). </w:t>
      </w:r>
      <w:r w:rsidRPr="00DF1C3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h,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association of mutant-NOTCH1 transcript expression and BMP-like and T-specified signatures. 7754 genotyped single cells from PAWGWD and PAVLKA are plotted; Pearson correlation coefficient and p-value for Pearson’s product-moment are indicated in the top right.</w:t>
      </w:r>
    </w:p>
    <w:p w14:paraId="58916FE9" w14:textId="77777777" w:rsidR="00F166D7" w:rsidRPr="00DF1C31" w:rsidRDefault="00F166D7" w:rsidP="00F166D7">
      <w:pPr>
        <w:suppressLineNumbers/>
        <w:rPr>
          <w:color w:val="000000" w:themeColor="text1"/>
        </w:rPr>
      </w:pPr>
      <w:r w:rsidRPr="00DF1C31">
        <w:rPr>
          <w:rFonts w:ascii="Times" w:hAnsi="Times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89793F7" wp14:editId="6A1460AA">
            <wp:extent cx="5943600" cy="4521200"/>
            <wp:effectExtent l="0" t="0" r="0" b="0"/>
            <wp:docPr id="34" name="Picture 34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logo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F2738" w14:textId="77777777" w:rsidR="00F166D7" w:rsidRPr="00DF1C31" w:rsidRDefault="00F166D7" w:rsidP="00F166D7">
      <w:pPr>
        <w:rPr>
          <w:rFonts w:ascii="Times" w:hAnsi="Times"/>
          <w:color w:val="000000" w:themeColor="text1"/>
          <w:sz w:val="20"/>
          <w:szCs w:val="20"/>
        </w:rPr>
      </w:pPr>
    </w:p>
    <w:p w14:paraId="4F10668F" w14:textId="77777777" w:rsidR="00F166D7" w:rsidRPr="00DF1C31" w:rsidRDefault="00F166D7" w:rsidP="00F166D7">
      <w:pPr>
        <w:pBdr>
          <w:bottom w:val="single" w:sz="6" w:space="1" w:color="auto"/>
        </w:pBdr>
        <w:rPr>
          <w:rFonts w:ascii="Times" w:hAnsi="Times"/>
          <w:b/>
          <w:bCs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Extended Data Fig. 6 | Non-T-lineage expression of BMP-17 and BMP-Surface-9 marker genes within healthy hematopoietic development. a,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signature score of BMP-17 signature calculated via AUCell (left) and expression of BMP-17 marker genes (right) within scRNA-seq reference of normal hematopoesis.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>b,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Aggregate signature score of BMP-Surface-9 signature (AUC of positive markers – AUC of negative markers) calculated via AUCell.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>c</w:t>
      </w:r>
      <w:r w:rsidRPr="00DF1C31">
        <w:rPr>
          <w:rFonts w:ascii="Times" w:hAnsi="Times"/>
          <w:color w:val="000000" w:themeColor="text1"/>
          <w:sz w:val="20"/>
          <w:szCs w:val="20"/>
        </w:rPr>
        <w:t>, RNA expression of BMP-Surface-9 marker genes within scRNA-seq reference of normal hematopoiesis. Positive marker genes are shown on top row; negative marker genes are shown on the bottom row. AUC of positive and negative surface marker genes within healthy hematopoiesis is shown on the left-most panel.</w:t>
      </w:r>
    </w:p>
    <w:p w14:paraId="433B6646" w14:textId="77777777" w:rsidR="00F166D7" w:rsidRPr="00DF1C31" w:rsidRDefault="00F166D7" w:rsidP="00F166D7">
      <w:pPr>
        <w:rPr>
          <w:rFonts w:ascii="Times" w:hAnsi="Times"/>
          <w:color w:val="000000" w:themeColor="text1"/>
          <w:sz w:val="20"/>
          <w:szCs w:val="20"/>
        </w:rPr>
      </w:pPr>
    </w:p>
    <w:p w14:paraId="58CF5B9A" w14:textId="77777777" w:rsidR="00F166D7" w:rsidRPr="00DF1C31" w:rsidRDefault="00F166D7" w:rsidP="00F166D7">
      <w:pPr>
        <w:suppressLineNumbers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5FA0A6C" w14:textId="77777777" w:rsidR="00F166D7" w:rsidRPr="00DF1C31" w:rsidRDefault="00F166D7" w:rsidP="00F166D7">
      <w:pPr>
        <w:suppressLineNumbers/>
        <w:pBdr>
          <w:bottom w:val="single" w:sz="6" w:space="1" w:color="auto"/>
        </w:pBdr>
        <w:jc w:val="center"/>
        <w:rPr>
          <w:rFonts w:ascii="Times" w:hAnsi="Times"/>
          <w:b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2ACD565D" wp14:editId="22770A40">
            <wp:extent cx="5722706" cy="5922634"/>
            <wp:effectExtent l="0" t="0" r="5080" b="0"/>
            <wp:docPr id="418933801" name="Picture 1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933801" name="Picture 1" descr="A collage of graphs and diagram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0628" cy="5930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EA528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color w:val="000000" w:themeColor="text1"/>
          <w:sz w:val="20"/>
          <w:szCs w:val="20"/>
        </w:rPr>
        <w:t>Extended Data Fig. 7 |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Clinical utility of the BMP-like surface immunophenotype in risk stratifying T-ALL patients. a,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Overlap of ETP BMP-like and Non-ETP BMP-like DE surface markers to create consensus surface marker signature for risk stratification in AALL0434 (fully sequenced) and AALL1231 (partially sequenced). Positive surface markers were filtered for Log2FC &gt; 0.5, adjusted p-value &lt; 0.001. Negative surface markers were filtered for Log2FC &lt; -0.5, adjusted p-value &lt; 0.001.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b-f</w:t>
      </w:r>
      <w:r w:rsidRPr="00DF1C31">
        <w:rPr>
          <w:rFonts w:ascii="Times" w:hAnsi="Times"/>
          <w:color w:val="000000" w:themeColor="text1"/>
          <w:sz w:val="20"/>
          <w:szCs w:val="20"/>
        </w:rPr>
        <w:t>, Kaplan-Meier plot showing overall survival of bulk-RNA-sequenced T-ALL patients in AALL0434 and AALL1231. Patients in each analysis were binarized using RNA-seq derived expression of BMP-surface-8 signature genes. Patients are grouped by subtype, with non-subtyped patients (n=194) grouped with Non-ETP Patients. Prognostic value of the BMP-surface-9 signature in multivariate analysis (with Day 29 MRD and CNS status) is shown below the Cox-proportional hazard log-likelihood p-value.</w:t>
      </w:r>
      <w:r w:rsidRPr="00DF1C3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g, </w:t>
      </w:r>
      <w:r w:rsidRPr="00DF1C31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gating of clinical flow cytometry from 131 AALL0434 patients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analytical plan to test BMP-like detection in Non-ETP cases. </w:t>
      </w:r>
      <w:r w:rsidRPr="00DF1C3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h,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Pearson correlation of % expression of T, Pan, Stem, and Myeloid flow cytometric markers amongst n=99 Non-ETP patients. P-values from correlation test are shown (* &lt; 0.05; ** &lt; 0.01, ***&lt; 0.001). </w:t>
      </w:r>
      <w:r w:rsidRPr="00DF1C3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i, </w:t>
      </w:r>
      <w:r w:rsidRPr="00DF1C31">
        <w:rPr>
          <w:rFonts w:ascii="Times New Roman" w:hAnsi="Times New Roman" w:cs="Times New Roman"/>
          <w:color w:val="000000" w:themeColor="text1"/>
          <w:sz w:val="20"/>
          <w:szCs w:val="20"/>
        </w:rPr>
        <w:t>Average percent expression of Stem/Myeloid (CD117/34/HLA-DR/13/33) and T (CD4/1A/s3/5/8/2) in BMP-high vs BMP-low Non-ETP cases. BMP-high and BMP-low were defined using bulk-RNA-seq and matched with flow cytometric values by USI. P-values from two sided Mann Whitney test are shown (* &lt; 0.05; ** &lt; 0.01, ***&lt; 0.001)</w:t>
      </w:r>
    </w:p>
    <w:p w14:paraId="23C2B3CB" w14:textId="77777777" w:rsidR="00F166D7" w:rsidRPr="00DF1C31" w:rsidRDefault="00F166D7" w:rsidP="00F166D7">
      <w:pPr>
        <w:rPr>
          <w:color w:val="000000" w:themeColor="text1"/>
        </w:rPr>
      </w:pPr>
    </w:p>
    <w:p w14:paraId="7F78386D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4219AAF4" w14:textId="77777777" w:rsidR="00F166D7" w:rsidRPr="00DF1C31" w:rsidRDefault="00F166D7" w:rsidP="00F166D7">
      <w:pPr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noProof/>
          <w:color w:val="000000" w:themeColor="text1"/>
          <w:sz w:val="20"/>
          <w:szCs w:val="20"/>
        </w:rPr>
        <w:drawing>
          <wp:inline distT="0" distB="0" distL="0" distR="0" wp14:anchorId="4BD0F245" wp14:editId="29EB23AC">
            <wp:extent cx="5943600" cy="3691255"/>
            <wp:effectExtent l="0" t="0" r="0" b="4445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02822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b/>
          <w:bCs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color w:val="000000" w:themeColor="text1"/>
          <w:sz w:val="20"/>
          <w:szCs w:val="20"/>
        </w:rPr>
        <w:t>Extended Data Fig. 8 |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Clinical utility of the BMP-like-17 in risk stratifying non-pediatric T-ALL patients. a, </w:t>
      </w:r>
    </w:p>
    <w:p w14:paraId="7FD083DA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color w:val="000000" w:themeColor="text1"/>
          <w:sz w:val="20"/>
          <w:szCs w:val="20"/>
        </w:rPr>
        <w:t xml:space="preserve">Selection of 81 young adult (age at diagnosis &gt;= 18 years) T-ALL cases from bulk-sequenced AALL0434 cohort.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>b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identification of BMP-17-high cluster within AALL0434 young adult cases via Leiden clustering.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c,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Clinical outcome comparison strategy between BMP-17-High and BMP-17-Low cases.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>d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BMP-17 signature score in cluster 0 (BMP-high) vs cluster 1/2 (BMP-low) cases.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e,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enrichment of EOI MRD positive and induction failure cases within BMP-High cases. 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f, </w:t>
      </w:r>
      <w:r w:rsidRPr="00DF1C31">
        <w:rPr>
          <w:rFonts w:ascii="Times" w:hAnsi="Times"/>
          <w:color w:val="000000" w:themeColor="text1"/>
          <w:sz w:val="20"/>
          <w:szCs w:val="20"/>
        </w:rPr>
        <w:t>overall (left) and event free (right) survival outcomes in BMP-High and BMP-Low cases. Cox-proportional hazard log-likelihood p-value is shown in the bottom left.</w:t>
      </w:r>
    </w:p>
    <w:p w14:paraId="7D5F4AC9" w14:textId="77777777" w:rsidR="00F166D7" w:rsidRPr="00DF1C31" w:rsidRDefault="00F166D7" w:rsidP="00F166D7">
      <w:pPr>
        <w:rPr>
          <w:color w:val="000000" w:themeColor="text1"/>
        </w:rPr>
      </w:pPr>
    </w:p>
    <w:p w14:paraId="4BC50651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609030A8" w14:textId="77777777" w:rsidR="00F166D7" w:rsidRPr="00DF1C31" w:rsidRDefault="00F166D7" w:rsidP="00F166D7">
      <w:pPr>
        <w:suppressLineNumbers/>
        <w:rPr>
          <w:b/>
          <w:color w:val="000000" w:themeColor="text1"/>
        </w:rPr>
      </w:pPr>
    </w:p>
    <w:p w14:paraId="16A79811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36818165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214DC288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3F2C8FC8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2B94C439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05388D03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65865872" w14:textId="77777777" w:rsidR="00F166D7" w:rsidRPr="00DF1C31" w:rsidRDefault="00F166D7" w:rsidP="00F166D7">
      <w:pPr>
        <w:rPr>
          <w:rFonts w:ascii="Times" w:hAnsi="Times"/>
          <w:color w:val="000000" w:themeColor="text1"/>
          <w:sz w:val="20"/>
          <w:szCs w:val="20"/>
        </w:rPr>
      </w:pPr>
    </w:p>
    <w:p w14:paraId="6DFBFBA2" w14:textId="77777777" w:rsidR="00F166D7" w:rsidRPr="00DF1C31" w:rsidRDefault="00F166D7" w:rsidP="00F166D7">
      <w:pPr>
        <w:rPr>
          <w:rFonts w:ascii="Times" w:hAnsi="Times"/>
          <w:color w:val="000000" w:themeColor="text1"/>
          <w:sz w:val="20"/>
          <w:szCs w:val="20"/>
        </w:rPr>
      </w:pPr>
    </w:p>
    <w:p w14:paraId="76F1571B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23A79E52" w14:textId="77777777" w:rsidR="00F166D7" w:rsidRPr="00DF1C31" w:rsidRDefault="00F166D7" w:rsidP="00F166D7">
      <w:pPr>
        <w:suppressLineNumbers/>
        <w:rPr>
          <w:color w:val="000000" w:themeColor="text1"/>
        </w:rPr>
      </w:pPr>
    </w:p>
    <w:p w14:paraId="70717ED6" w14:textId="77777777" w:rsidR="00F166D7" w:rsidRPr="00DF1C31" w:rsidRDefault="00F166D7" w:rsidP="00F166D7">
      <w:pPr>
        <w:suppressLineNumbers/>
        <w:rPr>
          <w:color w:val="000000" w:themeColor="text1"/>
        </w:rPr>
      </w:pPr>
      <w:r w:rsidRPr="00DF1C31">
        <w:rPr>
          <w:noProof/>
          <w:color w:val="000000" w:themeColor="text1"/>
        </w:rPr>
        <w:lastRenderedPageBreak/>
        <w:drawing>
          <wp:inline distT="0" distB="0" distL="0" distR="0" wp14:anchorId="3CC458D3" wp14:editId="53905A3D">
            <wp:extent cx="5943600" cy="4530725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BC9C8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Extended Data Fig. 9 | </w:t>
      </w:r>
      <w:r w:rsidRPr="00DF1C31">
        <w:rPr>
          <w:rFonts w:ascii="Times" w:hAnsi="Times"/>
          <w:b/>
          <w:bCs/>
          <w:i/>
          <w:color w:val="000000" w:themeColor="text1"/>
          <w:sz w:val="20"/>
          <w:szCs w:val="20"/>
        </w:rPr>
        <w:t>In-vivo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 drug-response validation within BMP-high and BMP-low PDX models established by expansion of primary T-ALL blasts in NSG mice. a,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Experimental workflow for expansion of primary T-ALL samples in NSG mice and confirmation of leukemic engraftment.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 xml:space="preserve">b,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total engrafted PDX by subtype.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 xml:space="preserve">c,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engraftment potential by T-ALL subtype.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 xml:space="preserve">d-e, </w:t>
      </w:r>
      <w:r w:rsidRPr="00DF1C31">
        <w:rPr>
          <w:rFonts w:ascii="Times" w:hAnsi="Times"/>
          <w:color w:val="000000" w:themeColor="text1"/>
          <w:sz w:val="20"/>
          <w:szCs w:val="20"/>
        </w:rPr>
        <w:t>Engraftment potential of ETP-ALL PDX by MRD status (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d</w:t>
      </w:r>
      <w:r w:rsidRPr="00DF1C31">
        <w:rPr>
          <w:rFonts w:ascii="Times" w:hAnsi="Times"/>
          <w:color w:val="000000" w:themeColor="text1"/>
          <w:sz w:val="20"/>
          <w:szCs w:val="20"/>
        </w:rPr>
        <w:t>) and BMP-like proportion (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e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). To test whether BMP-mid and BMP-high groups have higher engraftment potential, one-sided proportion test was used to compare BMP-mid (0.1-0.5) and BMP-high (&gt;0.5) groups to BMP-low (&lt;0.1) group.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f,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Experimental workflow for </w:t>
      </w:r>
      <w:r w:rsidRPr="00DF1C31">
        <w:rPr>
          <w:rFonts w:ascii="Times" w:hAnsi="Times"/>
          <w:i/>
          <w:color w:val="000000" w:themeColor="text1"/>
          <w:sz w:val="20"/>
          <w:szCs w:val="20"/>
        </w:rPr>
        <w:t>in-vivo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study of venetoclax efficacy in BMP-high (PATTDP) and BMP-low (PAUNDK) PDX models.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g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Bone Marrow (BM, top) and spleen (bottom) leukemic burden in High-BMP (left) and low-BMP (right) PDX models after 1 month of venetoclax or vehicle (ctrl) treatment. P-value from two-sided t-test is shown (*&lt;0.05, **&lt;0.01, ***&lt;0.001).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h</w:t>
      </w:r>
      <w:r w:rsidRPr="00DF1C31">
        <w:rPr>
          <w:rFonts w:ascii="Times" w:hAnsi="Times"/>
          <w:color w:val="000000" w:themeColor="text1"/>
          <w:sz w:val="20"/>
          <w:szCs w:val="20"/>
        </w:rPr>
        <w:t>, aggregate fold-reduction of leukemic burden in BM and spleen with venetoclax treatment in BMP-high and BMP-low PDX models.</w:t>
      </w:r>
    </w:p>
    <w:p w14:paraId="3E18E92E" w14:textId="77777777" w:rsidR="00F166D7" w:rsidRPr="00DF1C31" w:rsidRDefault="00F166D7" w:rsidP="00F166D7">
      <w:pPr>
        <w:suppressLineNumbers/>
        <w:jc w:val="center"/>
        <w:rPr>
          <w:color w:val="000000" w:themeColor="text1"/>
        </w:rPr>
      </w:pPr>
      <w:r w:rsidRPr="00DF1C31">
        <w:rPr>
          <w:noProof/>
          <w:color w:val="000000" w:themeColor="text1"/>
        </w:rPr>
        <w:lastRenderedPageBreak/>
        <w:drawing>
          <wp:inline distT="0" distB="0" distL="0" distR="0" wp14:anchorId="63E2A9DA" wp14:editId="099B0C48">
            <wp:extent cx="4504765" cy="5733950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05225" cy="573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65649" w14:textId="77777777" w:rsidR="00F166D7" w:rsidRPr="00DF1C31" w:rsidRDefault="00F166D7" w:rsidP="00F166D7">
      <w:pPr>
        <w:suppressLineNumbers/>
        <w:pBdr>
          <w:bottom w:val="single" w:sz="6" w:space="1" w:color="auto"/>
        </w:pBdr>
        <w:rPr>
          <w:rFonts w:ascii="Times" w:hAnsi="Times"/>
          <w:color w:val="000000" w:themeColor="text1"/>
          <w:sz w:val="20"/>
          <w:szCs w:val="20"/>
        </w:rPr>
      </w:pP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Extended Data Fig. 10 | Computational and </w:t>
      </w:r>
      <w:r w:rsidRPr="00DF1C31">
        <w:rPr>
          <w:rFonts w:ascii="Times" w:hAnsi="Times"/>
          <w:b/>
          <w:bCs/>
          <w:i/>
          <w:iCs/>
          <w:color w:val="000000" w:themeColor="text1"/>
          <w:sz w:val="20"/>
          <w:szCs w:val="20"/>
        </w:rPr>
        <w:t>in vitro</w:t>
      </w:r>
      <w:r w:rsidRPr="00DF1C31">
        <w:rPr>
          <w:rFonts w:ascii="Times" w:hAnsi="Times"/>
          <w:b/>
          <w:bCs/>
          <w:color w:val="000000" w:themeColor="text1"/>
          <w:sz w:val="20"/>
          <w:szCs w:val="20"/>
        </w:rPr>
        <w:t xml:space="preserve"> drug screening results against BMP-like blasts. a, 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Top predicted drugs from LINCS1000. BMP-like DEGs (High Risk) and T-specified DEGs (Low Risk) were inputted into LINCS1000. Drug treated leukemia cell lines were filtered for statistical significance (FDR &lt; 0.1) and connectivity score (NCS &gt; 0.8). Drugs are ranked by number of leukemia cell lines with favorable transcriptomic shift after treatment (downregulation of BMP-like DEG, upregulation of T-specified DEG). Each drug is colored by the mean -log(FDR).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b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Top leukemia specific targets predicted from DepMap screening. Dependency scores in leukemic and non-leukemic cell lines were calculated for all BMP-like DEGs and ranked by fold change in dependency (mean dependency in leukemia / mean dependency in non-leukemia cell lines). The top druggable (with score 1+ from other drug databases) targets are shown.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c,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Top druggable targets from TTD/DrugIDB drug database screening. Targets are ranked by percentage expression &amp; selected based on Log2FC &gt; 1. An example of drug is listed below the target.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d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Top 10 targets by aggregate database (1-5) and DE (1-3) score.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e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, 9 Drugs active in some 4/4 ETP patients tested with mean IC50. Drugs with marked asterisk had IC50 below lowest tested dose in 1 sample.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f-g,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8 Drugs active in some, but not all ETP patients. S63845, the only drug to have specificity to High MRD patients is indicated with an arrow. </w:t>
      </w:r>
      <w:r w:rsidRPr="00DF1C31">
        <w:rPr>
          <w:rFonts w:ascii="Times" w:hAnsi="Times"/>
          <w:b/>
          <w:color w:val="000000" w:themeColor="text1"/>
          <w:sz w:val="20"/>
          <w:szCs w:val="20"/>
        </w:rPr>
        <w:t>h,</w:t>
      </w:r>
      <w:r w:rsidRPr="00DF1C31">
        <w:rPr>
          <w:rFonts w:ascii="Times" w:hAnsi="Times"/>
          <w:color w:val="000000" w:themeColor="text1"/>
          <w:sz w:val="20"/>
          <w:szCs w:val="20"/>
        </w:rPr>
        <w:t xml:space="preserve"> Response of BMP-high and BMP-low ETP PDX to MC1-inhibitor, S63845. High MRD patients are indicated with the dashed lines.</w:t>
      </w:r>
    </w:p>
    <w:p w14:paraId="5A1920C9" w14:textId="77777777" w:rsidR="00F166D7" w:rsidRPr="00DF1C31" w:rsidRDefault="00F166D7" w:rsidP="00F166D7">
      <w:pPr>
        <w:pStyle w:val="Paragraph"/>
        <w:suppressLineNumbers/>
        <w:spacing w:before="0" w:line="480" w:lineRule="auto"/>
        <w:ind w:firstLine="0"/>
        <w:rPr>
          <w:rFonts w:ascii="Times" w:hAnsi="Times"/>
          <w:color w:val="000000" w:themeColor="text1"/>
          <w:sz w:val="20"/>
          <w:szCs w:val="20"/>
        </w:rPr>
      </w:pPr>
    </w:p>
    <w:p w14:paraId="409873EB" w14:textId="77777777" w:rsidR="00F964D3" w:rsidRDefault="00F964D3"/>
    <w:sectPr w:rsidR="00F96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D7"/>
    <w:rsid w:val="00F166D7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60622"/>
  <w15:chartTrackingRefBased/>
  <w15:docId w15:val="{FE8E2536-89DC-4EAB-AB15-5ECD63099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D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F166D7"/>
    <w:pPr>
      <w:spacing w:before="120"/>
      <w:ind w:firstLine="720"/>
    </w:pPr>
    <w:rPr>
      <w:rFonts w:ascii="Times New Roman" w:eastAsia="Times New Roman" w:hAnsi="Times New Roman" w:cs="Times New Roman"/>
    </w:rPr>
  </w:style>
  <w:style w:type="character" w:customStyle="1" w:styleId="ParagraphChar">
    <w:name w:val="Paragraph Char"/>
    <w:basedOn w:val="DefaultParagraphFont"/>
    <w:link w:val="Paragraph"/>
    <w:rsid w:val="00F166D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1827</Words>
  <Characters>10414</Characters>
  <Application>Microsoft Office Word</Application>
  <DocSecurity>0</DocSecurity>
  <Lines>86</Lines>
  <Paragraphs>24</Paragraphs>
  <ScaleCrop>false</ScaleCrop>
  <Company>Springer Nature</Company>
  <LinksUpToDate>false</LinksUpToDate>
  <CharactersWithSpaces>12217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2023-10-30T06:30:00Z</dcterms:created>
  <dcterms:modified xsi:type="dcterms:W3CDTF">2023-10-30T06:30:00Z</dcterms:modified>
</cp:coreProperties>
</file>