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5C670" w14:textId="2B160B56" w:rsidR="00602AE3" w:rsidRPr="00602AE3" w:rsidRDefault="00F43510" w:rsidP="00602AE3">
      <w:pPr>
        <w:spacing w:after="0" w:line="480" w:lineRule="auto"/>
        <w:ind w:left="357"/>
        <w:jc w:val="both"/>
        <w:rPr>
          <w:rFonts w:ascii="Times New Roman" w:eastAsia="Times New Roman" w:hAnsi="Times New Roman" w:cs="Times New Roman"/>
          <w:b/>
          <w:color w:val="171717"/>
          <w:szCs w:val="20"/>
        </w:rPr>
      </w:pPr>
      <w:r>
        <w:rPr>
          <w:rFonts w:ascii="Times New Roman" w:eastAsia="Times New Roman" w:hAnsi="Times New Roman" w:cs="Times New Roman"/>
          <w:b/>
          <w:color w:val="171717"/>
          <w:szCs w:val="20"/>
        </w:rPr>
        <w:t>Supplementary material</w:t>
      </w:r>
    </w:p>
    <w:p w14:paraId="3DCC39B5" w14:textId="2D1E33CB" w:rsidR="00B113F0" w:rsidRPr="000800F8" w:rsidRDefault="00B113F0" w:rsidP="00602AE3">
      <w:pPr>
        <w:spacing w:after="0" w:line="480" w:lineRule="auto"/>
        <w:ind w:left="357"/>
        <w:jc w:val="both"/>
        <w:rPr>
          <w:rFonts w:ascii="Times New Roman" w:eastAsia="Times New Roman" w:hAnsi="Times New Roman" w:cs="Times New Roman"/>
          <w:b/>
          <w:color w:val="171717"/>
          <w:sz w:val="20"/>
          <w:szCs w:val="20"/>
        </w:rPr>
      </w:pPr>
      <w:r w:rsidRPr="000800F8">
        <w:rPr>
          <w:rFonts w:ascii="Times New Roman" w:eastAsia="Times New Roman" w:hAnsi="Times New Roman" w:cs="Times New Roman"/>
          <w:b/>
          <w:color w:val="171717"/>
          <w:sz w:val="20"/>
          <w:szCs w:val="20"/>
        </w:rPr>
        <w:t>Plant species supplementary information</w:t>
      </w:r>
    </w:p>
    <w:p w14:paraId="5ECEAA52" w14:textId="7904FE85" w:rsidR="00B113F0" w:rsidRDefault="00B113F0" w:rsidP="00B113F0">
      <w:pPr>
        <w:keepNext/>
        <w:spacing w:after="12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Table S1</w:t>
      </w:r>
      <w:r>
        <w:rPr>
          <w:rFonts w:ascii="Times New Roman" w:eastAsia="Times New Roman" w:hAnsi="Times New Roman" w:cs="Times New Roman"/>
          <w:color w:val="44546A"/>
          <w:sz w:val="20"/>
          <w:szCs w:val="20"/>
        </w:rPr>
        <w:t xml:space="preserve">. </w:t>
      </w:r>
      <w:r w:rsidRPr="001F7EEB">
        <w:rPr>
          <w:rFonts w:ascii="Times New Roman" w:eastAsia="Times New Roman" w:hAnsi="Times New Roman" w:cs="Times New Roman"/>
          <w:color w:val="000000"/>
          <w:sz w:val="20"/>
          <w:szCs w:val="20"/>
        </w:rPr>
        <w:t xml:space="preserve">Summary of traits of </w:t>
      </w:r>
      <w:r>
        <w:rPr>
          <w:rFonts w:ascii="Times New Roman" w:eastAsia="Times New Roman" w:hAnsi="Times New Roman" w:cs="Times New Roman"/>
          <w:color w:val="000000"/>
          <w:sz w:val="20"/>
          <w:szCs w:val="20"/>
        </w:rPr>
        <w:t>exotic (bold type) and native seed</w:t>
      </w:r>
      <w:r w:rsidR="00EE75D9">
        <w:rPr>
          <w:rFonts w:ascii="Times New Roman" w:eastAsia="Times New Roman" w:hAnsi="Times New Roman" w:cs="Times New Roman"/>
          <w:color w:val="000000"/>
          <w:sz w:val="20"/>
          <w:szCs w:val="20"/>
        </w:rPr>
        <w:t xml:space="preserve"> species</w:t>
      </w:r>
      <w:r>
        <w:rPr>
          <w:rFonts w:ascii="Times New Roman" w:eastAsia="Times New Roman" w:hAnsi="Times New Roman" w:cs="Times New Roman"/>
          <w:color w:val="000000"/>
          <w:sz w:val="20"/>
          <w:szCs w:val="20"/>
        </w:rPr>
        <w:t xml:space="preserve">. Mean and standard deviation of traits measured in 50 seeds per species. In the case </w:t>
      </w:r>
      <w:r w:rsidR="00EE75D9">
        <w:rPr>
          <w:rFonts w:ascii="Times New Roman" w:eastAsia="Times New Roman" w:hAnsi="Times New Roman" w:cs="Times New Roman"/>
          <w:color w:val="000000"/>
          <w:sz w:val="20"/>
          <w:szCs w:val="20"/>
        </w:rPr>
        <w:t xml:space="preserve">of seed number per fruit, we counted seeds in </w:t>
      </w:r>
      <w:r>
        <w:rPr>
          <w:rFonts w:ascii="Times New Roman" w:eastAsia="Times New Roman" w:hAnsi="Times New Roman" w:cs="Times New Roman"/>
          <w:color w:val="000000"/>
          <w:sz w:val="20"/>
          <w:szCs w:val="20"/>
        </w:rPr>
        <w:t xml:space="preserve">50 fruits per species. </w:t>
      </w:r>
    </w:p>
    <w:tbl>
      <w:tblPr>
        <w:tblStyle w:val="Tablanormal3"/>
        <w:tblW w:w="0" w:type="auto"/>
        <w:tblLook w:val="04A0" w:firstRow="1" w:lastRow="0" w:firstColumn="1" w:lastColumn="0" w:noHBand="0" w:noVBand="1"/>
      </w:tblPr>
      <w:tblGrid>
        <w:gridCol w:w="1247"/>
        <w:gridCol w:w="944"/>
        <w:gridCol w:w="937"/>
        <w:gridCol w:w="944"/>
        <w:gridCol w:w="1042"/>
        <w:gridCol w:w="1024"/>
        <w:gridCol w:w="997"/>
        <w:gridCol w:w="865"/>
      </w:tblGrid>
      <w:tr w:rsidR="00212315" w:rsidRPr="005F5FB7" w14:paraId="461BAB00" w14:textId="77777777" w:rsidTr="00CD538B">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1247" w:type="dxa"/>
            <w:hideMark/>
          </w:tcPr>
          <w:p w14:paraId="521DC6D8" w14:textId="5F2EBB04" w:rsidR="00212315" w:rsidRPr="00CD538B" w:rsidRDefault="00212315" w:rsidP="00212315">
            <w:pPr>
              <w:keepNext/>
              <w:spacing w:after="120"/>
              <w:jc w:val="center"/>
              <w:rPr>
                <w:rFonts w:ascii="Times New Roman" w:eastAsia="Times New Roman" w:hAnsi="Times New Roman" w:cs="Times New Roman"/>
                <w:sz w:val="18"/>
                <w:szCs w:val="18"/>
                <w:lang w:val="es-AR"/>
              </w:rPr>
            </w:pPr>
            <w:r w:rsidRPr="00CD538B">
              <w:rPr>
                <w:rFonts w:ascii="Times New Roman" w:eastAsia="Times New Roman" w:hAnsi="Times New Roman" w:cs="Times New Roman"/>
                <w:caps w:val="0"/>
                <w:sz w:val="18"/>
                <w:szCs w:val="18"/>
              </w:rPr>
              <w:t>Species</w:t>
            </w:r>
          </w:p>
        </w:tc>
        <w:tc>
          <w:tcPr>
            <w:tcW w:w="933" w:type="dxa"/>
            <w:hideMark/>
          </w:tcPr>
          <w:p w14:paraId="5B6237C4" w14:textId="30BB12AD" w:rsidR="00212315" w:rsidRPr="00CD538B" w:rsidRDefault="00212315" w:rsidP="00212315">
            <w:pPr>
              <w:keepNext/>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CD538B">
              <w:rPr>
                <w:rFonts w:ascii="Times New Roman" w:eastAsia="Times New Roman" w:hAnsi="Times New Roman" w:cs="Times New Roman"/>
                <w:caps w:val="0"/>
                <w:sz w:val="18"/>
                <w:szCs w:val="18"/>
              </w:rPr>
              <w:t>Width (mm)</w:t>
            </w:r>
          </w:p>
        </w:tc>
        <w:tc>
          <w:tcPr>
            <w:tcW w:w="937" w:type="dxa"/>
            <w:noWrap/>
            <w:hideMark/>
          </w:tcPr>
          <w:p w14:paraId="6202383D" w14:textId="03FDA1F2" w:rsidR="00212315" w:rsidRPr="00CD538B" w:rsidRDefault="00212315" w:rsidP="00212315">
            <w:pPr>
              <w:keepNext/>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CD538B">
              <w:rPr>
                <w:rFonts w:ascii="Times New Roman" w:eastAsia="Times New Roman" w:hAnsi="Times New Roman" w:cs="Times New Roman"/>
                <w:caps w:val="0"/>
                <w:sz w:val="18"/>
                <w:szCs w:val="18"/>
              </w:rPr>
              <w:t>Length (mm)</w:t>
            </w:r>
          </w:p>
        </w:tc>
        <w:tc>
          <w:tcPr>
            <w:tcW w:w="933" w:type="dxa"/>
            <w:noWrap/>
            <w:hideMark/>
          </w:tcPr>
          <w:p w14:paraId="0A34546E" w14:textId="40A9FC59" w:rsidR="00212315" w:rsidRPr="00CD538B" w:rsidRDefault="00212315" w:rsidP="00212315">
            <w:pPr>
              <w:keepNext/>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CD538B">
              <w:rPr>
                <w:rFonts w:ascii="Times New Roman" w:eastAsia="Times New Roman" w:hAnsi="Times New Roman" w:cs="Times New Roman"/>
                <w:caps w:val="0"/>
                <w:sz w:val="18"/>
                <w:szCs w:val="18"/>
              </w:rPr>
              <w:t>Area (mm2)</w:t>
            </w:r>
          </w:p>
        </w:tc>
        <w:tc>
          <w:tcPr>
            <w:tcW w:w="1042" w:type="dxa"/>
            <w:noWrap/>
            <w:hideMark/>
          </w:tcPr>
          <w:p w14:paraId="1497B264" w14:textId="1CD29156" w:rsidR="00212315" w:rsidRPr="00CD538B" w:rsidRDefault="00212315" w:rsidP="00212315">
            <w:pPr>
              <w:keepNext/>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CD538B">
              <w:rPr>
                <w:rFonts w:ascii="Times New Roman" w:eastAsia="Times New Roman" w:hAnsi="Times New Roman" w:cs="Times New Roman"/>
                <w:caps w:val="0"/>
                <w:sz w:val="18"/>
                <w:szCs w:val="18"/>
              </w:rPr>
              <w:t>Seeds per fruit</w:t>
            </w:r>
          </w:p>
        </w:tc>
        <w:tc>
          <w:tcPr>
            <w:tcW w:w="1011" w:type="dxa"/>
            <w:hideMark/>
          </w:tcPr>
          <w:p w14:paraId="1AA3632C" w14:textId="04F63D12" w:rsidR="00212315" w:rsidRPr="00CD538B" w:rsidRDefault="00212315" w:rsidP="00212315">
            <w:pPr>
              <w:keepNext/>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CD538B">
              <w:rPr>
                <w:rFonts w:ascii="Times New Roman" w:eastAsia="Times New Roman" w:hAnsi="Times New Roman" w:cs="Times New Roman"/>
                <w:caps w:val="0"/>
                <w:sz w:val="18"/>
                <w:szCs w:val="18"/>
              </w:rPr>
              <w:t>Seed mass (g)</w:t>
            </w:r>
          </w:p>
        </w:tc>
        <w:tc>
          <w:tcPr>
            <w:tcW w:w="846" w:type="dxa"/>
            <w:hideMark/>
          </w:tcPr>
          <w:p w14:paraId="09205559" w14:textId="6DC08BC2" w:rsidR="00212315" w:rsidRPr="00CD538B" w:rsidRDefault="00212315" w:rsidP="00212315">
            <w:pPr>
              <w:keepNext/>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CD538B">
              <w:rPr>
                <w:rFonts w:ascii="Times New Roman" w:eastAsia="Times New Roman" w:hAnsi="Times New Roman" w:cs="Times New Roman"/>
                <w:caps w:val="0"/>
                <w:sz w:val="18"/>
                <w:szCs w:val="18"/>
              </w:rPr>
              <w:t>Coat hardness*</w:t>
            </w:r>
          </w:p>
        </w:tc>
        <w:tc>
          <w:tcPr>
            <w:tcW w:w="856" w:type="dxa"/>
            <w:noWrap/>
            <w:hideMark/>
          </w:tcPr>
          <w:p w14:paraId="3876D9F3" w14:textId="3E60A38C" w:rsidR="00212315" w:rsidRPr="00CD538B" w:rsidRDefault="00212315" w:rsidP="00212315">
            <w:pPr>
              <w:keepNext/>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CD538B">
              <w:rPr>
                <w:rFonts w:ascii="Times New Roman" w:eastAsia="Times New Roman" w:hAnsi="Times New Roman" w:cs="Times New Roman"/>
                <w:caps w:val="0"/>
                <w:sz w:val="18"/>
                <w:szCs w:val="18"/>
              </w:rPr>
              <w:t>Shape</w:t>
            </w:r>
          </w:p>
        </w:tc>
      </w:tr>
      <w:tr w:rsidR="00212315" w:rsidRPr="005F5FB7" w14:paraId="09AFF75D" w14:textId="77777777" w:rsidTr="00CD53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7" w:type="dxa"/>
            <w:shd w:val="clear" w:color="auto" w:fill="auto"/>
            <w:hideMark/>
          </w:tcPr>
          <w:p w14:paraId="2E7C0C06" w14:textId="0EB2A507" w:rsidR="00212315" w:rsidRPr="00CD538B" w:rsidRDefault="00212315" w:rsidP="00212315">
            <w:pPr>
              <w:keepNext/>
              <w:spacing w:after="120"/>
              <w:jc w:val="center"/>
              <w:rPr>
                <w:rFonts w:ascii="Times New Roman" w:eastAsia="Times New Roman" w:hAnsi="Times New Roman" w:cs="Times New Roman"/>
                <w:i/>
                <w:iCs/>
                <w:sz w:val="16"/>
                <w:szCs w:val="16"/>
              </w:rPr>
            </w:pPr>
            <w:r w:rsidRPr="00CD538B">
              <w:rPr>
                <w:rFonts w:ascii="Times New Roman" w:eastAsia="Times New Roman" w:hAnsi="Times New Roman" w:cs="Times New Roman"/>
                <w:i/>
                <w:iCs/>
                <w:caps w:val="0"/>
                <w:sz w:val="16"/>
                <w:szCs w:val="16"/>
              </w:rPr>
              <w:t>A.</w:t>
            </w:r>
            <w:r w:rsidR="00CB6037">
              <w:rPr>
                <w:rFonts w:ascii="Times New Roman" w:eastAsia="Times New Roman" w:hAnsi="Times New Roman" w:cs="Times New Roman"/>
                <w:i/>
                <w:iCs/>
                <w:caps w:val="0"/>
                <w:sz w:val="16"/>
                <w:szCs w:val="16"/>
              </w:rPr>
              <w:t>m</w:t>
            </w:r>
            <w:r w:rsidRPr="00CD538B">
              <w:rPr>
                <w:rFonts w:ascii="Times New Roman" w:eastAsia="Times New Roman" w:hAnsi="Times New Roman" w:cs="Times New Roman"/>
                <w:i/>
                <w:iCs/>
                <w:caps w:val="0"/>
                <w:sz w:val="16"/>
                <w:szCs w:val="16"/>
              </w:rPr>
              <w:t>icrophylla</w:t>
            </w:r>
          </w:p>
        </w:tc>
        <w:tc>
          <w:tcPr>
            <w:tcW w:w="933" w:type="dxa"/>
            <w:shd w:val="clear" w:color="auto" w:fill="auto"/>
            <w:hideMark/>
          </w:tcPr>
          <w:p w14:paraId="67E600AB"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1.74±0.31</w:t>
            </w:r>
          </w:p>
        </w:tc>
        <w:tc>
          <w:tcPr>
            <w:tcW w:w="937" w:type="dxa"/>
            <w:shd w:val="clear" w:color="auto" w:fill="auto"/>
            <w:hideMark/>
          </w:tcPr>
          <w:p w14:paraId="7DB48CB0"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1.84±0.25</w:t>
            </w:r>
          </w:p>
        </w:tc>
        <w:tc>
          <w:tcPr>
            <w:tcW w:w="933" w:type="dxa"/>
            <w:shd w:val="clear" w:color="auto" w:fill="auto"/>
            <w:hideMark/>
          </w:tcPr>
          <w:p w14:paraId="128643B6"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2.57±067</w:t>
            </w:r>
          </w:p>
        </w:tc>
        <w:tc>
          <w:tcPr>
            <w:tcW w:w="1042" w:type="dxa"/>
            <w:shd w:val="clear" w:color="auto" w:fill="auto"/>
            <w:hideMark/>
          </w:tcPr>
          <w:p w14:paraId="43E055B0"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1.62±0.89</w:t>
            </w:r>
          </w:p>
        </w:tc>
        <w:tc>
          <w:tcPr>
            <w:tcW w:w="1011" w:type="dxa"/>
            <w:shd w:val="clear" w:color="auto" w:fill="auto"/>
            <w:hideMark/>
          </w:tcPr>
          <w:p w14:paraId="1044201A" w14:textId="72A36734"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0.002±0.001</w:t>
            </w:r>
          </w:p>
        </w:tc>
        <w:tc>
          <w:tcPr>
            <w:tcW w:w="846" w:type="dxa"/>
            <w:shd w:val="clear" w:color="auto" w:fill="auto"/>
            <w:hideMark/>
          </w:tcPr>
          <w:p w14:paraId="20902CC9"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1</w:t>
            </w:r>
          </w:p>
        </w:tc>
        <w:tc>
          <w:tcPr>
            <w:tcW w:w="856" w:type="dxa"/>
            <w:shd w:val="clear" w:color="auto" w:fill="auto"/>
            <w:hideMark/>
          </w:tcPr>
          <w:p w14:paraId="5612DC5B"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Spherical</w:t>
            </w:r>
          </w:p>
        </w:tc>
      </w:tr>
      <w:tr w:rsidR="00212315" w:rsidRPr="005F5FB7" w14:paraId="6856360B" w14:textId="77777777" w:rsidTr="00CD538B">
        <w:trPr>
          <w:trHeight w:val="300"/>
        </w:trPr>
        <w:tc>
          <w:tcPr>
            <w:cnfStyle w:val="001000000000" w:firstRow="0" w:lastRow="0" w:firstColumn="1" w:lastColumn="0" w:oddVBand="0" w:evenVBand="0" w:oddHBand="0" w:evenHBand="0" w:firstRowFirstColumn="0" w:firstRowLastColumn="0" w:lastRowFirstColumn="0" w:lastRowLastColumn="0"/>
            <w:tcW w:w="1247" w:type="dxa"/>
            <w:shd w:val="clear" w:color="auto" w:fill="auto"/>
            <w:hideMark/>
          </w:tcPr>
          <w:p w14:paraId="3EB17198" w14:textId="034796FE" w:rsidR="00212315" w:rsidRPr="00CD538B" w:rsidRDefault="00212315" w:rsidP="00212315">
            <w:pPr>
              <w:keepNext/>
              <w:spacing w:after="120"/>
              <w:jc w:val="center"/>
              <w:rPr>
                <w:rFonts w:ascii="Times New Roman" w:eastAsia="Times New Roman" w:hAnsi="Times New Roman" w:cs="Times New Roman"/>
                <w:i/>
                <w:iCs/>
                <w:sz w:val="16"/>
                <w:szCs w:val="16"/>
              </w:rPr>
            </w:pPr>
            <w:r w:rsidRPr="00CD538B">
              <w:rPr>
                <w:rFonts w:ascii="Times New Roman" w:eastAsia="Times New Roman" w:hAnsi="Times New Roman" w:cs="Times New Roman"/>
                <w:i/>
                <w:iCs/>
                <w:caps w:val="0"/>
                <w:sz w:val="16"/>
                <w:szCs w:val="16"/>
              </w:rPr>
              <w:t xml:space="preserve">R. </w:t>
            </w:r>
            <w:r w:rsidR="00CB6037">
              <w:rPr>
                <w:rFonts w:ascii="Times New Roman" w:eastAsia="Times New Roman" w:hAnsi="Times New Roman" w:cs="Times New Roman"/>
                <w:i/>
                <w:iCs/>
                <w:caps w:val="0"/>
                <w:sz w:val="16"/>
                <w:szCs w:val="16"/>
              </w:rPr>
              <w:t>i</w:t>
            </w:r>
            <w:r w:rsidRPr="00CD538B">
              <w:rPr>
                <w:rFonts w:ascii="Times New Roman" w:eastAsia="Times New Roman" w:hAnsi="Times New Roman" w:cs="Times New Roman"/>
                <w:i/>
                <w:iCs/>
                <w:caps w:val="0"/>
                <w:sz w:val="16"/>
                <w:szCs w:val="16"/>
              </w:rPr>
              <w:t>daeus</w:t>
            </w:r>
          </w:p>
        </w:tc>
        <w:tc>
          <w:tcPr>
            <w:tcW w:w="933" w:type="dxa"/>
            <w:shd w:val="clear" w:color="auto" w:fill="auto"/>
            <w:hideMark/>
          </w:tcPr>
          <w:p w14:paraId="385FA0A5"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1.96±0.56</w:t>
            </w:r>
          </w:p>
        </w:tc>
        <w:tc>
          <w:tcPr>
            <w:tcW w:w="937" w:type="dxa"/>
            <w:shd w:val="clear" w:color="auto" w:fill="auto"/>
            <w:hideMark/>
          </w:tcPr>
          <w:p w14:paraId="47A2BE45"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2.36±0.53</w:t>
            </w:r>
          </w:p>
        </w:tc>
        <w:tc>
          <w:tcPr>
            <w:tcW w:w="933" w:type="dxa"/>
            <w:shd w:val="clear" w:color="auto" w:fill="auto"/>
            <w:hideMark/>
          </w:tcPr>
          <w:p w14:paraId="496A3F39"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3.49±0.78</w:t>
            </w:r>
          </w:p>
        </w:tc>
        <w:tc>
          <w:tcPr>
            <w:tcW w:w="1042" w:type="dxa"/>
            <w:shd w:val="clear" w:color="auto" w:fill="auto"/>
            <w:hideMark/>
          </w:tcPr>
          <w:p w14:paraId="0C08459A"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27.6±5.93</w:t>
            </w:r>
          </w:p>
        </w:tc>
        <w:tc>
          <w:tcPr>
            <w:tcW w:w="1011" w:type="dxa"/>
            <w:shd w:val="clear" w:color="auto" w:fill="auto"/>
            <w:hideMark/>
          </w:tcPr>
          <w:p w14:paraId="3462DAE5"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0.003±0.001</w:t>
            </w:r>
          </w:p>
        </w:tc>
        <w:tc>
          <w:tcPr>
            <w:tcW w:w="846" w:type="dxa"/>
            <w:shd w:val="clear" w:color="auto" w:fill="auto"/>
            <w:hideMark/>
          </w:tcPr>
          <w:p w14:paraId="4F7454A3"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2</w:t>
            </w:r>
          </w:p>
        </w:tc>
        <w:tc>
          <w:tcPr>
            <w:tcW w:w="856" w:type="dxa"/>
            <w:shd w:val="clear" w:color="auto" w:fill="auto"/>
            <w:hideMark/>
          </w:tcPr>
          <w:p w14:paraId="3CDFDC10"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Oval</w:t>
            </w:r>
          </w:p>
        </w:tc>
      </w:tr>
      <w:tr w:rsidR="00212315" w:rsidRPr="005F5FB7" w14:paraId="3E5084D1" w14:textId="77777777" w:rsidTr="00CD53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7" w:type="dxa"/>
            <w:shd w:val="clear" w:color="auto" w:fill="auto"/>
            <w:hideMark/>
          </w:tcPr>
          <w:p w14:paraId="4E6440E7" w14:textId="5B1AC476" w:rsidR="00212315" w:rsidRPr="00CD538B" w:rsidRDefault="00212315" w:rsidP="00212315">
            <w:pPr>
              <w:keepNext/>
              <w:spacing w:after="120"/>
              <w:jc w:val="center"/>
              <w:rPr>
                <w:rFonts w:ascii="Times New Roman" w:eastAsia="Times New Roman" w:hAnsi="Times New Roman" w:cs="Times New Roman"/>
                <w:i/>
                <w:iCs/>
                <w:sz w:val="16"/>
                <w:szCs w:val="16"/>
              </w:rPr>
            </w:pPr>
            <w:r w:rsidRPr="00CD538B">
              <w:rPr>
                <w:rFonts w:ascii="Times New Roman" w:eastAsia="Times New Roman" w:hAnsi="Times New Roman" w:cs="Times New Roman"/>
                <w:i/>
                <w:iCs/>
                <w:caps w:val="0"/>
                <w:sz w:val="16"/>
                <w:szCs w:val="16"/>
              </w:rPr>
              <w:t xml:space="preserve">A. </w:t>
            </w:r>
            <w:r w:rsidR="00CB6037">
              <w:rPr>
                <w:rFonts w:ascii="Times New Roman" w:eastAsia="Times New Roman" w:hAnsi="Times New Roman" w:cs="Times New Roman"/>
                <w:i/>
                <w:iCs/>
                <w:caps w:val="0"/>
                <w:sz w:val="16"/>
                <w:szCs w:val="16"/>
              </w:rPr>
              <w:t>c</w:t>
            </w:r>
            <w:r w:rsidRPr="00CD538B">
              <w:rPr>
                <w:rFonts w:ascii="Times New Roman" w:eastAsia="Times New Roman" w:hAnsi="Times New Roman" w:cs="Times New Roman"/>
                <w:i/>
                <w:iCs/>
                <w:caps w:val="0"/>
                <w:sz w:val="16"/>
                <w:szCs w:val="16"/>
              </w:rPr>
              <w:t>hilensis</w:t>
            </w:r>
          </w:p>
        </w:tc>
        <w:tc>
          <w:tcPr>
            <w:tcW w:w="933" w:type="dxa"/>
            <w:shd w:val="clear" w:color="auto" w:fill="auto"/>
            <w:hideMark/>
          </w:tcPr>
          <w:p w14:paraId="771AAFE3"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3.25 ± 0.26</w:t>
            </w:r>
          </w:p>
        </w:tc>
        <w:tc>
          <w:tcPr>
            <w:tcW w:w="937" w:type="dxa"/>
            <w:shd w:val="clear" w:color="auto" w:fill="auto"/>
            <w:hideMark/>
          </w:tcPr>
          <w:p w14:paraId="55DA8CBA"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2.59±0.38</w:t>
            </w:r>
          </w:p>
        </w:tc>
        <w:tc>
          <w:tcPr>
            <w:tcW w:w="933" w:type="dxa"/>
            <w:shd w:val="clear" w:color="auto" w:fill="auto"/>
            <w:hideMark/>
          </w:tcPr>
          <w:p w14:paraId="3C559FC0"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6.75±1.17</w:t>
            </w:r>
          </w:p>
        </w:tc>
        <w:tc>
          <w:tcPr>
            <w:tcW w:w="1042" w:type="dxa"/>
            <w:shd w:val="clear" w:color="auto" w:fill="auto"/>
            <w:hideMark/>
          </w:tcPr>
          <w:p w14:paraId="3BDE5CF8" w14:textId="6B65EB6D"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3.64±1</w:t>
            </w:r>
          </w:p>
        </w:tc>
        <w:tc>
          <w:tcPr>
            <w:tcW w:w="1011" w:type="dxa"/>
            <w:shd w:val="clear" w:color="auto" w:fill="auto"/>
            <w:hideMark/>
          </w:tcPr>
          <w:p w14:paraId="5CA1763A" w14:textId="01BB357F"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0.012±0.002</w:t>
            </w:r>
          </w:p>
        </w:tc>
        <w:tc>
          <w:tcPr>
            <w:tcW w:w="846" w:type="dxa"/>
            <w:shd w:val="clear" w:color="auto" w:fill="auto"/>
            <w:hideMark/>
          </w:tcPr>
          <w:p w14:paraId="39416AA2"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1</w:t>
            </w:r>
          </w:p>
        </w:tc>
        <w:tc>
          <w:tcPr>
            <w:tcW w:w="856" w:type="dxa"/>
            <w:shd w:val="clear" w:color="auto" w:fill="auto"/>
            <w:hideMark/>
          </w:tcPr>
          <w:p w14:paraId="1DA4A158"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Spherical</w:t>
            </w:r>
          </w:p>
        </w:tc>
      </w:tr>
      <w:tr w:rsidR="00212315" w:rsidRPr="005F5FB7" w14:paraId="7824D02C" w14:textId="77777777" w:rsidTr="00CD538B">
        <w:trPr>
          <w:trHeight w:val="300"/>
        </w:trPr>
        <w:tc>
          <w:tcPr>
            <w:cnfStyle w:val="001000000000" w:firstRow="0" w:lastRow="0" w:firstColumn="1" w:lastColumn="0" w:oddVBand="0" w:evenVBand="0" w:oddHBand="0" w:evenHBand="0" w:firstRowFirstColumn="0" w:firstRowLastColumn="0" w:lastRowFirstColumn="0" w:lastRowLastColumn="0"/>
            <w:tcW w:w="1247" w:type="dxa"/>
            <w:shd w:val="clear" w:color="auto" w:fill="auto"/>
            <w:hideMark/>
          </w:tcPr>
          <w:p w14:paraId="32040D69" w14:textId="03A30361" w:rsidR="00212315" w:rsidRPr="00CD538B" w:rsidRDefault="00212315" w:rsidP="00212315">
            <w:pPr>
              <w:keepNext/>
              <w:spacing w:after="120"/>
              <w:jc w:val="center"/>
              <w:rPr>
                <w:rFonts w:ascii="Times New Roman" w:eastAsia="Times New Roman" w:hAnsi="Times New Roman" w:cs="Times New Roman"/>
                <w:i/>
                <w:iCs/>
                <w:sz w:val="16"/>
                <w:szCs w:val="16"/>
              </w:rPr>
            </w:pPr>
            <w:r w:rsidRPr="00CD538B">
              <w:rPr>
                <w:rFonts w:ascii="Times New Roman" w:eastAsia="Times New Roman" w:hAnsi="Times New Roman" w:cs="Times New Roman"/>
                <w:i/>
                <w:iCs/>
                <w:caps w:val="0"/>
                <w:sz w:val="16"/>
                <w:szCs w:val="16"/>
              </w:rPr>
              <w:t xml:space="preserve">M. </w:t>
            </w:r>
            <w:r w:rsidR="00CB6037">
              <w:rPr>
                <w:rFonts w:ascii="Times New Roman" w:eastAsia="Times New Roman" w:hAnsi="Times New Roman" w:cs="Times New Roman"/>
                <w:i/>
                <w:iCs/>
                <w:caps w:val="0"/>
                <w:sz w:val="16"/>
                <w:szCs w:val="16"/>
              </w:rPr>
              <w:t>b</w:t>
            </w:r>
            <w:r w:rsidRPr="00CD538B">
              <w:rPr>
                <w:rFonts w:ascii="Times New Roman" w:eastAsia="Times New Roman" w:hAnsi="Times New Roman" w:cs="Times New Roman"/>
                <w:i/>
                <w:iCs/>
                <w:caps w:val="0"/>
                <w:sz w:val="16"/>
                <w:szCs w:val="16"/>
              </w:rPr>
              <w:t>oaria</w:t>
            </w:r>
          </w:p>
        </w:tc>
        <w:tc>
          <w:tcPr>
            <w:tcW w:w="933" w:type="dxa"/>
            <w:shd w:val="clear" w:color="auto" w:fill="auto"/>
            <w:hideMark/>
          </w:tcPr>
          <w:p w14:paraId="6083338F"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3.99±0.56</w:t>
            </w:r>
          </w:p>
        </w:tc>
        <w:tc>
          <w:tcPr>
            <w:tcW w:w="937" w:type="dxa"/>
            <w:shd w:val="clear" w:color="auto" w:fill="auto"/>
            <w:hideMark/>
          </w:tcPr>
          <w:p w14:paraId="245DDA8E"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2.02±0.49</w:t>
            </w:r>
          </w:p>
        </w:tc>
        <w:tc>
          <w:tcPr>
            <w:tcW w:w="933" w:type="dxa"/>
            <w:shd w:val="clear" w:color="auto" w:fill="auto"/>
            <w:hideMark/>
          </w:tcPr>
          <w:p w14:paraId="3F9638C0"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6.82±1.12</w:t>
            </w:r>
          </w:p>
        </w:tc>
        <w:tc>
          <w:tcPr>
            <w:tcW w:w="1042" w:type="dxa"/>
            <w:shd w:val="clear" w:color="auto" w:fill="auto"/>
            <w:hideMark/>
          </w:tcPr>
          <w:p w14:paraId="010BFC50"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2±0</w:t>
            </w:r>
          </w:p>
        </w:tc>
        <w:tc>
          <w:tcPr>
            <w:tcW w:w="1011" w:type="dxa"/>
            <w:shd w:val="clear" w:color="auto" w:fill="auto"/>
            <w:hideMark/>
          </w:tcPr>
          <w:p w14:paraId="43DB4561" w14:textId="06000981"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0.012±0.004</w:t>
            </w:r>
          </w:p>
        </w:tc>
        <w:tc>
          <w:tcPr>
            <w:tcW w:w="846" w:type="dxa"/>
            <w:shd w:val="clear" w:color="auto" w:fill="auto"/>
            <w:hideMark/>
          </w:tcPr>
          <w:p w14:paraId="4E017C8B"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3</w:t>
            </w:r>
          </w:p>
        </w:tc>
        <w:tc>
          <w:tcPr>
            <w:tcW w:w="856" w:type="dxa"/>
            <w:shd w:val="clear" w:color="auto" w:fill="auto"/>
            <w:hideMark/>
          </w:tcPr>
          <w:p w14:paraId="2A13D1CA"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Oval</w:t>
            </w:r>
          </w:p>
        </w:tc>
      </w:tr>
      <w:tr w:rsidR="00212315" w:rsidRPr="005F5FB7" w14:paraId="11D695E2" w14:textId="77777777" w:rsidTr="00CD53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7" w:type="dxa"/>
            <w:shd w:val="clear" w:color="auto" w:fill="auto"/>
            <w:hideMark/>
          </w:tcPr>
          <w:p w14:paraId="37531EBF" w14:textId="6FC1E9CE" w:rsidR="00212315" w:rsidRPr="00CD538B" w:rsidRDefault="00212315" w:rsidP="00212315">
            <w:pPr>
              <w:keepNext/>
              <w:spacing w:after="120"/>
              <w:jc w:val="center"/>
              <w:rPr>
                <w:rFonts w:ascii="Times New Roman" w:eastAsia="Times New Roman" w:hAnsi="Times New Roman" w:cs="Times New Roman"/>
                <w:i/>
                <w:iCs/>
                <w:sz w:val="16"/>
                <w:szCs w:val="16"/>
              </w:rPr>
            </w:pPr>
            <w:r w:rsidRPr="00CD538B">
              <w:rPr>
                <w:rFonts w:ascii="Times New Roman" w:eastAsia="Times New Roman" w:hAnsi="Times New Roman" w:cs="Times New Roman"/>
                <w:i/>
                <w:iCs/>
                <w:caps w:val="0"/>
                <w:sz w:val="16"/>
                <w:szCs w:val="16"/>
              </w:rPr>
              <w:t xml:space="preserve">B. </w:t>
            </w:r>
            <w:r w:rsidR="00CB6037">
              <w:rPr>
                <w:rFonts w:ascii="Times New Roman" w:eastAsia="Times New Roman" w:hAnsi="Times New Roman" w:cs="Times New Roman"/>
                <w:i/>
                <w:iCs/>
                <w:caps w:val="0"/>
                <w:sz w:val="16"/>
                <w:szCs w:val="16"/>
              </w:rPr>
              <w:t>d</w:t>
            </w:r>
            <w:r w:rsidRPr="00CD538B">
              <w:rPr>
                <w:rFonts w:ascii="Times New Roman" w:eastAsia="Times New Roman" w:hAnsi="Times New Roman" w:cs="Times New Roman"/>
                <w:i/>
                <w:iCs/>
                <w:caps w:val="0"/>
                <w:sz w:val="16"/>
                <w:szCs w:val="16"/>
              </w:rPr>
              <w:t>arwinii</w:t>
            </w:r>
          </w:p>
        </w:tc>
        <w:tc>
          <w:tcPr>
            <w:tcW w:w="933" w:type="dxa"/>
            <w:shd w:val="clear" w:color="auto" w:fill="auto"/>
            <w:hideMark/>
          </w:tcPr>
          <w:p w14:paraId="0ACF5B7C"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4.11±0.43</w:t>
            </w:r>
          </w:p>
        </w:tc>
        <w:tc>
          <w:tcPr>
            <w:tcW w:w="937" w:type="dxa"/>
            <w:shd w:val="clear" w:color="auto" w:fill="auto"/>
            <w:hideMark/>
          </w:tcPr>
          <w:p w14:paraId="4FF54C35"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2.09±0.27</w:t>
            </w:r>
          </w:p>
        </w:tc>
        <w:tc>
          <w:tcPr>
            <w:tcW w:w="933" w:type="dxa"/>
            <w:shd w:val="clear" w:color="auto" w:fill="auto"/>
            <w:hideMark/>
          </w:tcPr>
          <w:p w14:paraId="107974E2"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6.76±1.2</w:t>
            </w:r>
          </w:p>
        </w:tc>
        <w:tc>
          <w:tcPr>
            <w:tcW w:w="1042" w:type="dxa"/>
            <w:shd w:val="clear" w:color="auto" w:fill="auto"/>
            <w:hideMark/>
          </w:tcPr>
          <w:p w14:paraId="1E85BD99"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4.68±1.25</w:t>
            </w:r>
          </w:p>
        </w:tc>
        <w:tc>
          <w:tcPr>
            <w:tcW w:w="1011" w:type="dxa"/>
            <w:shd w:val="clear" w:color="auto" w:fill="auto"/>
            <w:hideMark/>
          </w:tcPr>
          <w:p w14:paraId="0BC7529A" w14:textId="4A794E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0.005±0.001</w:t>
            </w:r>
          </w:p>
        </w:tc>
        <w:tc>
          <w:tcPr>
            <w:tcW w:w="846" w:type="dxa"/>
            <w:shd w:val="clear" w:color="auto" w:fill="auto"/>
            <w:hideMark/>
          </w:tcPr>
          <w:p w14:paraId="78B8A460"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2</w:t>
            </w:r>
          </w:p>
        </w:tc>
        <w:tc>
          <w:tcPr>
            <w:tcW w:w="856" w:type="dxa"/>
            <w:shd w:val="clear" w:color="auto" w:fill="auto"/>
            <w:hideMark/>
          </w:tcPr>
          <w:p w14:paraId="5E86ED2F"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Oval</w:t>
            </w:r>
          </w:p>
        </w:tc>
      </w:tr>
      <w:tr w:rsidR="00212315" w:rsidRPr="005F5FB7" w14:paraId="6240FAFA" w14:textId="77777777" w:rsidTr="00CD538B">
        <w:trPr>
          <w:trHeight w:val="300"/>
        </w:trPr>
        <w:tc>
          <w:tcPr>
            <w:cnfStyle w:val="001000000000" w:firstRow="0" w:lastRow="0" w:firstColumn="1" w:lastColumn="0" w:oddVBand="0" w:evenVBand="0" w:oddHBand="0" w:evenHBand="0" w:firstRowFirstColumn="0" w:firstRowLastColumn="0" w:lastRowFirstColumn="0" w:lastRowLastColumn="0"/>
            <w:tcW w:w="1247" w:type="dxa"/>
            <w:shd w:val="clear" w:color="auto" w:fill="auto"/>
            <w:hideMark/>
          </w:tcPr>
          <w:p w14:paraId="7040BE43" w14:textId="3B888EF3" w:rsidR="00212315" w:rsidRPr="00CD538B" w:rsidRDefault="00212315" w:rsidP="00212315">
            <w:pPr>
              <w:keepNext/>
              <w:spacing w:after="120"/>
              <w:jc w:val="center"/>
              <w:rPr>
                <w:rFonts w:ascii="Times New Roman" w:eastAsia="Times New Roman" w:hAnsi="Times New Roman" w:cs="Times New Roman"/>
                <w:i/>
                <w:iCs/>
                <w:sz w:val="16"/>
                <w:szCs w:val="16"/>
              </w:rPr>
            </w:pPr>
            <w:r w:rsidRPr="00CD538B">
              <w:rPr>
                <w:rFonts w:ascii="Times New Roman" w:eastAsia="Times New Roman" w:hAnsi="Times New Roman" w:cs="Times New Roman"/>
                <w:i/>
                <w:iCs/>
                <w:caps w:val="0"/>
                <w:sz w:val="16"/>
                <w:szCs w:val="16"/>
              </w:rPr>
              <w:t xml:space="preserve">S. </w:t>
            </w:r>
            <w:r w:rsidR="00CB6037">
              <w:rPr>
                <w:rFonts w:ascii="Times New Roman" w:eastAsia="Times New Roman" w:hAnsi="Times New Roman" w:cs="Times New Roman"/>
                <w:i/>
                <w:iCs/>
                <w:caps w:val="0"/>
                <w:sz w:val="16"/>
                <w:szCs w:val="16"/>
              </w:rPr>
              <w:t>p</w:t>
            </w:r>
            <w:r w:rsidRPr="00CD538B">
              <w:rPr>
                <w:rFonts w:ascii="Times New Roman" w:eastAsia="Times New Roman" w:hAnsi="Times New Roman" w:cs="Times New Roman"/>
                <w:i/>
                <w:iCs/>
                <w:caps w:val="0"/>
                <w:sz w:val="16"/>
                <w:szCs w:val="16"/>
              </w:rPr>
              <w:t>atagonicus</w:t>
            </w:r>
          </w:p>
        </w:tc>
        <w:tc>
          <w:tcPr>
            <w:tcW w:w="933" w:type="dxa"/>
            <w:shd w:val="clear" w:color="auto" w:fill="auto"/>
            <w:hideMark/>
          </w:tcPr>
          <w:p w14:paraId="7ED01542"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4.57±0.41</w:t>
            </w:r>
          </w:p>
        </w:tc>
        <w:tc>
          <w:tcPr>
            <w:tcW w:w="937" w:type="dxa"/>
            <w:shd w:val="clear" w:color="auto" w:fill="auto"/>
            <w:hideMark/>
          </w:tcPr>
          <w:p w14:paraId="0FCC8E2C"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4.41±0.50</w:t>
            </w:r>
          </w:p>
        </w:tc>
        <w:tc>
          <w:tcPr>
            <w:tcW w:w="933" w:type="dxa"/>
            <w:shd w:val="clear" w:color="auto" w:fill="auto"/>
            <w:hideMark/>
          </w:tcPr>
          <w:p w14:paraId="3576F7F1"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15.95±2.36</w:t>
            </w:r>
          </w:p>
        </w:tc>
        <w:tc>
          <w:tcPr>
            <w:tcW w:w="1042" w:type="dxa"/>
            <w:shd w:val="clear" w:color="auto" w:fill="auto"/>
            <w:hideMark/>
          </w:tcPr>
          <w:p w14:paraId="301296BE"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1±0</w:t>
            </w:r>
          </w:p>
        </w:tc>
        <w:tc>
          <w:tcPr>
            <w:tcW w:w="1011" w:type="dxa"/>
            <w:shd w:val="clear" w:color="auto" w:fill="auto"/>
            <w:hideMark/>
          </w:tcPr>
          <w:p w14:paraId="542DC7B8"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0.033±0.005</w:t>
            </w:r>
          </w:p>
        </w:tc>
        <w:tc>
          <w:tcPr>
            <w:tcW w:w="846" w:type="dxa"/>
            <w:shd w:val="clear" w:color="auto" w:fill="auto"/>
            <w:hideMark/>
          </w:tcPr>
          <w:p w14:paraId="7B53CFBB"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2</w:t>
            </w:r>
          </w:p>
        </w:tc>
        <w:tc>
          <w:tcPr>
            <w:tcW w:w="856" w:type="dxa"/>
            <w:shd w:val="clear" w:color="auto" w:fill="auto"/>
            <w:hideMark/>
          </w:tcPr>
          <w:p w14:paraId="59553CBB" w14:textId="77777777" w:rsidR="00212315" w:rsidRPr="00CD538B" w:rsidRDefault="00212315" w:rsidP="00212315">
            <w:pPr>
              <w:keepNext/>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CD538B">
              <w:rPr>
                <w:rFonts w:ascii="Times New Roman" w:eastAsia="Times New Roman" w:hAnsi="Times New Roman" w:cs="Times New Roman"/>
                <w:sz w:val="16"/>
                <w:szCs w:val="16"/>
              </w:rPr>
              <w:t>Spherical</w:t>
            </w:r>
          </w:p>
        </w:tc>
      </w:tr>
      <w:tr w:rsidR="00212315" w:rsidRPr="00212315" w14:paraId="09607F2A" w14:textId="77777777" w:rsidTr="00CD538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7" w:type="dxa"/>
            <w:shd w:val="clear" w:color="auto" w:fill="auto"/>
            <w:hideMark/>
          </w:tcPr>
          <w:p w14:paraId="71E924E8" w14:textId="4DCEBA8D" w:rsidR="00212315" w:rsidRPr="00CD538B" w:rsidRDefault="00212315" w:rsidP="00212315">
            <w:pPr>
              <w:keepNext/>
              <w:spacing w:after="120"/>
              <w:jc w:val="center"/>
              <w:rPr>
                <w:rFonts w:ascii="Times New Roman" w:eastAsia="Times New Roman" w:hAnsi="Times New Roman" w:cs="Times New Roman"/>
                <w:i/>
                <w:iCs/>
                <w:sz w:val="16"/>
                <w:szCs w:val="16"/>
              </w:rPr>
            </w:pPr>
            <w:r w:rsidRPr="00CD538B">
              <w:rPr>
                <w:rFonts w:ascii="Times New Roman" w:eastAsia="Times New Roman" w:hAnsi="Times New Roman" w:cs="Times New Roman"/>
                <w:i/>
                <w:iCs/>
                <w:caps w:val="0"/>
                <w:sz w:val="16"/>
                <w:szCs w:val="16"/>
              </w:rPr>
              <w:t xml:space="preserve">P. </w:t>
            </w:r>
            <w:r w:rsidR="00CB6037">
              <w:rPr>
                <w:rFonts w:ascii="Times New Roman" w:eastAsia="Times New Roman" w:hAnsi="Times New Roman" w:cs="Times New Roman"/>
                <w:i/>
                <w:iCs/>
                <w:caps w:val="0"/>
                <w:sz w:val="16"/>
                <w:szCs w:val="16"/>
              </w:rPr>
              <w:t>c</w:t>
            </w:r>
            <w:r w:rsidRPr="00CD538B">
              <w:rPr>
                <w:rFonts w:ascii="Times New Roman" w:eastAsia="Times New Roman" w:hAnsi="Times New Roman" w:cs="Times New Roman"/>
                <w:i/>
                <w:iCs/>
                <w:caps w:val="0"/>
                <w:sz w:val="16"/>
                <w:szCs w:val="16"/>
              </w:rPr>
              <w:t>erasus</w:t>
            </w:r>
          </w:p>
        </w:tc>
        <w:tc>
          <w:tcPr>
            <w:tcW w:w="933" w:type="dxa"/>
            <w:shd w:val="clear" w:color="auto" w:fill="auto"/>
            <w:hideMark/>
          </w:tcPr>
          <w:p w14:paraId="1839BB30"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10.11±0.55</w:t>
            </w:r>
          </w:p>
        </w:tc>
        <w:tc>
          <w:tcPr>
            <w:tcW w:w="937" w:type="dxa"/>
            <w:shd w:val="clear" w:color="auto" w:fill="auto"/>
            <w:hideMark/>
          </w:tcPr>
          <w:p w14:paraId="79CEF148"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8.37±0.47</w:t>
            </w:r>
          </w:p>
        </w:tc>
        <w:tc>
          <w:tcPr>
            <w:tcW w:w="933" w:type="dxa"/>
            <w:shd w:val="clear" w:color="auto" w:fill="auto"/>
            <w:hideMark/>
          </w:tcPr>
          <w:p w14:paraId="130B56FD"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66.61±6.47</w:t>
            </w:r>
          </w:p>
        </w:tc>
        <w:tc>
          <w:tcPr>
            <w:tcW w:w="1042" w:type="dxa"/>
            <w:shd w:val="clear" w:color="auto" w:fill="auto"/>
            <w:hideMark/>
          </w:tcPr>
          <w:p w14:paraId="3514D6E4"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1±0</w:t>
            </w:r>
          </w:p>
        </w:tc>
        <w:tc>
          <w:tcPr>
            <w:tcW w:w="1011" w:type="dxa"/>
            <w:shd w:val="clear" w:color="auto" w:fill="auto"/>
            <w:hideMark/>
          </w:tcPr>
          <w:p w14:paraId="7B84BE65" w14:textId="2AC40955"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0.457±0.051</w:t>
            </w:r>
          </w:p>
        </w:tc>
        <w:tc>
          <w:tcPr>
            <w:tcW w:w="846" w:type="dxa"/>
            <w:shd w:val="clear" w:color="auto" w:fill="auto"/>
            <w:hideMark/>
          </w:tcPr>
          <w:p w14:paraId="2E89132A"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3</w:t>
            </w:r>
          </w:p>
        </w:tc>
        <w:tc>
          <w:tcPr>
            <w:tcW w:w="856" w:type="dxa"/>
            <w:shd w:val="clear" w:color="auto" w:fill="auto"/>
            <w:hideMark/>
          </w:tcPr>
          <w:p w14:paraId="5BB11071" w14:textId="77777777" w:rsidR="00212315" w:rsidRPr="00CD538B" w:rsidRDefault="00212315" w:rsidP="00212315">
            <w:pPr>
              <w:keepNext/>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CD538B">
              <w:rPr>
                <w:rFonts w:ascii="Times New Roman" w:eastAsia="Times New Roman" w:hAnsi="Times New Roman" w:cs="Times New Roman"/>
                <w:b/>
                <w:bCs/>
                <w:sz w:val="16"/>
                <w:szCs w:val="16"/>
              </w:rPr>
              <w:t>Spherical</w:t>
            </w:r>
          </w:p>
        </w:tc>
      </w:tr>
    </w:tbl>
    <w:p w14:paraId="35F92A5E" w14:textId="43A65BF6" w:rsidR="00241304" w:rsidRDefault="007E0AC9" w:rsidP="00974F75">
      <w:pPr>
        <w:pStyle w:val="Prrafodelista"/>
        <w:spacing w:after="0" w:line="240" w:lineRule="auto"/>
        <w:ind w:left="0"/>
        <w:jc w:val="both"/>
        <w:rPr>
          <w:rFonts w:ascii="Times New Roman" w:eastAsia="Times New Roman" w:hAnsi="Times New Roman" w:cs="Times New Roman"/>
          <w:bCs/>
          <w:color w:val="171717"/>
          <w:sz w:val="18"/>
          <w:szCs w:val="16"/>
        </w:rPr>
      </w:pPr>
      <w:r>
        <w:rPr>
          <w:rFonts w:ascii="Times New Roman" w:eastAsia="Times New Roman" w:hAnsi="Times New Roman" w:cs="Times New Roman"/>
          <w:bCs/>
          <w:color w:val="171717"/>
          <w:sz w:val="18"/>
          <w:szCs w:val="16"/>
        </w:rPr>
        <w:t>*</w:t>
      </w:r>
      <w:r w:rsidR="00241304" w:rsidRPr="00241304">
        <w:rPr>
          <w:rFonts w:ascii="Times New Roman" w:eastAsia="Times New Roman" w:hAnsi="Times New Roman" w:cs="Times New Roman"/>
          <w:bCs/>
          <w:color w:val="171717"/>
          <w:sz w:val="18"/>
          <w:szCs w:val="16"/>
        </w:rPr>
        <w:t>Seeds coat hardness categories</w:t>
      </w:r>
      <w:r w:rsidR="00DE2961">
        <w:rPr>
          <w:rFonts w:ascii="Times New Roman" w:eastAsia="Times New Roman" w:hAnsi="Times New Roman" w:cs="Times New Roman"/>
          <w:bCs/>
          <w:color w:val="171717"/>
          <w:sz w:val="18"/>
          <w:szCs w:val="16"/>
        </w:rPr>
        <w:t xml:space="preserve">: </w:t>
      </w:r>
      <w:r w:rsidR="00974F75">
        <w:rPr>
          <w:rFonts w:ascii="Times New Roman" w:eastAsia="Times New Roman" w:hAnsi="Times New Roman" w:cs="Times New Roman"/>
          <w:bCs/>
          <w:color w:val="171717"/>
          <w:sz w:val="18"/>
          <w:szCs w:val="16"/>
        </w:rPr>
        <w:t>1: could be penetrated easy by a fingernail; 2: could not be penetrated by a fingernail; 3: difficult to penetrate with a knife</w:t>
      </w:r>
      <w:r w:rsidR="00DE2961">
        <w:rPr>
          <w:rFonts w:ascii="Times New Roman" w:eastAsia="Times New Roman" w:hAnsi="Times New Roman" w:cs="Times New Roman"/>
          <w:bCs/>
          <w:color w:val="171717"/>
          <w:sz w:val="18"/>
          <w:szCs w:val="16"/>
        </w:rPr>
        <w:t xml:space="preserve"> (Gong et al. 2015). </w:t>
      </w:r>
      <w:r w:rsidR="00974F75">
        <w:rPr>
          <w:rFonts w:ascii="Times New Roman" w:eastAsia="Times New Roman" w:hAnsi="Times New Roman" w:cs="Times New Roman"/>
          <w:bCs/>
          <w:color w:val="171717"/>
          <w:sz w:val="18"/>
          <w:szCs w:val="16"/>
        </w:rPr>
        <w:t xml:space="preserve"> </w:t>
      </w:r>
    </w:p>
    <w:p w14:paraId="5291459B" w14:textId="7CFDF6FC" w:rsidR="00B113F0" w:rsidRDefault="00B113F0" w:rsidP="00241304">
      <w:pPr>
        <w:pStyle w:val="Descripcin"/>
        <w:rPr>
          <w:rFonts w:ascii="Times New Roman" w:eastAsia="Times New Roman" w:hAnsi="Times New Roman" w:cs="Times New Roman"/>
          <w:color w:val="000000"/>
        </w:rPr>
      </w:pPr>
    </w:p>
    <w:p w14:paraId="6785EF01" w14:textId="14A8139B" w:rsidR="00B113F0" w:rsidRDefault="00B113F0" w:rsidP="00B113F0">
      <w:pPr>
        <w:spacing w:line="480" w:lineRule="auto"/>
        <w:ind w:left="360"/>
        <w:jc w:val="both"/>
        <w:rPr>
          <w:rFonts w:ascii="Times New Roman" w:eastAsia="Times New Roman" w:hAnsi="Times New Roman" w:cs="Times New Roman"/>
          <w:b/>
          <w:color w:val="171717"/>
          <w:sz w:val="20"/>
          <w:szCs w:val="20"/>
        </w:rPr>
      </w:pPr>
      <w:r>
        <w:rPr>
          <w:rFonts w:ascii="Times New Roman" w:eastAsia="Times New Roman" w:hAnsi="Times New Roman" w:cs="Times New Roman"/>
          <w:b/>
          <w:color w:val="171717"/>
          <w:sz w:val="20"/>
          <w:szCs w:val="20"/>
        </w:rPr>
        <w:t>Estimates of relative abundance of seeds at landscape scale</w:t>
      </w:r>
    </w:p>
    <w:p w14:paraId="182ED59A" w14:textId="77777777" w:rsidR="00B113F0" w:rsidRDefault="00B113F0" w:rsidP="00B113F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estimate the relative abundance of seeds we combined data of the relative abundance of fruiting plants of each species and their canopy size (data from transects), their fruit production and phenology (data from focal individuals) and the number of seeds becoming available for granivores (data from tagged branches in focal individuals). All this information was combined into a model that simulated the number of individuals present at the landscape scale and their fruit production (according to allometric functions). Then, for each week we simulated the number of sound fruits (according to each species’ phenology) and the number of seeds available on the ground (considering fruit consumption by dispersers and fallen due to fruit ripening).</w:t>
      </w:r>
    </w:p>
    <w:p w14:paraId="57C53F6C" w14:textId="21357C93" w:rsidR="00B113F0" w:rsidRDefault="00B113F0" w:rsidP="00B113F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December 2019, when all the focal species were in bloom, we established 5 transects 100 m long x 2 m width (1000 m</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randomly located throughout the landscape (mean distance across transects 200 m). In each one, we registered adult individuals of fleshy-fruited species, and their canopy projection (diameter, m). In dioecious species (</w:t>
      </w:r>
      <w:r>
        <w:rPr>
          <w:rFonts w:ascii="Times New Roman" w:eastAsia="Times New Roman" w:hAnsi="Times New Roman" w:cs="Times New Roman"/>
          <w:i/>
          <w:sz w:val="20"/>
          <w:szCs w:val="20"/>
        </w:rPr>
        <w:t>S. patagonicus, A. chilensis</w:t>
      </w:r>
      <w:r>
        <w:rPr>
          <w:rFonts w:ascii="Times New Roman" w:eastAsia="Times New Roman" w:hAnsi="Times New Roman" w:cs="Times New Roman"/>
          <w:sz w:val="20"/>
          <w:szCs w:val="20"/>
        </w:rPr>
        <w:t xml:space="preserve">, and </w:t>
      </w:r>
      <w:r>
        <w:rPr>
          <w:rFonts w:ascii="Times New Roman" w:eastAsia="Times New Roman" w:hAnsi="Times New Roman" w:cs="Times New Roman"/>
          <w:i/>
          <w:sz w:val="20"/>
          <w:szCs w:val="20"/>
        </w:rPr>
        <w:t>A. microphylla</w:t>
      </w:r>
      <w:r>
        <w:rPr>
          <w:rFonts w:ascii="Times New Roman" w:eastAsia="Times New Roman" w:hAnsi="Times New Roman" w:cs="Times New Roman"/>
          <w:sz w:val="20"/>
          <w:szCs w:val="20"/>
        </w:rPr>
        <w:t xml:space="preserve">) we identified the sex of flowers to consider sex-ratios when estimating the number of trees producing fruits. Moreover, we selected 10-15 focal tree individuals from each species and measured the canopy diameter. For each focal tree, at the </w:t>
      </w:r>
      <w:r w:rsidRPr="005F5FB7">
        <w:rPr>
          <w:rFonts w:ascii="Times New Roman" w:eastAsia="Times New Roman" w:hAnsi="Times New Roman" w:cs="Times New Roman"/>
          <w:sz w:val="20"/>
          <w:szCs w:val="20"/>
        </w:rPr>
        <w:t xml:space="preserve">beginning of the fruit bearing season, we counted the number of fruits present in the canopy, randomly marked 10 branches and counted the number of fruits. </w:t>
      </w:r>
      <w:r w:rsidR="005F5FB7" w:rsidRPr="005F5FB7">
        <w:rPr>
          <w:rFonts w:ascii="Times New Roman" w:eastAsia="Times New Roman" w:hAnsi="Times New Roman" w:cs="Times New Roman"/>
          <w:sz w:val="20"/>
          <w:szCs w:val="20"/>
        </w:rPr>
        <w:t xml:space="preserve">. On a weekly basis and for each tagged individual of each species, we monitored the number of fruits present (in branches and in the canopy) and the </w:t>
      </w:r>
      <w:r w:rsidR="005F5FB7" w:rsidRPr="005F5FB7">
        <w:rPr>
          <w:rFonts w:ascii="Times New Roman" w:eastAsia="Times New Roman" w:hAnsi="Times New Roman" w:cs="Times New Roman"/>
          <w:sz w:val="20"/>
          <w:szCs w:val="20"/>
        </w:rPr>
        <w:lastRenderedPageBreak/>
        <w:t xml:space="preserve">proportion of fruits missing in the branches (with respect to previous week).  Missing fruits were mostly due to fall of ripe fruits or dispersal by birds (clean vs pulp remaining in the pedicel). </w:t>
      </w:r>
      <w:r>
        <w:rPr>
          <w:rFonts w:ascii="Times New Roman" w:eastAsia="Times New Roman" w:hAnsi="Times New Roman" w:cs="Times New Roman"/>
          <w:sz w:val="20"/>
          <w:szCs w:val="20"/>
        </w:rPr>
        <w:t xml:space="preserve">To estimate the number of seeds per fruit, for each focal species, we collected a total of 50 fruits across 5 to 10 individuals and counted the number of seeds. </w:t>
      </w:r>
    </w:p>
    <w:p w14:paraId="451F0134" w14:textId="77777777" w:rsidR="00B113F0" w:rsidRDefault="00B113F0" w:rsidP="00B113F0">
      <w:pPr>
        <w:spacing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Following Carlo and Morales (2016) we estimated the number of fruits per species by means of bootstrapping techniques. In each iteration, we first sampled a number of individuals equal to those present in 10 ha (according to the relative abundances observed in transects) and assigned them a canopy size (sampled from the density distribution fitted to field data). When necessary, we corrected this number by the sex ratio of species. Then, for each sampled individual we simulated fruit production as a function of their canopy size (based on allometric functions fitted to observed data in focal trees). Allometric functions were obtained by regressing the number of fruits produced by focal individuals against their canopy size. We used four candidate functions of fruit production-canopy relationships: (i) intercept, no relationship; (ii) lineal, (iii) saturating and (iv) exponential. For each species, we selected the more suited allometric function based on AIC values. On a weekly basis, we simulated fruit ripening according to species phenology (</w:t>
      </w:r>
      <m:oMath>
        <m:sSub>
          <m:sSubPr>
            <m:ctrlPr>
              <w:rPr>
                <w:rFonts w:ascii="Cambria Math" w:hAnsi="Cambria Math"/>
              </w:rPr>
            </m:ctrlPr>
          </m:sSubPr>
          <m:e>
            <m:r>
              <w:rPr>
                <w:rFonts w:ascii="Cambria Math" w:hAnsi="Cambria Math"/>
              </w:rPr>
              <m:t>F</m:t>
            </m:r>
          </m:e>
          <m:sub>
            <m:r>
              <w:rPr>
                <w:rFonts w:ascii="Cambria Math" w:hAnsi="Cambria Math"/>
              </w:rPr>
              <m:t>jkw</m:t>
            </m:r>
          </m:sub>
        </m:sSub>
        <m:r>
          <w:rPr>
            <w:rFonts w:ascii="Cambria Math" w:hAnsi="Cambria Math"/>
          </w:rPr>
          <m:t>=</m:t>
        </m:r>
        <m:sSub>
          <m:sSubPr>
            <m:ctrlPr>
              <w:rPr>
                <w:rFonts w:ascii="Cambria Math" w:hAnsi="Cambria Math"/>
              </w:rPr>
            </m:ctrlPr>
          </m:sSubPr>
          <m:e>
            <m:r>
              <w:rPr>
                <w:rFonts w:ascii="Cambria Math" w:hAnsi="Cambria Math"/>
              </w:rPr>
              <m:t>Crop</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kw</m:t>
            </m:r>
          </m:sub>
        </m:sSub>
      </m:oMath>
      <w:r>
        <w:rPr>
          <w:rFonts w:ascii="Times New Roman" w:eastAsia="Times New Roman" w:hAnsi="Times New Roman" w:cs="Times New Roman"/>
          <w:sz w:val="20"/>
          <w:szCs w:val="20"/>
        </w:rPr>
        <w:t>). The number of sound fruits of the j-th individual, corresponding to species k, during the w-th week (</w:t>
      </w:r>
      <m:oMath>
        <m:sSub>
          <m:sSubPr>
            <m:ctrlPr>
              <w:rPr>
                <w:rFonts w:ascii="Cambria Math" w:hAnsi="Cambria Math"/>
              </w:rPr>
            </m:ctrlPr>
          </m:sSubPr>
          <m:e>
            <m:r>
              <w:rPr>
                <w:rFonts w:ascii="Cambria Math" w:hAnsi="Cambria Math"/>
              </w:rPr>
              <m:t>F</m:t>
            </m:r>
          </m:e>
          <m:sub>
            <m:r>
              <w:rPr>
                <w:rFonts w:ascii="Cambria Math" w:hAnsi="Cambria Math"/>
              </w:rPr>
              <m:t>jkw</m:t>
            </m:r>
          </m:sub>
        </m:sSub>
      </m:oMath>
      <w:r>
        <w:rPr>
          <w:rFonts w:ascii="Times New Roman" w:eastAsia="Times New Roman" w:hAnsi="Times New Roman" w:cs="Times New Roman"/>
          <w:sz w:val="20"/>
          <w:szCs w:val="20"/>
        </w:rPr>
        <w:t>) was obtained by multiplying its total fruit production (</w:t>
      </w:r>
      <m:oMath>
        <m:sSub>
          <m:sSubPr>
            <m:ctrlPr>
              <w:rPr>
                <w:rFonts w:ascii="Cambria Math" w:hAnsi="Cambria Math"/>
              </w:rPr>
            </m:ctrlPr>
          </m:sSubPr>
          <m:e>
            <m:r>
              <w:rPr>
                <w:rFonts w:ascii="Cambria Math" w:hAnsi="Cambria Math"/>
              </w:rPr>
              <m:t>Crop</m:t>
            </m:r>
          </m:e>
          <m:sub>
            <m:r>
              <w:rPr>
                <w:rFonts w:ascii="Cambria Math" w:hAnsi="Cambria Math"/>
              </w:rPr>
              <m:t>j</m:t>
            </m:r>
          </m:sub>
        </m:sSub>
      </m:oMath>
      <w:r>
        <w:rPr>
          <w:rFonts w:ascii="Times New Roman" w:eastAsia="Times New Roman" w:hAnsi="Times New Roman" w:cs="Times New Roman"/>
          <w:sz w:val="20"/>
          <w:szCs w:val="20"/>
        </w:rPr>
        <w:t xml:space="preserve">by </w:t>
      </w:r>
      <m:oMath>
        <m:sSub>
          <m:sSubPr>
            <m:ctrlPr>
              <w:rPr>
                <w:rFonts w:ascii="Cambria Math" w:hAnsi="Cambria Math"/>
              </w:rPr>
            </m:ctrlPr>
          </m:sSubPr>
          <m:e>
            <m:r>
              <w:rPr>
                <w:rFonts w:ascii="Cambria Math" w:hAnsi="Cambria Math"/>
              </w:rPr>
              <m:t>P</m:t>
            </m:r>
          </m:e>
          <m:sub>
            <m:r>
              <w:rPr>
                <w:rFonts w:ascii="Cambria Math" w:hAnsi="Cambria Math"/>
              </w:rPr>
              <m:t>kw</m:t>
            </m:r>
          </m:sub>
        </m:sSub>
        <m:r>
          <w:rPr>
            <w:rFonts w:ascii="Cambria Math" w:hAnsi="Cambria Math"/>
          </w:rPr>
          <m:t>)</m:t>
        </m:r>
      </m:oMath>
      <w:r>
        <w:rPr>
          <w:rFonts w:ascii="Times New Roman" w:eastAsia="Times New Roman" w:hAnsi="Times New Roman" w:cs="Times New Roman"/>
          <w:sz w:val="20"/>
          <w:szCs w:val="20"/>
        </w:rPr>
        <w:t>, which represents species-specific fruiting phenology. In particular, it is the ratio between the average number of ripe fruits produced by individuals of the k-th species in the w-th week and the average maximum fruits they produce. From week to week, we simulated the number of seeds becoming available for granivores due to frugivory (and subsequent defecation) or natural fall. The number of fruits becoming available in the j-th focal tree during the w-th week (</w:t>
      </w:r>
      <m:oMath>
        <m:sSub>
          <m:sSubPr>
            <m:ctrlPr>
              <w:rPr>
                <w:rFonts w:ascii="Cambria Math" w:hAnsi="Cambria Math"/>
              </w:rPr>
            </m:ctrlPr>
          </m:sSubPr>
          <m:e>
            <m:r>
              <w:rPr>
                <w:rFonts w:ascii="Cambria Math" w:hAnsi="Cambria Math"/>
              </w:rPr>
              <m:t>f</m:t>
            </m:r>
          </m:e>
          <m:sub>
            <m:r>
              <w:rPr>
                <w:rFonts w:ascii="Cambria Math" w:hAnsi="Cambria Math"/>
              </w:rPr>
              <m:t>jkw</m:t>
            </m:r>
          </m:sub>
        </m:sSub>
      </m:oMath>
      <w:r>
        <w:rPr>
          <w:rFonts w:ascii="Times New Roman" w:eastAsia="Times New Roman" w:hAnsi="Times New Roman" w:cs="Times New Roman"/>
          <w:sz w:val="20"/>
          <w:szCs w:val="20"/>
        </w:rPr>
        <w:t>) was equal to the number of ripe fruits in the previous week (</w:t>
      </w:r>
      <m:oMath>
        <m:sSub>
          <m:sSubPr>
            <m:ctrlPr>
              <w:rPr>
                <w:rFonts w:ascii="Cambria Math" w:hAnsi="Cambria Math"/>
              </w:rPr>
            </m:ctrlPr>
          </m:sSubPr>
          <m:e>
            <m:r>
              <w:rPr>
                <w:rFonts w:ascii="Cambria Math" w:hAnsi="Cambria Math"/>
              </w:rPr>
              <m:t>F</m:t>
            </m:r>
          </m:e>
          <m:sub>
            <m:r>
              <w:rPr>
                <w:rFonts w:ascii="Cambria Math" w:hAnsi="Cambria Math"/>
              </w:rPr>
              <m:t>jw-1</m:t>
            </m:r>
          </m:sub>
        </m:sSub>
      </m:oMath>
      <w:r>
        <w:rPr>
          <w:rFonts w:ascii="Times New Roman" w:eastAsia="Times New Roman" w:hAnsi="Times New Roman" w:cs="Times New Roman"/>
          <w:sz w:val="20"/>
          <w:szCs w:val="20"/>
        </w:rPr>
        <w:t xml:space="preserve">) multiplied by the average proportion of fruits missing from the previous week in branches of tagged individuals of the k-th species </w:t>
      </w:r>
      <m:oMath>
        <m:bar>
          <m:barPr>
            <m:pos m:val="top"/>
            <m:ctrlPr>
              <w:rPr>
                <w:rFonts w:ascii="Cambria Math" w:hAnsi="Cambria Math"/>
              </w:rPr>
            </m:ctrlPr>
          </m:barPr>
          <m:e>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kw</m:t>
                    </m:r>
                  </m:sub>
                </m:sSub>
              </m:e>
            </m:d>
          </m:e>
        </m:bar>
      </m:oMath>
      <w:r>
        <w:rPr>
          <w:rFonts w:ascii="Times New Roman" w:eastAsia="Times New Roman" w:hAnsi="Times New Roman" w:cs="Times New Roman"/>
          <w:sz w:val="20"/>
          <w:szCs w:val="20"/>
        </w:rPr>
        <w:t xml:space="preserve">  </w:t>
      </w:r>
      <m:oMath>
        <m:sSub>
          <m:sSubPr>
            <m:ctrlPr>
              <w:rPr>
                <w:rFonts w:ascii="Cambria Math" w:hAnsi="Cambria Math"/>
              </w:rPr>
            </m:ctrlPr>
          </m:sSubPr>
          <m:e>
            <m:r>
              <w:rPr>
                <w:rFonts w:ascii="Cambria Math" w:hAnsi="Cambria Math"/>
              </w:rPr>
              <m:t>f</m:t>
            </m:r>
          </m:e>
          <m:sub>
            <m:r>
              <w:rPr>
                <w:rFonts w:ascii="Cambria Math" w:hAnsi="Cambria Math"/>
              </w:rPr>
              <m:t>jkw</m:t>
            </m:r>
          </m:sub>
        </m:sSub>
        <m:r>
          <w:rPr>
            <w:rFonts w:ascii="Cambria Math" w:hAnsi="Cambria Math"/>
          </w:rPr>
          <m:t>=</m:t>
        </m:r>
      </m:oMath>
      <w:r>
        <w:rPr>
          <w:rFonts w:ascii="Times New Roman" w:eastAsia="Times New Roman" w:hAnsi="Times New Roman" w:cs="Times New Roman"/>
          <w:sz w:val="20"/>
          <w:szCs w:val="20"/>
        </w:rPr>
        <w:t xml:space="preserve"> </w:t>
      </w:r>
      <m:oMath>
        <m:sSub>
          <m:sSubPr>
            <m:ctrlPr>
              <w:rPr>
                <w:rFonts w:ascii="Cambria Math" w:hAnsi="Cambria Math"/>
              </w:rPr>
            </m:ctrlPr>
          </m:sSubPr>
          <m:e>
            <m:r>
              <w:rPr>
                <w:rFonts w:ascii="Cambria Math" w:hAnsi="Cambria Math"/>
              </w:rPr>
              <m:t>F</m:t>
            </m:r>
          </m:e>
          <m:sub>
            <m:r>
              <w:rPr>
                <w:rFonts w:ascii="Cambria Math" w:hAnsi="Cambria Math"/>
              </w:rPr>
              <m:t>jw-1</m:t>
            </m:r>
          </m:sub>
        </m:sSub>
        <m:r>
          <w:rPr>
            <w:rFonts w:ascii="Cambria Math" w:hAnsi="Cambria Math"/>
          </w:rPr>
          <m:t>×</m:t>
        </m:r>
        <m:bar>
          <m:barPr>
            <m:pos m:val="top"/>
            <m:ctrlPr>
              <w:rPr>
                <w:rFonts w:ascii="Cambria Math" w:hAnsi="Cambria Math"/>
              </w:rPr>
            </m:ctrlPr>
          </m:barPr>
          <m:e>
            <m:sSub>
              <m:sSubPr>
                <m:ctrlPr>
                  <w:rPr>
                    <w:rFonts w:ascii="Cambria Math" w:hAnsi="Cambria Math"/>
                  </w:rPr>
                </m:ctrlPr>
              </m:sSubPr>
              <m:e>
                <m:r>
                  <w:rPr>
                    <w:rFonts w:ascii="Cambria Math" w:hAnsi="Cambria Math"/>
                  </w:rPr>
                  <m:t>M</m:t>
                </m:r>
              </m:e>
              <m:sub>
                <m:r>
                  <w:rPr>
                    <w:rFonts w:ascii="Cambria Math" w:hAnsi="Cambria Math"/>
                  </w:rPr>
                  <m:t>kw</m:t>
                </m:r>
              </m:sub>
            </m:sSub>
          </m:e>
        </m:bar>
      </m:oMath>
      <w:r>
        <w:rPr>
          <w:rFonts w:ascii="Times New Roman" w:eastAsia="Times New Roman" w:hAnsi="Times New Roman" w:cs="Times New Roman"/>
          <w:sz w:val="20"/>
          <w:szCs w:val="20"/>
        </w:rPr>
        <w:t>. The number of fruits was converted into seeds by multiplying these values by the average number of seeds per fruit of each species. Finally, for each species, we summed seeds of all individuals and divided this value by the sum across species to calculate the relative abundance. Simulations were repeated 2000 times and averaged per species and week.</w:t>
      </w:r>
    </w:p>
    <w:p w14:paraId="517E021B" w14:textId="77777777" w:rsidR="00B113F0" w:rsidRDefault="00B113F0" w:rsidP="00B113F0">
      <w:pPr>
        <w:keepNext/>
        <w:spacing w:after="20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Table S2. </w:t>
      </w:r>
      <w:r>
        <w:rPr>
          <w:rFonts w:ascii="Times New Roman" w:eastAsia="Times New Roman" w:hAnsi="Times New Roman" w:cs="Times New Roman"/>
          <w:sz w:val="20"/>
          <w:szCs w:val="20"/>
        </w:rPr>
        <w:t xml:space="preserve"> Estimated relative seed abundance of exotic (bold type) and native species at landscape scale throughout the weeks in which the cafeteria experiment was carried out.</w:t>
      </w:r>
    </w:p>
    <w:tbl>
      <w:tblPr>
        <w:tblStyle w:val="Tablanormal51"/>
        <w:tblW w:w="9409" w:type="dxa"/>
        <w:tblInd w:w="108" w:type="dxa"/>
        <w:tblLook w:val="04A0" w:firstRow="1" w:lastRow="0" w:firstColumn="1" w:lastColumn="0" w:noHBand="0" w:noVBand="1"/>
      </w:tblPr>
      <w:tblGrid>
        <w:gridCol w:w="1426"/>
        <w:gridCol w:w="1220"/>
        <w:gridCol w:w="1345"/>
        <w:gridCol w:w="999"/>
        <w:gridCol w:w="1111"/>
        <w:gridCol w:w="989"/>
        <w:gridCol w:w="1355"/>
        <w:gridCol w:w="964"/>
      </w:tblGrid>
      <w:tr w:rsidR="00B113F0" w14:paraId="47A67645" w14:textId="77777777">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425" w:type="dxa"/>
            <w:tcBorders>
              <w:bottom w:val="single" w:sz="4" w:space="0" w:color="000000"/>
            </w:tcBorders>
            <w:shd w:val="clear" w:color="auto" w:fill="auto"/>
          </w:tcPr>
          <w:p w14:paraId="6A2393F5" w14:textId="77777777" w:rsidR="00B113F0" w:rsidRDefault="00B113F0">
            <w:pPr>
              <w:rPr>
                <w:rFonts w:ascii="Times New Roman" w:eastAsia="Times New Roman" w:hAnsi="Times New Roman" w:cs="Times New Roman"/>
                <w:b/>
                <w:i w:val="0"/>
                <w:color w:val="000000"/>
                <w:sz w:val="18"/>
                <w:szCs w:val="16"/>
              </w:rPr>
            </w:pPr>
            <w:r>
              <w:rPr>
                <w:rFonts w:ascii="Times New Roman" w:eastAsia="Times New Roman" w:hAnsi="Times New Roman" w:cs="Times New Roman"/>
                <w:b/>
                <w:i w:val="0"/>
                <w:color w:val="000000"/>
                <w:sz w:val="18"/>
                <w:szCs w:val="16"/>
              </w:rPr>
              <w:t>Week / Species</w:t>
            </w:r>
          </w:p>
        </w:tc>
        <w:tc>
          <w:tcPr>
            <w:tcW w:w="1219" w:type="dxa"/>
            <w:tcBorders>
              <w:bottom w:val="single" w:sz="4" w:space="0" w:color="000000"/>
            </w:tcBorders>
            <w:shd w:val="clear" w:color="auto" w:fill="auto"/>
          </w:tcPr>
          <w:p w14:paraId="71F00926" w14:textId="77777777" w:rsidR="00B113F0" w:rsidRDefault="00B11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6"/>
              </w:rPr>
            </w:pPr>
            <w:r>
              <w:rPr>
                <w:rFonts w:ascii="Times New Roman" w:eastAsia="Times New Roman" w:hAnsi="Times New Roman" w:cs="Times New Roman"/>
                <w:color w:val="000000"/>
                <w:sz w:val="18"/>
                <w:szCs w:val="16"/>
              </w:rPr>
              <w:t>A. chilensis</w:t>
            </w:r>
          </w:p>
        </w:tc>
        <w:tc>
          <w:tcPr>
            <w:tcW w:w="1345" w:type="dxa"/>
            <w:tcBorders>
              <w:bottom w:val="single" w:sz="4" w:space="0" w:color="000000"/>
            </w:tcBorders>
            <w:shd w:val="clear" w:color="auto" w:fill="auto"/>
          </w:tcPr>
          <w:p w14:paraId="209BED45" w14:textId="77777777" w:rsidR="00B113F0" w:rsidRDefault="00B11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6"/>
              </w:rPr>
            </w:pPr>
            <w:r>
              <w:rPr>
                <w:rFonts w:ascii="Times New Roman" w:eastAsia="Times New Roman" w:hAnsi="Times New Roman" w:cs="Times New Roman"/>
                <w:color w:val="000000"/>
                <w:sz w:val="18"/>
                <w:szCs w:val="16"/>
              </w:rPr>
              <w:t>S.patagonicus</w:t>
            </w:r>
          </w:p>
        </w:tc>
        <w:tc>
          <w:tcPr>
            <w:tcW w:w="999" w:type="dxa"/>
            <w:tcBorders>
              <w:bottom w:val="single" w:sz="4" w:space="0" w:color="000000"/>
            </w:tcBorders>
            <w:shd w:val="clear" w:color="auto" w:fill="auto"/>
          </w:tcPr>
          <w:p w14:paraId="18EA2A4A" w14:textId="77777777" w:rsidR="00B113F0" w:rsidRDefault="00B11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6"/>
              </w:rPr>
            </w:pPr>
            <w:r>
              <w:rPr>
                <w:rFonts w:ascii="Times New Roman" w:eastAsia="Times New Roman" w:hAnsi="Times New Roman" w:cs="Times New Roman"/>
                <w:b/>
                <w:color w:val="000000"/>
                <w:sz w:val="18"/>
                <w:szCs w:val="16"/>
              </w:rPr>
              <w:t>P.cerasus</w:t>
            </w:r>
          </w:p>
        </w:tc>
        <w:tc>
          <w:tcPr>
            <w:tcW w:w="1111" w:type="dxa"/>
            <w:tcBorders>
              <w:bottom w:val="single" w:sz="4" w:space="0" w:color="000000"/>
            </w:tcBorders>
            <w:shd w:val="clear" w:color="auto" w:fill="auto"/>
          </w:tcPr>
          <w:p w14:paraId="6A651187" w14:textId="77777777" w:rsidR="00B113F0" w:rsidRDefault="00B11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6"/>
              </w:rPr>
            </w:pPr>
            <w:r>
              <w:rPr>
                <w:rFonts w:ascii="Times New Roman" w:eastAsia="Times New Roman" w:hAnsi="Times New Roman" w:cs="Times New Roman"/>
                <w:color w:val="000000"/>
                <w:sz w:val="18"/>
                <w:szCs w:val="16"/>
              </w:rPr>
              <w:t>B.darwinni</w:t>
            </w:r>
          </w:p>
        </w:tc>
        <w:tc>
          <w:tcPr>
            <w:tcW w:w="989" w:type="dxa"/>
            <w:tcBorders>
              <w:bottom w:val="single" w:sz="4" w:space="0" w:color="000000"/>
            </w:tcBorders>
            <w:shd w:val="clear" w:color="auto" w:fill="auto"/>
          </w:tcPr>
          <w:p w14:paraId="425E4E2C" w14:textId="77777777" w:rsidR="00B113F0" w:rsidRDefault="00B11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6"/>
              </w:rPr>
            </w:pPr>
            <w:r>
              <w:rPr>
                <w:rFonts w:ascii="Times New Roman" w:eastAsia="Times New Roman" w:hAnsi="Times New Roman" w:cs="Times New Roman"/>
                <w:b/>
                <w:color w:val="000000"/>
                <w:sz w:val="18"/>
                <w:szCs w:val="16"/>
              </w:rPr>
              <w:t>R.idaeus</w:t>
            </w:r>
          </w:p>
        </w:tc>
        <w:tc>
          <w:tcPr>
            <w:tcW w:w="1355" w:type="dxa"/>
            <w:tcBorders>
              <w:bottom w:val="single" w:sz="4" w:space="0" w:color="000000"/>
            </w:tcBorders>
            <w:shd w:val="clear" w:color="auto" w:fill="auto"/>
          </w:tcPr>
          <w:p w14:paraId="36E9B791" w14:textId="77777777" w:rsidR="00B113F0" w:rsidRDefault="00B11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6"/>
              </w:rPr>
            </w:pPr>
            <w:r>
              <w:rPr>
                <w:rFonts w:ascii="Times New Roman" w:eastAsia="Times New Roman" w:hAnsi="Times New Roman" w:cs="Times New Roman"/>
                <w:color w:val="000000"/>
                <w:sz w:val="18"/>
                <w:szCs w:val="16"/>
              </w:rPr>
              <w:t>A.microphylla</w:t>
            </w:r>
          </w:p>
        </w:tc>
        <w:tc>
          <w:tcPr>
            <w:tcW w:w="964" w:type="dxa"/>
            <w:tcBorders>
              <w:bottom w:val="single" w:sz="4" w:space="0" w:color="000000"/>
            </w:tcBorders>
            <w:shd w:val="clear" w:color="auto" w:fill="auto"/>
          </w:tcPr>
          <w:p w14:paraId="3F33F763" w14:textId="77777777" w:rsidR="00B113F0" w:rsidRDefault="00B113F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6"/>
              </w:rPr>
            </w:pPr>
            <w:r>
              <w:rPr>
                <w:rFonts w:ascii="Times New Roman" w:eastAsia="Times New Roman" w:hAnsi="Times New Roman" w:cs="Times New Roman"/>
                <w:color w:val="000000"/>
                <w:sz w:val="18"/>
                <w:szCs w:val="16"/>
              </w:rPr>
              <w:t>M.boaria</w:t>
            </w:r>
          </w:p>
        </w:tc>
      </w:tr>
      <w:tr w:rsidR="00B113F0" w14:paraId="7781FFF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5" w:type="dxa"/>
            <w:tcBorders>
              <w:right w:val="single" w:sz="4" w:space="0" w:color="000000"/>
            </w:tcBorders>
            <w:shd w:val="clear" w:color="auto" w:fill="auto"/>
          </w:tcPr>
          <w:p w14:paraId="5813FEB8" w14:textId="77777777" w:rsidR="00B113F0" w:rsidRDefault="00B113F0">
            <w:pPr>
              <w:rPr>
                <w:rFonts w:ascii="Times New Roman" w:eastAsia="Times New Roman" w:hAnsi="Times New Roman" w:cs="Times New Roman"/>
                <w:i w:val="0"/>
                <w:color w:val="000000"/>
                <w:sz w:val="18"/>
                <w:szCs w:val="18"/>
              </w:rPr>
            </w:pPr>
            <w:r>
              <w:rPr>
                <w:rFonts w:ascii="Times New Roman" w:eastAsia="Times New Roman" w:hAnsi="Times New Roman" w:cs="Times New Roman"/>
                <w:i w:val="0"/>
                <w:color w:val="000000"/>
                <w:sz w:val="18"/>
                <w:szCs w:val="18"/>
              </w:rPr>
              <w:t>1</w:t>
            </w:r>
          </w:p>
        </w:tc>
        <w:tc>
          <w:tcPr>
            <w:tcW w:w="1219" w:type="dxa"/>
            <w:shd w:val="clear" w:color="auto" w:fill="auto"/>
          </w:tcPr>
          <w:p w14:paraId="121FC7E4"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0.921</w:t>
            </w:r>
          </w:p>
        </w:tc>
        <w:tc>
          <w:tcPr>
            <w:tcW w:w="1345" w:type="dxa"/>
            <w:shd w:val="clear" w:color="auto" w:fill="auto"/>
          </w:tcPr>
          <w:p w14:paraId="684430A5"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0.005</w:t>
            </w:r>
          </w:p>
        </w:tc>
        <w:tc>
          <w:tcPr>
            <w:tcW w:w="999" w:type="dxa"/>
            <w:shd w:val="clear" w:color="auto" w:fill="auto"/>
          </w:tcPr>
          <w:p w14:paraId="1B0B1A56"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0.022</w:t>
            </w:r>
          </w:p>
        </w:tc>
        <w:tc>
          <w:tcPr>
            <w:tcW w:w="1111" w:type="dxa"/>
            <w:shd w:val="clear" w:color="auto" w:fill="auto"/>
          </w:tcPr>
          <w:p w14:paraId="13FE1A67"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0.001</w:t>
            </w:r>
          </w:p>
        </w:tc>
        <w:tc>
          <w:tcPr>
            <w:tcW w:w="989" w:type="dxa"/>
            <w:shd w:val="clear" w:color="auto" w:fill="auto"/>
          </w:tcPr>
          <w:p w14:paraId="1647ADFF"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rPr>
            </w:pPr>
          </w:p>
        </w:tc>
        <w:tc>
          <w:tcPr>
            <w:tcW w:w="1355" w:type="dxa"/>
            <w:shd w:val="clear" w:color="auto" w:fill="auto"/>
          </w:tcPr>
          <w:p w14:paraId="56EADB8A"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964" w:type="dxa"/>
            <w:shd w:val="clear" w:color="auto" w:fill="auto"/>
          </w:tcPr>
          <w:p w14:paraId="0AF5170D"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r>
      <w:tr w:rsidR="00B113F0" w14:paraId="6022C4D1" w14:textId="77777777">
        <w:trPr>
          <w:trHeight w:val="300"/>
        </w:trPr>
        <w:tc>
          <w:tcPr>
            <w:cnfStyle w:val="001000000000" w:firstRow="0" w:lastRow="0" w:firstColumn="1" w:lastColumn="0" w:oddVBand="0" w:evenVBand="0" w:oddHBand="0" w:evenHBand="0" w:firstRowFirstColumn="0" w:firstRowLastColumn="0" w:lastRowFirstColumn="0" w:lastRowLastColumn="0"/>
            <w:tcW w:w="1425" w:type="dxa"/>
            <w:tcBorders>
              <w:right w:val="single" w:sz="4" w:space="0" w:color="000000"/>
            </w:tcBorders>
            <w:shd w:val="clear" w:color="auto" w:fill="auto"/>
          </w:tcPr>
          <w:p w14:paraId="5146D545" w14:textId="77777777" w:rsidR="00B113F0" w:rsidRDefault="00B113F0">
            <w:pPr>
              <w:rPr>
                <w:rFonts w:ascii="Times New Roman" w:eastAsia="Times New Roman" w:hAnsi="Times New Roman" w:cs="Times New Roman"/>
                <w:i w:val="0"/>
                <w:color w:val="000000"/>
                <w:sz w:val="18"/>
                <w:szCs w:val="18"/>
              </w:rPr>
            </w:pPr>
            <w:r>
              <w:rPr>
                <w:rFonts w:ascii="Times New Roman" w:eastAsia="Times New Roman" w:hAnsi="Times New Roman" w:cs="Times New Roman"/>
                <w:i w:val="0"/>
                <w:color w:val="000000"/>
                <w:sz w:val="18"/>
                <w:szCs w:val="18"/>
              </w:rPr>
              <w:t>2</w:t>
            </w:r>
          </w:p>
        </w:tc>
        <w:tc>
          <w:tcPr>
            <w:tcW w:w="1219" w:type="dxa"/>
            <w:shd w:val="clear" w:color="auto" w:fill="auto"/>
          </w:tcPr>
          <w:p w14:paraId="257086D1"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0.973</w:t>
            </w:r>
          </w:p>
        </w:tc>
        <w:tc>
          <w:tcPr>
            <w:tcW w:w="1345" w:type="dxa"/>
            <w:shd w:val="clear" w:color="auto" w:fill="auto"/>
          </w:tcPr>
          <w:p w14:paraId="68F0D617"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0.003</w:t>
            </w:r>
          </w:p>
        </w:tc>
        <w:tc>
          <w:tcPr>
            <w:tcW w:w="999" w:type="dxa"/>
            <w:shd w:val="clear" w:color="auto" w:fill="auto"/>
          </w:tcPr>
          <w:p w14:paraId="7A522C35"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0.004</w:t>
            </w:r>
          </w:p>
        </w:tc>
        <w:tc>
          <w:tcPr>
            <w:tcW w:w="1111" w:type="dxa"/>
            <w:shd w:val="clear" w:color="auto" w:fill="auto"/>
          </w:tcPr>
          <w:p w14:paraId="3D76F71F"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c>
          <w:tcPr>
            <w:tcW w:w="989" w:type="dxa"/>
            <w:shd w:val="clear" w:color="auto" w:fill="auto"/>
          </w:tcPr>
          <w:p w14:paraId="17F3427F"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0.012</w:t>
            </w:r>
          </w:p>
        </w:tc>
        <w:tc>
          <w:tcPr>
            <w:tcW w:w="1355" w:type="dxa"/>
            <w:shd w:val="clear" w:color="auto" w:fill="auto"/>
          </w:tcPr>
          <w:p w14:paraId="6A4ABAA1"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c>
          <w:tcPr>
            <w:tcW w:w="964" w:type="dxa"/>
            <w:shd w:val="clear" w:color="auto" w:fill="auto"/>
          </w:tcPr>
          <w:p w14:paraId="4FE6B10B"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r>
      <w:tr w:rsidR="00B113F0" w14:paraId="27F5353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5" w:type="dxa"/>
            <w:tcBorders>
              <w:right w:val="single" w:sz="4" w:space="0" w:color="000000"/>
            </w:tcBorders>
            <w:shd w:val="clear" w:color="auto" w:fill="auto"/>
          </w:tcPr>
          <w:p w14:paraId="30E56D41" w14:textId="77777777" w:rsidR="00B113F0" w:rsidRDefault="00B113F0">
            <w:pPr>
              <w:rPr>
                <w:rFonts w:ascii="Times New Roman" w:eastAsia="Times New Roman" w:hAnsi="Times New Roman" w:cs="Times New Roman"/>
                <w:i w:val="0"/>
                <w:color w:val="000000"/>
                <w:sz w:val="18"/>
                <w:szCs w:val="18"/>
              </w:rPr>
            </w:pPr>
            <w:r>
              <w:rPr>
                <w:rFonts w:ascii="Times New Roman" w:eastAsia="Times New Roman" w:hAnsi="Times New Roman" w:cs="Times New Roman"/>
                <w:i w:val="0"/>
                <w:color w:val="000000"/>
                <w:sz w:val="18"/>
                <w:szCs w:val="18"/>
              </w:rPr>
              <w:t>3</w:t>
            </w:r>
          </w:p>
        </w:tc>
        <w:tc>
          <w:tcPr>
            <w:tcW w:w="1219" w:type="dxa"/>
            <w:shd w:val="clear" w:color="auto" w:fill="auto"/>
          </w:tcPr>
          <w:p w14:paraId="6C9D1C98"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0.987</w:t>
            </w:r>
          </w:p>
        </w:tc>
        <w:tc>
          <w:tcPr>
            <w:tcW w:w="1345" w:type="dxa"/>
            <w:shd w:val="clear" w:color="auto" w:fill="auto"/>
          </w:tcPr>
          <w:p w14:paraId="625EE615"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0.002</w:t>
            </w:r>
          </w:p>
        </w:tc>
        <w:tc>
          <w:tcPr>
            <w:tcW w:w="999" w:type="dxa"/>
            <w:shd w:val="clear" w:color="auto" w:fill="auto"/>
          </w:tcPr>
          <w:p w14:paraId="6DAD9F00"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c>
          <w:tcPr>
            <w:tcW w:w="1111" w:type="dxa"/>
            <w:shd w:val="clear" w:color="auto" w:fill="auto"/>
          </w:tcPr>
          <w:p w14:paraId="38B9A801"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989" w:type="dxa"/>
            <w:shd w:val="clear" w:color="auto" w:fill="auto"/>
          </w:tcPr>
          <w:p w14:paraId="456F0282"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0.006</w:t>
            </w:r>
          </w:p>
        </w:tc>
        <w:tc>
          <w:tcPr>
            <w:tcW w:w="1355" w:type="dxa"/>
            <w:shd w:val="clear" w:color="auto" w:fill="auto"/>
          </w:tcPr>
          <w:p w14:paraId="4EC00E64"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0.004</w:t>
            </w:r>
          </w:p>
        </w:tc>
        <w:tc>
          <w:tcPr>
            <w:tcW w:w="964" w:type="dxa"/>
            <w:shd w:val="clear" w:color="auto" w:fill="auto"/>
          </w:tcPr>
          <w:p w14:paraId="38F4F203" w14:textId="77777777" w:rsidR="00B113F0" w:rsidRDefault="00B113F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r>
      <w:tr w:rsidR="00B113F0" w14:paraId="65D85ADB" w14:textId="77777777">
        <w:trPr>
          <w:trHeight w:val="300"/>
        </w:trPr>
        <w:tc>
          <w:tcPr>
            <w:cnfStyle w:val="001000000000" w:firstRow="0" w:lastRow="0" w:firstColumn="1" w:lastColumn="0" w:oddVBand="0" w:evenVBand="0" w:oddHBand="0" w:evenHBand="0" w:firstRowFirstColumn="0" w:firstRowLastColumn="0" w:lastRowFirstColumn="0" w:lastRowLastColumn="0"/>
            <w:tcW w:w="1425" w:type="dxa"/>
            <w:tcBorders>
              <w:right w:val="single" w:sz="4" w:space="0" w:color="000000"/>
            </w:tcBorders>
            <w:shd w:val="clear" w:color="auto" w:fill="auto"/>
          </w:tcPr>
          <w:p w14:paraId="0506FD1C" w14:textId="77777777" w:rsidR="00B113F0" w:rsidRDefault="00B113F0">
            <w:pPr>
              <w:rPr>
                <w:rFonts w:ascii="Times New Roman" w:eastAsia="Times New Roman" w:hAnsi="Times New Roman" w:cs="Times New Roman"/>
                <w:i w:val="0"/>
                <w:color w:val="000000"/>
                <w:sz w:val="18"/>
                <w:szCs w:val="18"/>
              </w:rPr>
            </w:pPr>
            <w:r>
              <w:rPr>
                <w:rFonts w:ascii="Times New Roman" w:eastAsia="Times New Roman" w:hAnsi="Times New Roman" w:cs="Times New Roman"/>
                <w:i w:val="0"/>
                <w:color w:val="000000"/>
                <w:sz w:val="18"/>
                <w:szCs w:val="18"/>
              </w:rPr>
              <w:t>4</w:t>
            </w:r>
          </w:p>
        </w:tc>
        <w:tc>
          <w:tcPr>
            <w:tcW w:w="1219" w:type="dxa"/>
            <w:shd w:val="clear" w:color="auto" w:fill="auto"/>
          </w:tcPr>
          <w:p w14:paraId="7828E041"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0.984</w:t>
            </w:r>
          </w:p>
        </w:tc>
        <w:tc>
          <w:tcPr>
            <w:tcW w:w="1345" w:type="dxa"/>
            <w:shd w:val="clear" w:color="auto" w:fill="auto"/>
          </w:tcPr>
          <w:p w14:paraId="53300996"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tc>
        <w:tc>
          <w:tcPr>
            <w:tcW w:w="999" w:type="dxa"/>
            <w:shd w:val="clear" w:color="auto" w:fill="auto"/>
          </w:tcPr>
          <w:p w14:paraId="74EC8F96"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1111" w:type="dxa"/>
            <w:shd w:val="clear" w:color="auto" w:fill="auto"/>
          </w:tcPr>
          <w:p w14:paraId="324D745D"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989" w:type="dxa"/>
            <w:shd w:val="clear" w:color="auto" w:fill="auto"/>
          </w:tcPr>
          <w:p w14:paraId="6075EBD3"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0.007</w:t>
            </w:r>
          </w:p>
        </w:tc>
        <w:tc>
          <w:tcPr>
            <w:tcW w:w="1355" w:type="dxa"/>
            <w:shd w:val="clear" w:color="auto" w:fill="auto"/>
          </w:tcPr>
          <w:p w14:paraId="26E4E7E7" w14:textId="77777777" w:rsidR="00B113F0" w:rsidRDefault="00B113F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0.007</w:t>
            </w:r>
          </w:p>
        </w:tc>
        <w:tc>
          <w:tcPr>
            <w:tcW w:w="964" w:type="dxa"/>
            <w:shd w:val="clear" w:color="auto" w:fill="auto"/>
          </w:tcPr>
          <w:p w14:paraId="36A15220" w14:textId="77777777" w:rsidR="00B113F0" w:rsidRDefault="00B113F0">
            <w:pPr>
              <w:keepNex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0.0003</w:t>
            </w:r>
          </w:p>
        </w:tc>
      </w:tr>
    </w:tbl>
    <w:p w14:paraId="38227D78" w14:textId="77777777" w:rsidR="00B113F0" w:rsidRDefault="00B113F0" w:rsidP="00B113F0">
      <w:pPr>
        <w:keepNext/>
        <w:keepLines/>
        <w:spacing w:before="240" w:after="0"/>
        <w:ind w:left="502"/>
        <w:rPr>
          <w:rFonts w:ascii="Arial" w:eastAsia="Arial" w:hAnsi="Arial" w:cs="Arial"/>
          <w:b/>
          <w:color w:val="171717"/>
        </w:rPr>
      </w:pPr>
    </w:p>
    <w:p w14:paraId="71F6CF3E" w14:textId="77777777" w:rsidR="00602AE3" w:rsidRDefault="00602AE3" w:rsidP="00602AE3">
      <w:pPr>
        <w:spacing w:after="0" w:line="480" w:lineRule="auto"/>
        <w:ind w:left="357"/>
        <w:jc w:val="both"/>
        <w:rPr>
          <w:rFonts w:ascii="Times New Roman" w:eastAsia="Times New Roman" w:hAnsi="Times New Roman" w:cs="Times New Roman"/>
          <w:b/>
          <w:color w:val="171717"/>
          <w:szCs w:val="20"/>
        </w:rPr>
      </w:pPr>
    </w:p>
    <w:p w14:paraId="1E342C61" w14:textId="0F41E68A" w:rsidR="00B113F0" w:rsidRDefault="00B113F0" w:rsidP="00B113F0">
      <w:pPr>
        <w:keepNext/>
        <w:keepLines/>
        <w:ind w:left="360"/>
        <w:jc w:val="both"/>
        <w:rPr>
          <w:rFonts w:ascii="Times New Roman" w:eastAsia="Times New Roman" w:hAnsi="Times New Roman" w:cs="Times New Roman"/>
          <w:b/>
          <w:color w:val="171717"/>
          <w:sz w:val="20"/>
          <w:szCs w:val="20"/>
        </w:rPr>
      </w:pPr>
      <w:r>
        <w:rPr>
          <w:rFonts w:ascii="Times New Roman" w:eastAsia="Times New Roman" w:hAnsi="Times New Roman" w:cs="Times New Roman"/>
          <w:b/>
          <w:color w:val="171717"/>
          <w:sz w:val="20"/>
          <w:szCs w:val="20"/>
        </w:rPr>
        <w:t>Models and priors</w:t>
      </w:r>
    </w:p>
    <w:p w14:paraId="5297392A" w14:textId="1CBA59DA" w:rsidR="00B113F0" w:rsidRDefault="00602AE3" w:rsidP="00B113F0">
      <w:pPr>
        <w:keepNext/>
        <w:keepLines/>
        <w:ind w:left="714"/>
        <w:jc w:val="both"/>
        <w:rPr>
          <w:rFonts w:ascii="Times New Roman" w:eastAsia="Times New Roman" w:hAnsi="Times New Roman" w:cs="Times New Roman"/>
          <w:b/>
          <w:color w:val="171717"/>
          <w:sz w:val="20"/>
          <w:szCs w:val="20"/>
        </w:rPr>
      </w:pPr>
      <w:r>
        <w:rPr>
          <w:rFonts w:ascii="Times New Roman" w:eastAsia="Times New Roman" w:hAnsi="Times New Roman" w:cs="Times New Roman"/>
          <w:b/>
          <w:color w:val="171717"/>
          <w:sz w:val="20"/>
          <w:szCs w:val="20"/>
        </w:rPr>
        <w:t>3.</w:t>
      </w:r>
      <w:r w:rsidR="00B113F0">
        <w:rPr>
          <w:rFonts w:ascii="Times New Roman" w:eastAsia="Times New Roman" w:hAnsi="Times New Roman" w:cs="Times New Roman"/>
          <w:b/>
          <w:color w:val="171717"/>
          <w:sz w:val="20"/>
          <w:szCs w:val="20"/>
        </w:rPr>
        <w:t>1. Effect of shrub cover on plot encounter probability</w:t>
      </w:r>
    </w:p>
    <w:p w14:paraId="0E78D561" w14:textId="2FA29063" w:rsidR="00B113F0" w:rsidRPr="00543AE6" w:rsidRDefault="00000000" w:rsidP="00B113F0">
      <w:pPr>
        <w:jc w:val="center"/>
        <w:rPr>
          <w:rFonts w:ascii="Cambria Math" w:eastAsia="Cambria Math" w:hAnsi="Cambria Math" w:cs="Cambria Math"/>
          <w:i/>
          <w:sz w:val="18"/>
          <w:szCs w:val="20"/>
        </w:rPr>
      </w:pPr>
      <m:oMathPara>
        <m:oMath>
          <m:sSub>
            <m:sSubPr>
              <m:ctrlPr>
                <w:rPr>
                  <w:rFonts w:ascii="Cambria Math" w:hAnsi="Cambria Math"/>
                  <w:i/>
                </w:rPr>
              </m:ctrlPr>
            </m:sSubPr>
            <m:e>
              <m:r>
                <w:rPr>
                  <w:rFonts w:ascii="Cambria Math" w:hAnsi="Cambria Math"/>
                </w:rPr>
                <m:t>Y</m:t>
              </m:r>
            </m:e>
            <m:sub>
              <m:r>
                <w:rPr>
                  <w:rFonts w:ascii="Cambria Math" w:hAnsi="Cambria Math"/>
                </w:rPr>
                <m:t>is</m:t>
              </m:r>
            </m:sub>
          </m:sSub>
          <m:r>
            <w:rPr>
              <w:rFonts w:ascii="Cambria Math" w:hAnsi="Cambria Math"/>
            </w:rPr>
            <m:t>~Bernoulli</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m:t>
                  </m:r>
                </m:sub>
              </m:sSub>
            </m:e>
          </m:d>
        </m:oMath>
      </m:oMathPara>
    </w:p>
    <w:p w14:paraId="4C9EAAE7" w14:textId="2668ECA3" w:rsidR="00B113F0" w:rsidRPr="00543AE6" w:rsidRDefault="00543AE6" w:rsidP="00B113F0">
      <w:pPr>
        <w:jc w:val="center"/>
        <w:rPr>
          <w:rFonts w:ascii="Cambria Math" w:eastAsia="Cambria Math" w:hAnsi="Cambria Math" w:cs="Cambria Math"/>
          <w:i/>
          <w:sz w:val="18"/>
          <w:szCs w:val="20"/>
        </w:rPr>
      </w:pPr>
      <m:oMathPara>
        <m:oMath>
          <m:r>
            <w:rPr>
              <w:rFonts w:ascii="Cambria Math" w:hAnsi="Cambria Math"/>
            </w:rPr>
            <m:t>logit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is</m:t>
                  </m:r>
                </m:sub>
              </m:sSub>
            </m:e>
          </m:d>
          <m:r>
            <w:rPr>
              <w:rFonts w:ascii="Cambria Math" w:hAnsi="Cambria Math"/>
            </w:rPr>
            <m:t>=</m:t>
          </m:r>
          <m:sSub>
            <m:sSubPr>
              <m:ctrlPr>
                <w:rPr>
                  <w:rFonts w:ascii="Cambria Math" w:hAnsi="Cambria Math"/>
                  <w:i/>
                </w:rPr>
              </m:ctrlPr>
            </m:sSubPr>
            <m:e>
              <m:r>
                <w:rPr>
                  <w:rFonts w:ascii="Cambria Math" w:hAnsi="Cambria Math"/>
                </w:rPr>
                <m:t>β</m:t>
              </m:r>
            </m:e>
            <m:sub>
              <m:sSub>
                <m:sSubPr>
                  <m:ctrlPr>
                    <w:rPr>
                      <w:rFonts w:ascii="Cambria Math" w:hAnsi="Cambria Math"/>
                      <w:i/>
                    </w:rPr>
                  </m:ctrlPr>
                </m:sSubPr>
                <m:e>
                  <m:r>
                    <w:rPr>
                      <w:rFonts w:ascii="Cambria Math" w:hAnsi="Cambria Math"/>
                    </w:rPr>
                    <m:t>0</m:t>
                  </m:r>
                </m:e>
                <m:sub>
                  <m:r>
                    <w:rPr>
                      <w:rFonts w:ascii="Cambria Math" w:hAnsi="Cambria Math"/>
                    </w:rPr>
                    <m:t>s</m:t>
                  </m:r>
                </m:sub>
              </m:sSub>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oMath>
      </m:oMathPara>
    </w:p>
    <w:p w14:paraId="7E0F3063" w14:textId="16876710" w:rsidR="00B113F0" w:rsidRPr="00543AE6" w:rsidRDefault="00000000" w:rsidP="00B113F0">
      <w:pPr>
        <w:jc w:val="center"/>
        <w:rPr>
          <w:rFonts w:ascii="Cambria Math" w:eastAsia="Cambria Math" w:hAnsi="Cambria Math" w:cs="Cambria Math"/>
          <w:i/>
        </w:rPr>
      </w:pPr>
      <m:oMathPara>
        <m:oMath>
          <m:sSub>
            <m:sSubPr>
              <m:ctrlPr>
                <w:rPr>
                  <w:rFonts w:ascii="Cambria Math" w:hAnsi="Cambria Math"/>
                  <w:i/>
                </w:rPr>
              </m:ctrlPr>
            </m:sSubPr>
            <m:e>
              <m:r>
                <w:rPr>
                  <w:rFonts w:ascii="Cambria Math" w:hAnsi="Cambria Math"/>
                </w:rPr>
                <m:t>β</m:t>
              </m:r>
            </m:e>
            <m:sub>
              <m:sSub>
                <m:sSubPr>
                  <m:ctrlPr>
                    <w:rPr>
                      <w:rFonts w:ascii="Cambria Math" w:hAnsi="Cambria Math"/>
                      <w:i/>
                    </w:rPr>
                  </m:ctrlPr>
                </m:sSubPr>
                <m:e>
                  <m:r>
                    <w:rPr>
                      <w:rFonts w:ascii="Cambria Math" w:hAnsi="Cambria Math"/>
                    </w:rPr>
                    <m:t>0</m:t>
                  </m:r>
                </m:e>
                <m:sub>
                  <m:r>
                    <w:rPr>
                      <w:rFonts w:ascii="Cambria Math" w:hAnsi="Cambria Math"/>
                    </w:rPr>
                    <m:t>s</m:t>
                  </m:r>
                </m:sub>
              </m:sSub>
            </m:sub>
          </m:sSub>
          <m:r>
            <w:rPr>
              <w:rFonts w:ascii="Cambria Math" w:hAnsi="Cambria Math"/>
            </w:rPr>
            <m:t xml:space="preserve">˷Normal </m:t>
          </m:r>
          <m:d>
            <m:dPr>
              <m:ctrlPr>
                <w:rPr>
                  <w:rFonts w:ascii="Cambria Math" w:hAnsi="Cambria Math"/>
                  <w:i/>
                </w:rPr>
              </m:ctrlPr>
            </m:dPr>
            <m:e>
              <m:sSub>
                <m:sSubPr>
                  <m:ctrlPr>
                    <w:rPr>
                      <w:rFonts w:ascii="Cambria Math" w:hAnsi="Cambria Math"/>
                      <w:i/>
                    </w:rPr>
                  </m:ctrlPr>
                </m:sSubPr>
                <m:e>
                  <m:r>
                    <w:rPr>
                      <w:rFonts w:ascii="Cambria Math" w:hAnsi="Cambria Math"/>
                    </w:rPr>
                    <m:t>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0</m:t>
                  </m:r>
                </m:sub>
              </m:sSub>
            </m:e>
          </m:d>
        </m:oMath>
      </m:oMathPara>
    </w:p>
    <w:p w14:paraId="27C04951" w14:textId="77777777" w:rsidR="00B113F0" w:rsidRPr="00543AE6" w:rsidRDefault="00B113F0" w:rsidP="00B113F0">
      <w:pPr>
        <w:jc w:val="center"/>
        <w:rPr>
          <w:rFonts w:ascii="Cambria Math" w:eastAsia="Cambria Math" w:hAnsi="Cambria Math" w:cs="Cambria Math"/>
          <w:i/>
          <w:sz w:val="18"/>
          <w:szCs w:val="20"/>
        </w:rPr>
      </w:pPr>
    </w:p>
    <w:p w14:paraId="16C96BF0" w14:textId="3C5A1124" w:rsidR="00B113F0" w:rsidRPr="00543AE6" w:rsidRDefault="00000000" w:rsidP="00B113F0">
      <w:pPr>
        <w:jc w:val="center"/>
        <w:rPr>
          <w:rFonts w:ascii="Cambria Math" w:eastAsia="Cambria Math" w:hAnsi="Cambria Math" w:cs="Cambria Math"/>
          <w:i/>
        </w:rPr>
      </w:pPr>
      <m:oMathPara>
        <m:oMath>
          <m:sSub>
            <m:sSubPr>
              <m:ctrlPr>
                <w:rPr>
                  <w:rFonts w:ascii="Cambria Math" w:hAnsi="Cambria Math"/>
                  <w:i/>
                </w:rPr>
              </m:ctrlPr>
            </m:sSubPr>
            <m:e>
              <m:r>
                <w:rPr>
                  <w:rFonts w:ascii="Cambria Math" w:hAnsi="Cambria Math"/>
                </w:rPr>
                <m:t>µ</m:t>
              </m:r>
            </m:e>
            <m:sub>
              <m:r>
                <w:rPr>
                  <w:rFonts w:ascii="Cambria Math" w:hAnsi="Cambria Math"/>
                </w:rPr>
                <m:t>0</m:t>
              </m:r>
            </m:sub>
          </m:sSub>
          <m:r>
            <w:rPr>
              <w:rFonts w:ascii="Cambria Math" w:hAnsi="Cambria Math"/>
            </w:rPr>
            <m:t xml:space="preserve"> ~Uniform </m:t>
          </m:r>
          <m:d>
            <m:dPr>
              <m:ctrlPr>
                <w:rPr>
                  <w:rFonts w:ascii="Cambria Math" w:hAnsi="Cambria Math"/>
                  <w:i/>
                </w:rPr>
              </m:ctrlPr>
            </m:dPr>
            <m:e>
              <m:r>
                <w:rPr>
                  <w:rFonts w:ascii="Cambria Math" w:hAnsi="Cambria Math"/>
                </w:rPr>
                <m:t>-∞,∞</m:t>
              </m:r>
            </m:e>
          </m:d>
        </m:oMath>
      </m:oMathPara>
    </w:p>
    <w:p w14:paraId="483EA2EA" w14:textId="49398557" w:rsidR="00B113F0" w:rsidRPr="00543AE6" w:rsidRDefault="00000000" w:rsidP="00B113F0">
      <w:pPr>
        <w:jc w:val="center"/>
        <w:rPr>
          <w:rFonts w:ascii="Cambria Math" w:eastAsia="Cambria Math" w:hAnsi="Cambria Math" w:cs="Cambria Math"/>
          <w:i/>
          <w:sz w:val="18"/>
          <w:szCs w:val="20"/>
        </w:rPr>
      </w:pPr>
      <m:oMathPara>
        <m:oMath>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 xml:space="preserve"> ~Student t </m:t>
          </m:r>
          <m:d>
            <m:dPr>
              <m:ctrlPr>
                <w:rPr>
                  <w:rFonts w:ascii="Cambria Math" w:hAnsi="Cambria Math"/>
                  <w:i/>
                </w:rPr>
              </m:ctrlPr>
            </m:dPr>
            <m:e>
              <m:r>
                <w:rPr>
                  <w:rFonts w:ascii="Cambria Math" w:hAnsi="Cambria Math"/>
                </w:rPr>
                <m:t>0, 2.5, 3</m:t>
              </m:r>
            </m:e>
          </m:d>
        </m:oMath>
      </m:oMathPara>
    </w:p>
    <w:p w14:paraId="25FCC4D9" w14:textId="77777777" w:rsidR="00B113F0" w:rsidRDefault="00B113F0" w:rsidP="00B113F0">
      <w:pPr>
        <w:jc w:val="center"/>
        <w:rPr>
          <w:rFonts w:ascii="Cambria Math" w:eastAsia="Cambria Math" w:hAnsi="Cambria Math" w:cs="Cambria Math"/>
          <w:sz w:val="18"/>
          <w:szCs w:val="20"/>
        </w:rPr>
      </w:pPr>
    </w:p>
    <w:p w14:paraId="6D188A80" w14:textId="42B46280" w:rsidR="00B113F0" w:rsidRDefault="00B113F0" w:rsidP="00B113F0">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probability that at least one seed from the i-th plot and s-th site, was </w:t>
      </w:r>
      <w:r w:rsidR="00B72CA4">
        <w:rPr>
          <w:rFonts w:ascii="Times New Roman" w:eastAsia="Times New Roman" w:hAnsi="Times New Roman" w:cs="Times New Roman"/>
          <w:sz w:val="20"/>
          <w:szCs w:val="20"/>
        </w:rPr>
        <w:t xml:space="preserve">removed </w:t>
      </w:r>
      <w:r>
        <w:rPr>
          <w:rFonts w:ascii="Times New Roman" w:eastAsia="Times New Roman" w:hAnsi="Times New Roman" w:cs="Times New Roman"/>
          <w:sz w:val="20"/>
          <w:szCs w:val="20"/>
        </w:rPr>
        <w:t xml:space="preserve">during the first 24 h of seeds offering, was modeled as a </w:t>
      </w:r>
      <w:r w:rsidR="006300F7">
        <w:rPr>
          <w:rFonts w:ascii="Times New Roman" w:eastAsia="Times New Roman" w:hAnsi="Times New Roman" w:cs="Times New Roman"/>
          <w:sz w:val="20"/>
          <w:szCs w:val="20"/>
        </w:rPr>
        <w:t>Bernoulli process</w:t>
      </w:r>
      <w:r>
        <w:rPr>
          <w:rFonts w:ascii="Times New Roman" w:eastAsia="Times New Roman" w:hAnsi="Times New Roman" w:cs="Times New Roman"/>
          <w:sz w:val="20"/>
          <w:szCs w:val="20"/>
        </w:rPr>
        <w:t xml:space="preserve"> that depended on the probability of encountering the plot </w:t>
      </w:r>
      <m:oMath>
        <m:sSub>
          <m:sSubPr>
            <m:ctrlPr>
              <w:rPr>
                <w:rFonts w:ascii="Cambria Math" w:hAnsi="Cambria Math"/>
              </w:rPr>
            </m:ctrlPr>
          </m:sSubPr>
          <m:e>
            <m:r>
              <w:rPr>
                <w:rFonts w:ascii="Cambria Math" w:hAnsi="Cambria Math"/>
              </w:rPr>
              <m:t>p</m:t>
            </m:r>
          </m:e>
          <m:sub>
            <m:r>
              <w:rPr>
                <w:rFonts w:ascii="Cambria Math" w:hAnsi="Cambria Math"/>
              </w:rPr>
              <m:t>is</m:t>
            </m:r>
          </m:sub>
        </m:sSub>
      </m:oMath>
      <w:r>
        <w:rPr>
          <w:rFonts w:ascii="Times New Roman" w:eastAsia="Times New Roman" w:hAnsi="Times New Roman" w:cs="Times New Roman"/>
          <w:sz w:val="20"/>
          <w:szCs w:val="20"/>
        </w:rPr>
        <w:t xml:space="preserve">.  </w:t>
      </w:r>
      <m:oMath>
        <m:sSub>
          <m:sSubPr>
            <m:ctrlPr>
              <w:rPr>
                <w:rFonts w:ascii="Cambria Math" w:hAnsi="Cambria Math"/>
              </w:rPr>
            </m:ctrlPr>
          </m:sSubPr>
          <m:e>
            <m:r>
              <w:rPr>
                <w:rFonts w:ascii="Cambria Math" w:hAnsi="Cambria Math"/>
              </w:rPr>
              <m:t>p</m:t>
            </m:r>
          </m:e>
          <m:sub>
            <m:r>
              <w:rPr>
                <w:rFonts w:ascii="Cambria Math" w:hAnsi="Cambria Math"/>
              </w:rPr>
              <m:t>is</m:t>
            </m:r>
          </m:sub>
        </m:sSub>
      </m:oMath>
      <w:r>
        <w:rPr>
          <w:rFonts w:ascii="Times New Roman" w:eastAsia="Times New Roman" w:hAnsi="Times New Roman" w:cs="Times New Roman"/>
          <w:sz w:val="20"/>
          <w:szCs w:val="20"/>
        </w:rPr>
        <w:t xml:space="preserve">was a function of the </w:t>
      </w:r>
      <w:r w:rsidR="00B72CA4">
        <w:rPr>
          <w:rFonts w:ascii="Times New Roman" w:eastAsia="Times New Roman" w:hAnsi="Times New Roman" w:cs="Times New Roman"/>
          <w:sz w:val="20"/>
          <w:szCs w:val="20"/>
        </w:rPr>
        <w:t>microhabitat</w:t>
      </w:r>
      <w:r>
        <w:rPr>
          <w:rFonts w:ascii="Times New Roman" w:eastAsia="Times New Roman" w:hAnsi="Times New Roman" w:cs="Times New Roman"/>
          <w:sz w:val="20"/>
          <w:szCs w:val="20"/>
        </w:rPr>
        <w:t xml:space="preserve"> where the plot was located (0 = covered; 1 =</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open). The s-th site in which the plot was </w:t>
      </w:r>
      <w:r w:rsidR="00B72CA4">
        <w:rPr>
          <w:rFonts w:ascii="Times New Roman" w:eastAsia="Times New Roman" w:hAnsi="Times New Roman" w:cs="Times New Roman"/>
          <w:sz w:val="20"/>
          <w:szCs w:val="20"/>
        </w:rPr>
        <w:t xml:space="preserve">situated </w:t>
      </w:r>
      <w:r>
        <w:rPr>
          <w:rFonts w:ascii="Times New Roman" w:eastAsia="Times New Roman" w:hAnsi="Times New Roman" w:cs="Times New Roman"/>
          <w:sz w:val="20"/>
          <w:szCs w:val="20"/>
        </w:rPr>
        <w:t>was introduced as a random effect on the intercept (</w:t>
      </w:r>
      <m:oMath>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0</m:t>
                </m:r>
              </m:e>
              <m:sub>
                <m:r>
                  <w:rPr>
                    <w:rFonts w:ascii="Cambria Math" w:hAnsi="Cambria Math"/>
                  </w:rPr>
                  <m:t>s</m:t>
                </m:r>
              </m:sub>
            </m:sSub>
          </m:sub>
        </m:sSub>
      </m:oMath>
      <w:r>
        <w:rPr>
          <w:rFonts w:ascii="Times New Roman" w:eastAsia="Times New Roman" w:hAnsi="Times New Roman" w:cs="Times New Roman"/>
          <w:sz w:val="20"/>
          <w:szCs w:val="20"/>
        </w:rPr>
        <w:t>). We used weakly informative priors for the intercept and sigma (random effect)—student-t distribution with mean = 0, df = 3 and sd = 2.5. For the mean of the random effect (</w:t>
      </w:r>
      <m:oMath>
        <m:sSub>
          <m:sSubPr>
            <m:ctrlPr>
              <w:rPr>
                <w:rFonts w:ascii="Cambria Math" w:hAnsi="Cambria Math"/>
              </w:rPr>
            </m:ctrlPr>
          </m:sSubPr>
          <m:e>
            <m:r>
              <w:rPr>
                <w:rFonts w:ascii="Cambria Math" w:hAnsi="Cambria Math"/>
              </w:rPr>
              <m:t>µ</m:t>
            </m:r>
          </m:e>
          <m:sub>
            <m:r>
              <w:rPr>
                <w:rFonts w:ascii="Cambria Math" w:hAnsi="Cambria Math"/>
              </w:rPr>
              <m:t>0</m:t>
            </m:r>
          </m:sub>
        </m:sSub>
      </m:oMath>
      <w:r>
        <w:t>)</w:t>
      </w:r>
      <w:r>
        <w:rPr>
          <w:rFonts w:ascii="Times New Roman" w:eastAsia="Times New Roman" w:hAnsi="Times New Roman" w:cs="Times New Roman"/>
          <w:sz w:val="20"/>
          <w:szCs w:val="20"/>
        </w:rPr>
        <w:t xml:space="preserve"> we used a uniform distribution (- </w:t>
      </w:r>
      <w:sdt>
        <w:sdtPr>
          <w:id w:val="1794671844"/>
        </w:sdtPr>
        <w:sdtContent>
          <w:r>
            <w:rPr>
              <w:rFonts w:ascii="Times New Roman" w:eastAsia="Gungsuh" w:hAnsi="Times New Roman" w:cs="Times New Roman"/>
              <w:sz w:val="20"/>
              <w:szCs w:val="20"/>
            </w:rPr>
            <w:t xml:space="preserve">∞, +∞). </w:t>
          </w:r>
        </w:sdtContent>
      </w:sdt>
      <w:sdt>
        <w:sdtPr>
          <w:id w:val="153223552"/>
        </w:sdtPr>
        <w:sdtContent>
          <w:r>
            <w:rPr>
              <w:rFonts w:ascii="Times New Roman" w:eastAsia="Times New Roman" w:hAnsi="Times New Roman" w:cs="Times New Roman"/>
              <w:sz w:val="20"/>
              <w:szCs w:val="20"/>
            </w:rPr>
            <w:t>We</w:t>
          </w:r>
        </w:sdtContent>
      </w:sdt>
      <w:r>
        <w:rPr>
          <w:rFonts w:ascii="Times New Roman" w:eastAsia="Times New Roman" w:hAnsi="Times New Roman" w:cs="Times New Roman"/>
          <w:sz w:val="20"/>
          <w:szCs w:val="20"/>
        </w:rPr>
        <w:t xml:space="preserve"> ran 4 chains over 10000 iterations, </w:t>
      </w:r>
      <w:r w:rsidRPr="00BA50ED">
        <w:rPr>
          <w:rFonts w:ascii="Times New Roman" w:eastAsia="Times New Roman" w:hAnsi="Times New Roman" w:cs="Times New Roman"/>
          <w:sz w:val="20"/>
          <w:szCs w:val="20"/>
        </w:rPr>
        <w:t>leaving 1000 for warm</w:t>
      </w:r>
      <w:r>
        <w:rPr>
          <w:rFonts w:ascii="Times New Roman" w:eastAsia="Times New Roman" w:hAnsi="Times New Roman" w:cs="Times New Roman"/>
          <w:sz w:val="20"/>
          <w:szCs w:val="20"/>
        </w:rPr>
        <w:t>-</w:t>
      </w:r>
      <w:r w:rsidRPr="00BA50ED">
        <w:rPr>
          <w:rFonts w:ascii="Times New Roman" w:eastAsia="Times New Roman" w:hAnsi="Times New Roman" w:cs="Times New Roman"/>
          <w:sz w:val="20"/>
          <w:szCs w:val="20"/>
        </w:rPr>
        <w:t>up, and a thining of 10</w:t>
      </w:r>
      <w:r>
        <w:rPr>
          <w:rFonts w:ascii="Times New Roman" w:eastAsia="Times New Roman" w:hAnsi="Times New Roman" w:cs="Times New Roman"/>
          <w:sz w:val="20"/>
          <w:szCs w:val="20"/>
        </w:rPr>
        <w:t>. After checking for convergence (Rhat &lt;1.01) and effective sample sizes (n.eff &gt;3500), we evaluated model fit by means of posterior predictive checks (Fig. S</w:t>
      </w:r>
      <w:r w:rsidR="00B72CA4">
        <w:rPr>
          <w:rFonts w:ascii="Times New Roman" w:eastAsia="Times New Roman" w:hAnsi="Times New Roman" w:cs="Times New Roman"/>
          <w:sz w:val="20"/>
          <w:szCs w:val="20"/>
        </w:rPr>
        <w:t>2</w:t>
      </w:r>
      <w:r>
        <w:rPr>
          <w:rFonts w:ascii="Times New Roman" w:eastAsia="Times New Roman" w:hAnsi="Times New Roman" w:cs="Times New Roman"/>
          <w:sz w:val="20"/>
          <w:szCs w:val="20"/>
        </w:rPr>
        <w:t>). We fitted the model using the brms 2.17.0 R package (</w:t>
      </w:r>
      <w:r w:rsidRPr="001F7EEB">
        <w:rPr>
          <w:rFonts w:ascii="Times New Roman" w:eastAsia="Times New Roman" w:hAnsi="Times New Roman" w:cs="Times New Roman"/>
          <w:sz w:val="20"/>
          <w:szCs w:val="20"/>
        </w:rPr>
        <w:t>Bürkner</w:t>
      </w:r>
      <w:r>
        <w:rPr>
          <w:rFonts w:ascii="Times New Roman" w:eastAsia="Times New Roman" w:hAnsi="Times New Roman" w:cs="Times New Roman"/>
          <w:sz w:val="20"/>
          <w:szCs w:val="20"/>
        </w:rPr>
        <w:t xml:space="preserve"> 2017).</w:t>
      </w:r>
    </w:p>
    <w:p w14:paraId="61865040" w14:textId="77777777" w:rsidR="00B113F0" w:rsidRDefault="00B113F0" w:rsidP="00B113F0">
      <w:pPr>
        <w:keepNext/>
        <w:keepLines/>
        <w:spacing w:before="240" w:after="0"/>
        <w:rPr>
          <w:rFonts w:ascii="Arial" w:eastAsia="Arial" w:hAnsi="Arial" w:cs="Arial"/>
          <w:b/>
          <w:color w:val="171717"/>
        </w:rPr>
      </w:pPr>
    </w:p>
    <w:p w14:paraId="78C19BE9" w14:textId="5E2543C0" w:rsidR="00B113F0" w:rsidRDefault="00144E5C" w:rsidP="00B113F0">
      <w:pPr>
        <w:keepNext/>
        <w:spacing w:after="0" w:line="480" w:lineRule="auto"/>
        <w:jc w:val="both"/>
      </w:pPr>
      <w:r>
        <w:rPr>
          <w:noProof/>
        </w:rPr>
        <w:drawing>
          <wp:inline distT="0" distB="0" distL="0" distR="0" wp14:anchorId="79893BFD" wp14:editId="08E5E544">
            <wp:extent cx="5319423" cy="354590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19782" cy="3546145"/>
                    </a:xfrm>
                    <a:prstGeom prst="rect">
                      <a:avLst/>
                    </a:prstGeom>
                  </pic:spPr>
                </pic:pic>
              </a:graphicData>
            </a:graphic>
          </wp:inline>
        </w:drawing>
      </w:r>
    </w:p>
    <w:p w14:paraId="368732BB" w14:textId="45AF18AB" w:rsidR="00B113F0" w:rsidRDefault="00B113F0" w:rsidP="00B113F0">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Figure S</w:t>
      </w:r>
      <w:r w:rsidR="005F5FB7">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Posterior predictive check of the model for </w:t>
      </w:r>
      <w:sdt>
        <w:sdtPr>
          <w:id w:val="840128567"/>
        </w:sdtPr>
        <w:sdtContent>
          <w:r>
            <w:rPr>
              <w:rFonts w:ascii="Times New Roman" w:eastAsia="Times New Roman" w:hAnsi="Times New Roman" w:cs="Times New Roman"/>
              <w:color w:val="000000"/>
              <w:sz w:val="20"/>
              <w:szCs w:val="20"/>
            </w:rPr>
            <w:t xml:space="preserve">plot </w:t>
          </w:r>
        </w:sdtContent>
      </w:sdt>
      <w:r>
        <w:rPr>
          <w:rFonts w:ascii="Times New Roman" w:eastAsia="Times New Roman" w:hAnsi="Times New Roman" w:cs="Times New Roman"/>
          <w:color w:val="000000"/>
          <w:sz w:val="20"/>
          <w:szCs w:val="20"/>
        </w:rPr>
        <w:t xml:space="preserve">encounter probability (Table 1, main text). Rhombus depict observed values and dots mean predictions and 90% credible intervals across 1,000 posterior samples. </w:t>
      </w:r>
    </w:p>
    <w:p w14:paraId="7BB1F7C9" w14:textId="77777777" w:rsidR="00B113F0" w:rsidRDefault="00B113F0" w:rsidP="00B113F0">
      <w:pPr>
        <w:spacing w:after="200" w:line="240" w:lineRule="auto"/>
        <w:jc w:val="both"/>
        <w:rPr>
          <w:i/>
          <w:color w:val="44546A"/>
          <w:sz w:val="18"/>
          <w:szCs w:val="18"/>
        </w:rPr>
      </w:pPr>
    </w:p>
    <w:p w14:paraId="757BE1A3" w14:textId="7C8EDFF5" w:rsidR="00B113F0" w:rsidRPr="00543AE6" w:rsidRDefault="00602AE3" w:rsidP="00B113F0">
      <w:pPr>
        <w:keepNext/>
        <w:keepLines/>
        <w:spacing w:before="240" w:after="200"/>
        <w:ind w:left="360"/>
        <w:jc w:val="both"/>
        <w:rPr>
          <w:rFonts w:ascii="Times New Roman" w:eastAsia="Times New Roman" w:hAnsi="Times New Roman" w:cs="Times New Roman"/>
          <w:b/>
          <w:i/>
          <w:color w:val="171717"/>
          <w:sz w:val="20"/>
          <w:szCs w:val="20"/>
        </w:rPr>
      </w:pPr>
      <w:r>
        <w:rPr>
          <w:rFonts w:ascii="Times New Roman" w:eastAsia="Times New Roman" w:hAnsi="Times New Roman" w:cs="Times New Roman"/>
          <w:b/>
          <w:color w:val="171717"/>
          <w:sz w:val="20"/>
          <w:szCs w:val="20"/>
        </w:rPr>
        <w:t>3.</w:t>
      </w:r>
      <w:r w:rsidR="00B113F0">
        <w:rPr>
          <w:rFonts w:ascii="Times New Roman" w:eastAsia="Times New Roman" w:hAnsi="Times New Roman" w:cs="Times New Roman"/>
          <w:b/>
          <w:color w:val="171717"/>
          <w:sz w:val="20"/>
          <w:szCs w:val="20"/>
        </w:rPr>
        <w:t>2</w:t>
      </w:r>
      <w:r w:rsidR="00B113F0" w:rsidRPr="00602AE3">
        <w:rPr>
          <w:rFonts w:ascii="Times New Roman" w:eastAsia="Times New Roman" w:hAnsi="Times New Roman" w:cs="Times New Roman"/>
          <w:b/>
          <w:color w:val="171717"/>
          <w:sz w:val="20"/>
          <w:szCs w:val="20"/>
        </w:rPr>
        <w:t>. Effects of shrub cover on seed</w:t>
      </w:r>
      <w:r w:rsidR="00B72CA4">
        <w:rPr>
          <w:rFonts w:ascii="Times New Roman" w:eastAsia="Times New Roman" w:hAnsi="Times New Roman" w:cs="Times New Roman"/>
          <w:b/>
          <w:color w:val="171717"/>
          <w:sz w:val="20"/>
          <w:szCs w:val="20"/>
        </w:rPr>
        <w:t>s</w:t>
      </w:r>
      <w:r w:rsidR="00B113F0" w:rsidRPr="00602AE3">
        <w:rPr>
          <w:rFonts w:ascii="Times New Roman" w:eastAsia="Times New Roman" w:hAnsi="Times New Roman" w:cs="Times New Roman"/>
          <w:b/>
          <w:color w:val="171717"/>
          <w:sz w:val="20"/>
          <w:szCs w:val="20"/>
        </w:rPr>
        <w:t xml:space="preserve"> </w:t>
      </w:r>
      <w:r w:rsidR="00B72CA4">
        <w:rPr>
          <w:rFonts w:ascii="Times New Roman" w:eastAsia="Times New Roman" w:hAnsi="Times New Roman" w:cs="Times New Roman"/>
          <w:b/>
          <w:color w:val="171717"/>
          <w:sz w:val="20"/>
          <w:szCs w:val="20"/>
        </w:rPr>
        <w:t>removal</w:t>
      </w:r>
      <w:r w:rsidR="00B72CA4" w:rsidRPr="00602AE3">
        <w:rPr>
          <w:rFonts w:ascii="Times New Roman" w:eastAsia="Times New Roman" w:hAnsi="Times New Roman" w:cs="Times New Roman"/>
          <w:b/>
          <w:color w:val="171717"/>
          <w:sz w:val="20"/>
          <w:szCs w:val="20"/>
        </w:rPr>
        <w:t xml:space="preserve"> </w:t>
      </w:r>
      <w:r w:rsidR="00B113F0" w:rsidRPr="00602AE3">
        <w:rPr>
          <w:rFonts w:ascii="Times New Roman" w:eastAsia="Times New Roman" w:hAnsi="Times New Roman" w:cs="Times New Roman"/>
          <w:b/>
          <w:color w:val="171717"/>
          <w:sz w:val="20"/>
          <w:szCs w:val="20"/>
        </w:rPr>
        <w:t>rates</w:t>
      </w:r>
    </w:p>
    <w:p w14:paraId="2C8C21BA" w14:textId="6FC67D22" w:rsidR="00B113F0" w:rsidRPr="00543AE6" w:rsidRDefault="00000000" w:rsidP="00B113F0">
      <w:pPr>
        <w:jc w:val="center"/>
        <w:rPr>
          <w:rFonts w:ascii="Cambria Math" w:eastAsia="Cambria Math" w:hAnsi="Cambria Math" w:cs="Cambria Math"/>
          <w:i/>
          <w:sz w:val="18"/>
          <w:szCs w:val="20"/>
        </w:rPr>
      </w:pPr>
      <m:oMathPara>
        <m:oMath>
          <m:sSub>
            <m:sSubPr>
              <m:ctrlPr>
                <w:rPr>
                  <w:rFonts w:ascii="Cambria Math" w:hAnsi="Cambria Math"/>
                  <w:i/>
                </w:rPr>
              </m:ctrlPr>
            </m:sSubPr>
            <m:e>
              <m:r>
                <w:rPr>
                  <w:rFonts w:ascii="Cambria Math" w:hAnsi="Cambria Math"/>
                </w:rPr>
                <m:t>Y</m:t>
              </m:r>
            </m:e>
            <m:sub>
              <m:r>
                <w:rPr>
                  <w:rFonts w:ascii="Cambria Math" w:hAnsi="Cambria Math"/>
                </w:rPr>
                <m:t>isw</m:t>
              </m:r>
            </m:sub>
          </m:sSub>
          <m:r>
            <w:rPr>
              <w:rFonts w:ascii="Cambria Math" w:hAnsi="Cambria Math"/>
            </w:rPr>
            <m:t>~ Binomial</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isw</m:t>
                  </m:r>
                </m:sub>
              </m:sSub>
              <m:r>
                <w:rPr>
                  <w:rFonts w:ascii="Cambria Math" w:hAnsi="Cambria Math"/>
                </w:rPr>
                <m:t>,N</m:t>
              </m:r>
            </m:e>
          </m:d>
        </m:oMath>
      </m:oMathPara>
    </w:p>
    <w:p w14:paraId="16F6AB9F" w14:textId="3C7804A1" w:rsidR="00B113F0" w:rsidRPr="00543AE6" w:rsidRDefault="00543AE6" w:rsidP="00B113F0">
      <w:pPr>
        <w:jc w:val="center"/>
        <w:rPr>
          <w:rFonts w:ascii="Cambria Math" w:eastAsia="Cambria Math" w:hAnsi="Cambria Math" w:cs="Cambria Math"/>
          <w:i/>
          <w:sz w:val="18"/>
          <w:szCs w:val="20"/>
        </w:rPr>
      </w:pPr>
      <m:oMathPara>
        <m:oMath>
          <m:r>
            <w:rPr>
              <w:rFonts w:ascii="Cambria Math" w:hAnsi="Cambria Math"/>
            </w:rPr>
            <m:t>logit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isw</m:t>
                  </m:r>
                </m:sub>
              </m:sSub>
            </m:e>
          </m:d>
          <m:r>
            <w:rPr>
              <w:rFonts w:ascii="Cambria Math" w:hAnsi="Cambria Math"/>
            </w:rPr>
            <m:t>=</m:t>
          </m:r>
          <m:sSub>
            <m:sSubPr>
              <m:ctrlPr>
                <w:rPr>
                  <w:rFonts w:ascii="Cambria Math" w:hAnsi="Cambria Math"/>
                  <w:i/>
                </w:rPr>
              </m:ctrlPr>
            </m:sSubPr>
            <m:e>
              <m:r>
                <w:rPr>
                  <w:rFonts w:ascii="Cambria Math" w:hAnsi="Cambria Math"/>
                </w:rPr>
                <m:t>β</m:t>
              </m:r>
            </m:e>
            <m:sub>
              <m:sSub>
                <m:sSubPr>
                  <m:ctrlPr>
                    <w:rPr>
                      <w:rFonts w:ascii="Cambria Math" w:hAnsi="Cambria Math"/>
                      <w:i/>
                    </w:rPr>
                  </m:ctrlPr>
                </m:sSubPr>
                <m:e>
                  <m:r>
                    <w:rPr>
                      <w:rFonts w:ascii="Cambria Math" w:hAnsi="Cambria Math"/>
                    </w:rPr>
                    <m:t>0</m:t>
                  </m:r>
                </m:e>
                <m:sub>
                  <m:r>
                    <w:rPr>
                      <w:rFonts w:ascii="Cambria Math" w:hAnsi="Cambria Math"/>
                    </w:rPr>
                    <m:t>s</m:t>
                  </m:r>
                </m:sub>
              </m:sSub>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oMath>
      </m:oMathPara>
    </w:p>
    <w:p w14:paraId="1022BE71" w14:textId="18BEE93D" w:rsidR="00B113F0" w:rsidRPr="00543AE6" w:rsidRDefault="00000000" w:rsidP="00B113F0">
      <w:pPr>
        <w:jc w:val="center"/>
        <w:rPr>
          <w:rFonts w:ascii="Cambria Math" w:eastAsia="Cambria Math" w:hAnsi="Cambria Math" w:cs="Cambria Math"/>
          <w:i/>
          <w:sz w:val="18"/>
          <w:szCs w:val="20"/>
        </w:rPr>
      </w:pPr>
      <m:oMathPara>
        <m:oMath>
          <m:sSub>
            <m:sSubPr>
              <m:ctrlPr>
                <w:rPr>
                  <w:rFonts w:ascii="Cambria Math" w:hAnsi="Cambria Math"/>
                  <w:i/>
                </w:rPr>
              </m:ctrlPr>
            </m:sSubPr>
            <m:e>
              <m:r>
                <w:rPr>
                  <w:rFonts w:ascii="Cambria Math" w:hAnsi="Cambria Math"/>
                </w:rPr>
                <m:t>β</m:t>
              </m:r>
            </m:e>
            <m:sub>
              <m:sSub>
                <m:sSubPr>
                  <m:ctrlPr>
                    <w:rPr>
                      <w:rFonts w:ascii="Cambria Math" w:hAnsi="Cambria Math"/>
                      <w:i/>
                    </w:rPr>
                  </m:ctrlPr>
                </m:sSubPr>
                <m:e>
                  <m:r>
                    <w:rPr>
                      <w:rFonts w:ascii="Cambria Math" w:hAnsi="Cambria Math"/>
                    </w:rPr>
                    <m:t>0</m:t>
                  </m:r>
                </m:e>
                <m:sub>
                  <m:r>
                    <w:rPr>
                      <w:rFonts w:ascii="Cambria Math" w:hAnsi="Cambria Math"/>
                    </w:rPr>
                    <m:t>s</m:t>
                  </m:r>
                </m:sub>
              </m:sSub>
            </m:sub>
          </m:sSub>
          <m:r>
            <w:rPr>
              <w:rFonts w:ascii="Cambria Math" w:hAnsi="Cambria Math"/>
            </w:rPr>
            <m:t xml:space="preserve"> ~Normal </m:t>
          </m:r>
          <m:d>
            <m:dPr>
              <m:ctrlPr>
                <w:rPr>
                  <w:rFonts w:ascii="Cambria Math" w:hAnsi="Cambria Math"/>
                  <w:i/>
                </w:rPr>
              </m:ctrlPr>
            </m:dPr>
            <m:e>
              <m:sSub>
                <m:sSubPr>
                  <m:ctrlPr>
                    <w:rPr>
                      <w:rFonts w:ascii="Cambria Math" w:hAnsi="Cambria Math"/>
                      <w:i/>
                    </w:rPr>
                  </m:ctrlPr>
                </m:sSubPr>
                <m:e>
                  <m:r>
                    <w:rPr>
                      <w:rFonts w:ascii="Cambria Math" w:hAnsi="Cambria Math"/>
                    </w:rPr>
                    <m:t>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0</m:t>
                  </m:r>
                </m:sub>
              </m:sSub>
            </m:e>
          </m:d>
        </m:oMath>
      </m:oMathPara>
    </w:p>
    <w:p w14:paraId="1FF0BA10" w14:textId="77777777" w:rsidR="00B113F0" w:rsidRPr="00543AE6" w:rsidRDefault="00B113F0" w:rsidP="00B113F0">
      <w:pPr>
        <w:jc w:val="center"/>
        <w:rPr>
          <w:rFonts w:ascii="Cambria Math" w:eastAsia="Cambria Math" w:hAnsi="Cambria Math" w:cs="Cambria Math"/>
          <w:i/>
          <w:sz w:val="18"/>
          <w:szCs w:val="20"/>
        </w:rPr>
      </w:pPr>
    </w:p>
    <w:p w14:paraId="711EB673" w14:textId="485E3F12" w:rsidR="00B113F0" w:rsidRPr="00543AE6" w:rsidRDefault="00000000" w:rsidP="00B113F0">
      <w:pPr>
        <w:jc w:val="center"/>
        <w:rPr>
          <w:rFonts w:ascii="Cambria Math" w:eastAsia="Cambria Math" w:hAnsi="Cambria Math" w:cs="Cambria Math"/>
          <w:i/>
        </w:rPr>
      </w:pPr>
      <m:oMathPara>
        <m:oMath>
          <m:sSub>
            <m:sSubPr>
              <m:ctrlPr>
                <w:rPr>
                  <w:rFonts w:ascii="Cambria Math" w:hAnsi="Cambria Math"/>
                  <w:i/>
                </w:rPr>
              </m:ctrlPr>
            </m:sSubPr>
            <m:e>
              <m:r>
                <w:rPr>
                  <w:rFonts w:ascii="Cambria Math" w:hAnsi="Cambria Math"/>
                </w:rPr>
                <m:t>µ</m:t>
              </m:r>
            </m:e>
            <m:sub>
              <m:r>
                <w:rPr>
                  <w:rFonts w:ascii="Cambria Math" w:hAnsi="Cambria Math"/>
                </w:rPr>
                <m:t>0</m:t>
              </m:r>
            </m:sub>
          </m:sSub>
          <m:r>
            <w:rPr>
              <w:rFonts w:ascii="Cambria Math" w:hAnsi="Cambria Math"/>
            </w:rPr>
            <m:t xml:space="preserve"> ~Uniform </m:t>
          </m:r>
          <m:d>
            <m:dPr>
              <m:ctrlPr>
                <w:rPr>
                  <w:rFonts w:ascii="Cambria Math" w:hAnsi="Cambria Math"/>
                  <w:i/>
                </w:rPr>
              </m:ctrlPr>
            </m:dPr>
            <m:e>
              <m:r>
                <w:rPr>
                  <w:rFonts w:ascii="Cambria Math" w:hAnsi="Cambria Math"/>
                </w:rPr>
                <m:t>-∞,∞</m:t>
              </m:r>
            </m:e>
          </m:d>
        </m:oMath>
      </m:oMathPara>
    </w:p>
    <w:p w14:paraId="424A5449" w14:textId="238B6A5C" w:rsidR="00B113F0" w:rsidRPr="00543AE6" w:rsidRDefault="00000000" w:rsidP="00B113F0">
      <w:pPr>
        <w:jc w:val="center"/>
        <w:rPr>
          <w:rFonts w:ascii="Cambria Math" w:eastAsia="Cambria Math" w:hAnsi="Cambria Math" w:cs="Cambria Math"/>
          <w:i/>
          <w:sz w:val="18"/>
          <w:szCs w:val="20"/>
        </w:rPr>
      </w:pPr>
      <m:oMathPara>
        <m:oMath>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 xml:space="preserve"> ~Student t </m:t>
          </m:r>
          <m:d>
            <m:dPr>
              <m:ctrlPr>
                <w:rPr>
                  <w:rFonts w:ascii="Cambria Math" w:hAnsi="Cambria Math"/>
                  <w:i/>
                </w:rPr>
              </m:ctrlPr>
            </m:dPr>
            <m:e>
              <m:r>
                <w:rPr>
                  <w:rFonts w:ascii="Cambria Math" w:hAnsi="Cambria Math"/>
                </w:rPr>
                <m:t>0, 2.5, 3</m:t>
              </m:r>
            </m:e>
          </m:d>
        </m:oMath>
      </m:oMathPara>
    </w:p>
    <w:p w14:paraId="38904DC3" w14:textId="77777777" w:rsidR="00B113F0" w:rsidRDefault="00B113F0" w:rsidP="00B113F0">
      <w:pPr>
        <w:jc w:val="center"/>
        <w:rPr>
          <w:rFonts w:ascii="Cambria Math" w:eastAsia="Cambria Math" w:hAnsi="Cambria Math" w:cs="Cambria Math"/>
          <w:sz w:val="18"/>
          <w:szCs w:val="20"/>
        </w:rPr>
      </w:pPr>
    </w:p>
    <w:p w14:paraId="1303F222" w14:textId="50455591" w:rsidR="00B113F0" w:rsidRDefault="00B113F0" w:rsidP="00B113F0">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number of seeds </w:t>
      </w:r>
      <w:r w:rsidR="00B72CA4">
        <w:rPr>
          <w:rFonts w:ascii="Times New Roman" w:eastAsia="Times New Roman" w:hAnsi="Times New Roman" w:cs="Times New Roman"/>
          <w:sz w:val="20"/>
          <w:szCs w:val="20"/>
        </w:rPr>
        <w:t xml:space="preserve">removed </w:t>
      </w:r>
      <w:r>
        <w:rPr>
          <w:rFonts w:ascii="Times New Roman" w:eastAsia="Times New Roman" w:hAnsi="Times New Roman" w:cs="Times New Roman"/>
          <w:sz w:val="20"/>
          <w:szCs w:val="20"/>
        </w:rPr>
        <w:t xml:space="preserve">in the i-th plot, s-th site, during the w-th week was modeled as a binomial process with probability of seed </w:t>
      </w:r>
      <w:r w:rsidR="00B72CA4">
        <w:rPr>
          <w:rFonts w:ascii="Times New Roman" w:eastAsia="Times New Roman" w:hAnsi="Times New Roman" w:cs="Times New Roman"/>
          <w:sz w:val="20"/>
          <w:szCs w:val="20"/>
        </w:rPr>
        <w:t>removal</w:t>
      </w:r>
      <m:oMath>
        <m:sSub>
          <m:sSubPr>
            <m:ctrlPr>
              <w:rPr>
                <w:rFonts w:ascii="Cambria Math" w:hAnsi="Cambria Math"/>
              </w:rPr>
            </m:ctrlPr>
          </m:sSubPr>
          <m:e>
            <m:r>
              <w:rPr>
                <w:rFonts w:ascii="Cambria Math" w:hAnsi="Cambria Math"/>
              </w:rPr>
              <m:t>p</m:t>
            </m:r>
          </m:e>
          <m:sub>
            <m:r>
              <w:rPr>
                <w:rFonts w:ascii="Cambria Math" w:hAnsi="Cambria Math"/>
              </w:rPr>
              <m:t>isw</m:t>
            </m:r>
          </m:sub>
        </m:sSub>
      </m:oMath>
      <w:r>
        <w:rPr>
          <w:rFonts w:ascii="Times New Roman" w:eastAsia="Times New Roman" w:hAnsi="Times New Roman" w:cs="Times New Roman"/>
          <w:sz w:val="20"/>
          <w:szCs w:val="20"/>
        </w:rPr>
        <w:t xml:space="preserve"> and number of seeds offered (</w:t>
      </w:r>
      <m:oMath>
        <m:r>
          <w:rPr>
            <w:rFonts w:ascii="Cambria Math" w:hAnsi="Cambria Math"/>
          </w:rPr>
          <m:t>N</m:t>
        </m:r>
      </m:oMath>
      <w:r>
        <w:t xml:space="preserve"> </w:t>
      </w:r>
      <w:r>
        <w:rPr>
          <w:rFonts w:ascii="Times New Roman" w:eastAsia="Times New Roman" w:hAnsi="Times New Roman" w:cs="Times New Roman"/>
          <w:sz w:val="20"/>
          <w:szCs w:val="20"/>
        </w:rPr>
        <w:t xml:space="preserve">= 40). The probability of seed </w:t>
      </w:r>
      <w:r w:rsidR="00B72CA4">
        <w:rPr>
          <w:rFonts w:ascii="Times New Roman" w:eastAsia="Times New Roman" w:hAnsi="Times New Roman" w:cs="Times New Roman"/>
          <w:sz w:val="20"/>
          <w:szCs w:val="20"/>
        </w:rPr>
        <w:t xml:space="preserve">removal </w:t>
      </w:r>
      <w:r>
        <w:rPr>
          <w:rFonts w:ascii="Times New Roman" w:eastAsia="Times New Roman" w:hAnsi="Times New Roman" w:cs="Times New Roman"/>
          <w:sz w:val="20"/>
          <w:szCs w:val="20"/>
        </w:rPr>
        <w:t xml:space="preserve">depended on the microhabitat where the plot was located (0/1, covered by shrubs or open areas). The s-th site in which the plot was </w:t>
      </w:r>
      <w:r w:rsidR="00B72CA4">
        <w:rPr>
          <w:rFonts w:ascii="Times New Roman" w:eastAsia="Times New Roman" w:hAnsi="Times New Roman" w:cs="Times New Roman"/>
          <w:sz w:val="20"/>
          <w:szCs w:val="20"/>
        </w:rPr>
        <w:t xml:space="preserve">situated </w:t>
      </w:r>
      <w:r>
        <w:rPr>
          <w:rFonts w:ascii="Times New Roman" w:eastAsia="Times New Roman" w:hAnsi="Times New Roman" w:cs="Times New Roman"/>
          <w:sz w:val="20"/>
          <w:szCs w:val="20"/>
        </w:rPr>
        <w:t>was introduced as a random effect on the intercept (</w:t>
      </w:r>
      <m:oMath>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0</m:t>
                </m:r>
              </m:e>
              <m:sub>
                <m:r>
                  <w:rPr>
                    <w:rFonts w:ascii="Cambria Math" w:hAnsi="Cambria Math"/>
                  </w:rPr>
                  <m:t>s</m:t>
                </m:r>
              </m:sub>
            </m:sSub>
          </m:sub>
        </m:sSub>
      </m:oMath>
      <w:r>
        <w:rPr>
          <w:rFonts w:ascii="Times New Roman" w:eastAsia="Times New Roman" w:hAnsi="Times New Roman" w:cs="Times New Roman"/>
          <w:sz w:val="20"/>
          <w:szCs w:val="20"/>
        </w:rPr>
        <w:t>). We used weakly informative priors for the intercept and sigma (random effect)—t student distribution with mean = 0, df = 3, sd = 2.5. For the effect term and the mean of the random effect (</w:t>
      </w:r>
      <m:oMath>
        <m:sSub>
          <m:sSubPr>
            <m:ctrlPr>
              <w:rPr>
                <w:rFonts w:ascii="Cambria Math" w:hAnsi="Cambria Math"/>
              </w:rPr>
            </m:ctrlPr>
          </m:sSubPr>
          <m:e>
            <m:r>
              <w:rPr>
                <w:rFonts w:ascii="Cambria Math" w:hAnsi="Cambria Math"/>
              </w:rPr>
              <m:t>µ</m:t>
            </m:r>
          </m:e>
          <m:sub>
            <m:r>
              <w:rPr>
                <w:rFonts w:ascii="Cambria Math" w:hAnsi="Cambria Math"/>
              </w:rPr>
              <m:t>0</m:t>
            </m:r>
          </m:sub>
        </m:sSub>
      </m:oMath>
      <w:r>
        <w:rPr>
          <w:rFonts w:ascii="Times New Roman" w:eastAsia="Times New Roman" w:hAnsi="Times New Roman" w:cs="Times New Roman"/>
          <w:sz w:val="20"/>
          <w:szCs w:val="20"/>
        </w:rPr>
        <w:t xml:space="preserve"> we used a flat prior, a uniform distribution (- </w:t>
      </w:r>
      <w:sdt>
        <w:sdtPr>
          <w:id w:val="586121682"/>
        </w:sdtPr>
        <w:sdtContent>
          <w:r>
            <w:rPr>
              <w:rFonts w:ascii="Times New Roman" w:eastAsia="Gungsuh" w:hAnsi="Times New Roman" w:cs="Times New Roman"/>
              <w:sz w:val="20"/>
              <w:szCs w:val="20"/>
            </w:rPr>
            <w:t xml:space="preserve">∞, +∞).  We ran 3 chains over 10000 iterations with 1000 of warm-up and a thining of 10. After checking for convergence (Rhat &lt;1.01) and effective sample sizes (n.eff &gt;2500), we evaluated </w:t>
          </w:r>
          <w:r>
            <w:rPr>
              <w:rFonts w:ascii="Times New Roman" w:eastAsia="Gungsuh" w:hAnsi="Times New Roman" w:cs="Times New Roman"/>
              <w:sz w:val="20"/>
              <w:szCs w:val="20"/>
            </w:rPr>
            <w:lastRenderedPageBreak/>
            <w:t xml:space="preserve">model fit by means of posterior predictive checks (Fig. S2). Model was fitted using Brms 2.17.0 program </w:t>
          </w:r>
          <w:r>
            <w:rPr>
              <w:rFonts w:ascii="Times New Roman" w:eastAsia="Times New Roman" w:hAnsi="Times New Roman" w:cs="Times New Roman"/>
              <w:sz w:val="20"/>
              <w:szCs w:val="20"/>
            </w:rPr>
            <w:t>(</w:t>
          </w:r>
          <w:r w:rsidRPr="001F7EEB">
            <w:rPr>
              <w:rFonts w:ascii="Times New Roman" w:eastAsia="Times New Roman" w:hAnsi="Times New Roman" w:cs="Times New Roman"/>
              <w:sz w:val="20"/>
              <w:szCs w:val="20"/>
            </w:rPr>
            <w:t>Bürkner</w:t>
          </w:r>
          <w:r>
            <w:rPr>
              <w:rFonts w:ascii="Times New Roman" w:eastAsia="Times New Roman" w:hAnsi="Times New Roman" w:cs="Times New Roman"/>
              <w:sz w:val="20"/>
              <w:szCs w:val="20"/>
            </w:rPr>
            <w:t xml:space="preserve"> 2017)</w:t>
          </w:r>
          <w:r>
            <w:rPr>
              <w:rFonts w:ascii="Times New Roman" w:eastAsia="Gungsuh" w:hAnsi="Times New Roman" w:cs="Times New Roman"/>
              <w:sz w:val="20"/>
              <w:szCs w:val="20"/>
            </w:rPr>
            <w:t>.</w:t>
          </w:r>
        </w:sdtContent>
      </w:sdt>
    </w:p>
    <w:p w14:paraId="196CAFFC" w14:textId="77777777" w:rsidR="00B113F0" w:rsidRDefault="00B113F0" w:rsidP="00B113F0"/>
    <w:p w14:paraId="79A821C6" w14:textId="25E6A619" w:rsidR="00B113F0" w:rsidRDefault="00856B44" w:rsidP="00B113F0">
      <w:pPr>
        <w:keepNext/>
        <w:spacing w:after="0" w:line="480" w:lineRule="auto"/>
        <w:jc w:val="both"/>
      </w:pPr>
      <w:r>
        <w:rPr>
          <w:noProof/>
        </w:rPr>
        <w:drawing>
          <wp:inline distT="0" distB="0" distL="0" distR="0" wp14:anchorId="43819F35" wp14:editId="59BB597B">
            <wp:extent cx="5399543" cy="359931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9543" cy="3599314"/>
                    </a:xfrm>
                    <a:prstGeom prst="rect">
                      <a:avLst/>
                    </a:prstGeom>
                  </pic:spPr>
                </pic:pic>
              </a:graphicData>
            </a:graphic>
          </wp:inline>
        </w:drawing>
      </w:r>
    </w:p>
    <w:p w14:paraId="422490DB" w14:textId="0ECCB924" w:rsidR="00B113F0" w:rsidRDefault="00B113F0" w:rsidP="00B113F0">
      <w:pPr>
        <w:spacing w:after="20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Figure S</w:t>
      </w:r>
      <w:r w:rsidR="005F5FB7">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Posterior predictive check of the seed </w:t>
      </w:r>
      <w:r w:rsidR="00B72CA4">
        <w:rPr>
          <w:rFonts w:ascii="Times New Roman" w:eastAsia="Times New Roman" w:hAnsi="Times New Roman" w:cs="Times New Roman"/>
          <w:color w:val="000000"/>
          <w:sz w:val="20"/>
          <w:szCs w:val="20"/>
        </w:rPr>
        <w:t xml:space="preserve">removal </w:t>
      </w:r>
      <w:r>
        <w:rPr>
          <w:rFonts w:ascii="Times New Roman" w:eastAsia="Times New Roman" w:hAnsi="Times New Roman" w:cs="Times New Roman"/>
          <w:color w:val="000000"/>
          <w:sz w:val="20"/>
          <w:szCs w:val="20"/>
        </w:rPr>
        <w:t xml:space="preserve">model (Table 1, main text). Box plots represent observed and simulated values (across 1000 repetitions) of the proportion of seed </w:t>
      </w:r>
      <w:r w:rsidR="005B4F72">
        <w:rPr>
          <w:rFonts w:ascii="Times New Roman" w:eastAsia="Times New Roman" w:hAnsi="Times New Roman" w:cs="Times New Roman"/>
          <w:color w:val="000000"/>
          <w:sz w:val="20"/>
          <w:szCs w:val="20"/>
        </w:rPr>
        <w:t xml:space="preserve">removed </w:t>
      </w:r>
      <w:r>
        <w:rPr>
          <w:rFonts w:ascii="Times New Roman" w:eastAsia="Times New Roman" w:hAnsi="Times New Roman" w:cs="Times New Roman"/>
          <w:color w:val="000000"/>
          <w:sz w:val="20"/>
          <w:szCs w:val="20"/>
        </w:rPr>
        <w:t>after 72 h of seed offering. Dark green boxplots represent plots located under shrub cover</w:t>
      </w:r>
      <w:r w:rsidR="00144E5C">
        <w:rPr>
          <w:rFonts w:ascii="Times New Roman" w:eastAsia="Times New Roman" w:hAnsi="Times New Roman" w:cs="Times New Roman"/>
          <w:color w:val="000000"/>
          <w:sz w:val="20"/>
          <w:szCs w:val="20"/>
        </w:rPr>
        <w:t xml:space="preserve"> microhabitats</w:t>
      </w:r>
      <w:r>
        <w:rPr>
          <w:rFonts w:ascii="Times New Roman" w:eastAsia="Times New Roman" w:hAnsi="Times New Roman" w:cs="Times New Roman"/>
          <w:color w:val="000000"/>
          <w:sz w:val="20"/>
          <w:szCs w:val="20"/>
        </w:rPr>
        <w:t>, and light green ones, open microhabitats.</w:t>
      </w:r>
    </w:p>
    <w:p w14:paraId="0FD5F901" w14:textId="77777777" w:rsidR="00B113F0" w:rsidRDefault="00B113F0" w:rsidP="00B113F0"/>
    <w:p w14:paraId="1EBE4DDE" w14:textId="5451C40B" w:rsidR="00B113F0" w:rsidRDefault="00602AE3" w:rsidP="00B113F0">
      <w:pPr>
        <w:spacing w:after="0"/>
        <w:ind w:left="720"/>
        <w:rPr>
          <w:rFonts w:ascii="Times New Roman" w:eastAsia="Times New Roman" w:hAnsi="Times New Roman" w:cs="Times New Roman"/>
          <w:b/>
          <w:color w:val="171717"/>
          <w:sz w:val="20"/>
          <w:szCs w:val="20"/>
        </w:rPr>
      </w:pPr>
      <w:r>
        <w:rPr>
          <w:rFonts w:ascii="Times New Roman" w:eastAsia="Times New Roman" w:hAnsi="Times New Roman" w:cs="Times New Roman"/>
          <w:b/>
          <w:color w:val="171717"/>
          <w:sz w:val="20"/>
          <w:szCs w:val="20"/>
        </w:rPr>
        <w:t>3.</w:t>
      </w:r>
      <w:r w:rsidR="00B113F0">
        <w:rPr>
          <w:rFonts w:ascii="Times New Roman" w:eastAsia="Times New Roman" w:hAnsi="Times New Roman" w:cs="Times New Roman"/>
          <w:b/>
          <w:color w:val="171717"/>
          <w:sz w:val="20"/>
          <w:szCs w:val="20"/>
        </w:rPr>
        <w:t xml:space="preserve">3. Factors driving foraging choices by granivores </w:t>
      </w:r>
    </w:p>
    <w:p w14:paraId="05BE0176" w14:textId="77777777" w:rsidR="00B113F0" w:rsidRDefault="00B113F0" w:rsidP="00B113F0">
      <w:pPr>
        <w:keepNext/>
        <w:keepLines/>
        <w:spacing w:after="0"/>
        <w:ind w:left="502"/>
        <w:jc w:val="both"/>
        <w:rPr>
          <w:rFonts w:ascii="Times New Roman" w:eastAsia="Times New Roman" w:hAnsi="Times New Roman" w:cs="Times New Roman"/>
          <w:b/>
          <w:color w:val="171717"/>
          <w:sz w:val="20"/>
          <w:szCs w:val="20"/>
        </w:rPr>
      </w:pPr>
    </w:p>
    <w:p w14:paraId="654ACE1A" w14:textId="1FE53C9B" w:rsidR="00B113F0" w:rsidRPr="00543AE6" w:rsidRDefault="00000000" w:rsidP="00B113F0">
      <w:pPr>
        <w:jc w:val="center"/>
        <w:rPr>
          <w:rFonts w:ascii="Cambria Math" w:eastAsia="Cambria Math" w:hAnsi="Cambria Math" w:cs="Cambria Math"/>
          <w:i/>
          <w:sz w:val="18"/>
          <w:szCs w:val="20"/>
        </w:rPr>
      </w:pPr>
      <m:oMathPara>
        <m:oMath>
          <m:sSub>
            <m:sSubPr>
              <m:ctrlPr>
                <w:rPr>
                  <w:rFonts w:ascii="Cambria Math" w:hAnsi="Cambria Math"/>
                  <w:i/>
                </w:rPr>
              </m:ctrlPr>
            </m:sSubPr>
            <m:e>
              <m:r>
                <w:rPr>
                  <w:rFonts w:ascii="Cambria Math" w:hAnsi="Cambria Math"/>
                </w:rPr>
                <m:t>y</m:t>
              </m:r>
            </m:e>
            <m:sub>
              <m:r>
                <w:rPr>
                  <w:rFonts w:ascii="Cambria Math" w:hAnsi="Cambria Math"/>
                </w:rPr>
                <m:t>kiw ~</m:t>
              </m:r>
            </m:sub>
          </m:sSub>
          <m:r>
            <w:rPr>
              <w:rFonts w:ascii="Cambria Math" w:hAnsi="Cambria Math"/>
            </w:rPr>
            <m:t xml:space="preserve"> WalleniusHipergeometric</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kiw</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iw</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kiw</m:t>
                  </m:r>
                </m:sub>
              </m:sSub>
            </m:e>
          </m:d>
        </m:oMath>
      </m:oMathPara>
    </w:p>
    <w:p w14:paraId="01D1AB2B" w14:textId="4ED0A8CA" w:rsidR="00B113F0" w:rsidRPr="00543AE6" w:rsidRDefault="00000000" w:rsidP="00B113F0">
      <w:pPr>
        <w:rPr>
          <w:rFonts w:ascii="Cambria Math" w:eastAsia="Cambria Math" w:hAnsi="Cambria Math" w:cs="Cambria Math"/>
          <w:i/>
          <w:sz w:val="18"/>
          <w:szCs w:val="18"/>
        </w:rPr>
      </w:pPr>
      <m:oMathPara>
        <m:oMath>
          <m:sSub>
            <m:sSubPr>
              <m:ctrlPr>
                <w:rPr>
                  <w:rFonts w:ascii="Cambria Math" w:hAnsi="Cambria Math"/>
                  <w:i/>
                </w:rPr>
              </m:ctrlPr>
            </m:sSubPr>
            <m:e>
              <m:r>
                <w:rPr>
                  <w:rFonts w:ascii="Cambria Math" w:hAnsi="Cambria Math"/>
                </w:rPr>
                <m:t>p</m:t>
              </m:r>
            </m:e>
            <m:sub>
              <m:r>
                <w:rPr>
                  <w:rFonts w:ascii="Cambria Math" w:hAnsi="Cambria Math"/>
                </w:rPr>
                <m:t>kiw</m:t>
              </m:r>
            </m:sub>
          </m:sSub>
          <m:r>
            <w:rPr>
              <w:rFonts w:ascii="Cambria Math" w:hAnsi="Cambria Math"/>
            </w:rPr>
            <m:t>=</m:t>
          </m:r>
          <m:f>
            <m:fPr>
              <m:ctrlPr>
                <w:rPr>
                  <w:rFonts w:ascii="Cambria Math" w:hAnsi="Cambria Math"/>
                  <w:i/>
                </w:rPr>
              </m:ctrlPr>
            </m:fPr>
            <m:num>
              <m:r>
                <w:rPr>
                  <w:rFonts w:ascii="Cambria Math" w:hAnsi="Cambria Math"/>
                </w:rPr>
                <m:t>exp</m:t>
              </m:r>
              <m:d>
                <m:dPr>
                  <m:ctrlPr>
                    <w:rPr>
                      <w:rFonts w:ascii="Cambria Math"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kiw</m:t>
                      </m:r>
                    </m:sub>
                  </m:sSub>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kw</m:t>
                  </m:r>
                </m:sub>
              </m:sSub>
            </m:num>
            <m:den>
              <m:nary>
                <m:naryPr>
                  <m:chr m:val="∑"/>
                  <m:ctrlPr>
                    <w:rPr>
                      <w:rFonts w:ascii="Cambria Math" w:hAnsi="Cambria Math"/>
                      <w:i/>
                    </w:rPr>
                  </m:ctrlPr>
                </m:naryPr>
                <m:sub>
                  <m:r>
                    <w:rPr>
                      <w:rFonts w:ascii="Cambria Math" w:hAnsi="Cambria Math"/>
                    </w:rPr>
                    <m:t>j=1</m:t>
                  </m:r>
                </m:sub>
                <m:sup>
                  <m:r>
                    <w:rPr>
                      <w:rFonts w:ascii="Cambria Math" w:hAnsi="Cambria Math"/>
                    </w:rPr>
                    <m:t>7</m:t>
                  </m:r>
                </m:sup>
                <m:e>
                  <m:r>
                    <w:rPr>
                      <w:rFonts w:ascii="Cambria Math" w:hAnsi="Cambria Math"/>
                    </w:rPr>
                    <m:t>exp</m:t>
                  </m:r>
                  <m:d>
                    <m:dPr>
                      <m:ctrlPr>
                        <w:rPr>
                          <w:rFonts w:ascii="Cambria Math" w:hAnsi="Cambria Math"/>
                          <w:i/>
                        </w:rPr>
                      </m:ctrlPr>
                    </m:dPr>
                    <m:e>
                      <m:sSub>
                        <m:sSubPr>
                          <m:ctrlPr>
                            <w:rPr>
                              <w:rFonts w:ascii="Cambria Math" w:hAnsi="Cambria Math"/>
                              <w:i/>
                            </w:rPr>
                          </m:ctrlPr>
                        </m:sSubPr>
                        <m:e>
                          <m:r>
                            <w:rPr>
                              <w:rFonts w:ascii="Cambria Math" w:hAnsi="Cambria Math"/>
                            </w:rPr>
                            <m:t>η</m:t>
                          </m:r>
                        </m:e>
                        <m:sub>
                          <m:r>
                            <w:rPr>
                              <w:rFonts w:ascii="Cambria Math" w:hAnsi="Cambria Math"/>
                            </w:rPr>
                            <m:t>jiw</m:t>
                          </m:r>
                        </m:sub>
                      </m:sSub>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jw</m:t>
                      </m:r>
                    </m:sub>
                  </m:sSub>
                </m:e>
              </m:nary>
            </m:den>
          </m:f>
        </m:oMath>
      </m:oMathPara>
    </w:p>
    <w:p w14:paraId="63A03D6D" w14:textId="0774A435" w:rsidR="00B113F0" w:rsidRPr="00543AE6" w:rsidRDefault="00000000" w:rsidP="00B113F0">
      <w:pPr>
        <w:rPr>
          <w:rFonts w:ascii="Cambria Math" w:hAnsi="Cambria Math"/>
          <w:i/>
        </w:rPr>
      </w:pPr>
      <m:oMath>
        <m:sSub>
          <m:sSubPr>
            <m:ctrlPr>
              <w:rPr>
                <w:rFonts w:ascii="Cambria Math" w:hAnsi="Cambria Math"/>
                <w:i/>
              </w:rPr>
            </m:ctrlPr>
          </m:sSubPr>
          <m:e>
            <m:r>
              <w:rPr>
                <w:rFonts w:ascii="Cambria Math" w:hAnsi="Cambria Math"/>
              </w:rPr>
              <m:t>I</m:t>
            </m:r>
          </m:e>
          <m:sub>
            <m:r>
              <w:rPr>
                <w:rFonts w:ascii="Cambria Math" w:hAnsi="Cambria Math"/>
              </w:rPr>
              <m:t>jw</m:t>
            </m:r>
          </m:sub>
        </m:sSub>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 if the I-th species is absent</m:t>
                </m:r>
              </m:e>
              <m:e>
                <m:r>
                  <w:rPr>
                    <w:rFonts w:ascii="Cambria Math" w:hAnsi="Cambria Math"/>
                  </w:rPr>
                  <m:t>1 if the I-th species is present</m:t>
                </m:r>
              </m:e>
            </m:eqArr>
          </m:e>
        </m:d>
      </m:oMath>
      <w:r w:rsidR="00B113F0" w:rsidRPr="00543AE6">
        <w:rPr>
          <w:rFonts w:ascii="Cambria Math" w:hAnsi="Cambria Math"/>
          <w:i/>
        </w:rPr>
        <w:t xml:space="preserve">         </w:t>
      </w:r>
      <m:oMath>
        <m:sSub>
          <m:sSubPr>
            <m:ctrlPr>
              <w:rPr>
                <w:rFonts w:ascii="Cambria Math" w:hAnsi="Cambria Math"/>
                <w:i/>
              </w:rPr>
            </m:ctrlPr>
          </m:sSubPr>
          <m:e>
            <m:r>
              <w:rPr>
                <w:rFonts w:ascii="Cambria Math" w:hAnsi="Cambria Math"/>
              </w:rPr>
              <m:t>I</m:t>
            </m:r>
          </m:e>
          <m:sub>
            <m:r>
              <w:rPr>
                <w:rFonts w:ascii="Cambria Math" w:hAnsi="Cambria Math"/>
              </w:rPr>
              <m:t>kw</m:t>
            </m:r>
          </m:sub>
        </m:sSub>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 if the I-th species is absent</m:t>
                </m:r>
              </m:e>
              <m:e>
                <m:r>
                  <w:rPr>
                    <w:rFonts w:ascii="Cambria Math" w:hAnsi="Cambria Math"/>
                  </w:rPr>
                  <m:t>1 if the I-th species is present</m:t>
                </m:r>
              </m:e>
            </m:eqArr>
          </m:e>
        </m:d>
      </m:oMath>
    </w:p>
    <w:p w14:paraId="15617045" w14:textId="076ED4AC" w:rsidR="00B113F0" w:rsidRPr="00543AE6" w:rsidRDefault="00000000" w:rsidP="00B113F0">
      <w:pPr>
        <w:jc w:val="center"/>
        <w:rPr>
          <w:rFonts w:ascii="Cambria Math" w:hAnsi="Cambria Math"/>
          <w:i/>
        </w:rPr>
      </w:pPr>
      <m:oMathPara>
        <m:oMath>
          <m:sSub>
            <m:sSubPr>
              <m:ctrlPr>
                <w:rPr>
                  <w:rFonts w:ascii="Cambria Math" w:hAnsi="Cambria Math"/>
                  <w:i/>
                </w:rPr>
              </m:ctrlPr>
            </m:sSubPr>
            <m:e>
              <m:r>
                <w:rPr>
                  <w:rFonts w:ascii="Cambria Math" w:hAnsi="Cambria Math"/>
                </w:rPr>
                <m:t>η</m:t>
              </m:r>
            </m:e>
            <m:sub>
              <m:r>
                <w:rPr>
                  <w:rFonts w:ascii="Cambria Math" w:hAnsi="Cambria Math"/>
                </w:rPr>
                <m:t>kiw</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S</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Sup>
            <m:sSubSupPr>
              <m:ctrlPr>
                <w:rPr>
                  <w:rFonts w:ascii="Cambria Math" w:hAnsi="Cambria Math"/>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A</m:t>
              </m:r>
            </m:e>
            <m:sub>
              <m:r>
                <w:rPr>
                  <w:rFonts w:ascii="Cambria Math" w:hAnsi="Cambria Math"/>
                </w:rPr>
                <m:t>kw</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sSub>
            <m:sSubPr>
              <m:ctrlPr>
                <w:rPr>
                  <w:rFonts w:ascii="Cambria Math" w:hAnsi="Cambria Math"/>
                  <w:i/>
                </w:rPr>
              </m:ctrlPr>
            </m:sSubPr>
            <m:e>
              <m:r>
                <w:rPr>
                  <w:rFonts w:ascii="Cambria Math" w:hAnsi="Cambria Math"/>
                </w:rPr>
                <m:t>S</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sSubSup>
            <m:sSubSupPr>
              <m:ctrlPr>
                <w:rPr>
                  <w:rFonts w:ascii="Cambria Math" w:hAnsi="Cambria Math"/>
                  <w:i/>
                </w:rPr>
              </m:ctrlPr>
            </m:sSubSupPr>
            <m:e>
              <m:r>
                <w:rPr>
                  <w:rFonts w:ascii="Cambria Math" w:hAnsi="Cambria Math"/>
                </w:rPr>
                <m:t>S</m:t>
              </m:r>
            </m:e>
            <m:sub>
              <m:r>
                <w:rPr>
                  <w:rFonts w:ascii="Cambria Math" w:hAnsi="Cambria Math"/>
                </w:rPr>
                <m:t>k</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m:t>
              </m:r>
            </m:sub>
          </m:sSub>
          <m:sSub>
            <m:sSubPr>
              <m:ctrlPr>
                <w:rPr>
                  <w:rFonts w:ascii="Cambria Math" w:hAnsi="Cambria Math"/>
                  <w:i/>
                </w:rPr>
              </m:ctrlPr>
            </m:sSubPr>
            <m:e>
              <m:r>
                <w:rPr>
                  <w:rFonts w:ascii="Cambria Math" w:hAnsi="Cambria Math"/>
                </w:rPr>
                <m:t>A</m:t>
              </m:r>
            </m:e>
            <m:sub>
              <m:r>
                <w:rPr>
                  <w:rFonts w:ascii="Cambria Math" w:hAnsi="Cambria Math"/>
                </w:rPr>
                <m:t>kw</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m:t>
              </m:r>
            </m:sub>
          </m:sSub>
        </m:oMath>
      </m:oMathPara>
    </w:p>
    <w:p w14:paraId="561CC03C" w14:textId="7617585F" w:rsidR="00B113F0" w:rsidRPr="00543AE6" w:rsidRDefault="00000000" w:rsidP="00B113F0">
      <w:pPr>
        <w:jc w:val="center"/>
        <w:rPr>
          <w:rFonts w:ascii="Cambria Math" w:hAnsi="Cambria Math"/>
          <w:i/>
        </w:rPr>
      </w:pPr>
      <m:oMath>
        <m:sSub>
          <m:sSubPr>
            <m:ctrlPr>
              <w:rPr>
                <w:rFonts w:ascii="Cambria Math" w:hAnsi="Cambria Math"/>
                <w:i/>
              </w:rPr>
            </m:ctrlPr>
          </m:sSubPr>
          <m:e>
            <m:r>
              <w:rPr>
                <w:rFonts w:ascii="Cambria Math" w:hAnsi="Cambria Math"/>
              </w:rPr>
              <m:t>β</m:t>
            </m:r>
          </m:e>
          <m:sub>
            <m:r>
              <w:rPr>
                <w:rFonts w:ascii="Cambria Math" w:hAnsi="Cambria Math"/>
              </w:rPr>
              <m:t>n</m:t>
            </m:r>
          </m:sub>
        </m:sSub>
        <m:r>
          <w:rPr>
            <w:rFonts w:ascii="Cambria Math" w:hAnsi="Cambria Math"/>
          </w:rPr>
          <m:t xml:space="preserve"> ~Normal </m:t>
        </m:r>
        <m:d>
          <m:dPr>
            <m:ctrlPr>
              <w:rPr>
                <w:rFonts w:ascii="Cambria Math" w:hAnsi="Cambria Math"/>
                <w:i/>
              </w:rPr>
            </m:ctrlPr>
          </m:dPr>
          <m:e>
            <m:r>
              <w:rPr>
                <w:rFonts w:ascii="Cambria Math" w:hAnsi="Cambria Math"/>
              </w:rPr>
              <m:t>0,1</m:t>
            </m:r>
          </m:e>
        </m:d>
      </m:oMath>
      <w:r w:rsidR="00B113F0" w:rsidRPr="00543AE6">
        <w:rPr>
          <w:rFonts w:ascii="Cambria Math" w:hAnsi="Cambria Math"/>
          <w:i/>
        </w:rPr>
        <w:t xml:space="preserve"> for n \ in {1, 2, …, 6}</w:t>
      </w:r>
    </w:p>
    <w:p w14:paraId="2807AE57" w14:textId="77777777" w:rsidR="00B113F0" w:rsidRPr="00BA50ED" w:rsidRDefault="00B113F0" w:rsidP="00B113F0">
      <w:pPr>
        <w:jc w:val="center"/>
        <w:rPr>
          <w:rFonts w:ascii="Cambria Math" w:eastAsia="Cambria Math" w:hAnsi="Cambria Math" w:cs="Cambria Math"/>
        </w:rPr>
      </w:pPr>
    </w:p>
    <w:p w14:paraId="49B812B3" w14:textId="77777777" w:rsidR="00B113F0" w:rsidRPr="00BA50ED" w:rsidRDefault="00B113F0" w:rsidP="00B113F0">
      <w:pPr>
        <w:jc w:val="center"/>
        <w:rPr>
          <w:rFonts w:ascii="Cambria Math" w:eastAsia="Cambria Math" w:hAnsi="Cambria Math" w:cs="Cambria Math"/>
          <w:sz w:val="20"/>
          <w:szCs w:val="20"/>
        </w:rPr>
      </w:pPr>
    </w:p>
    <w:p w14:paraId="35B247BA" w14:textId="1331660B" w:rsidR="00B113F0" w:rsidRDefault="00B113F0" w:rsidP="00B113F0">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number of seeds </w:t>
      </w:r>
      <w:r w:rsidR="00B72CA4">
        <w:rPr>
          <w:rFonts w:ascii="Times New Roman" w:eastAsia="Times New Roman" w:hAnsi="Times New Roman" w:cs="Times New Roman"/>
          <w:sz w:val="20"/>
          <w:szCs w:val="20"/>
        </w:rPr>
        <w:t xml:space="preserve">removed </w:t>
      </w:r>
      <w:r>
        <w:rPr>
          <w:rFonts w:ascii="Times New Roman" w:eastAsia="Times New Roman" w:hAnsi="Times New Roman" w:cs="Times New Roman"/>
          <w:sz w:val="20"/>
          <w:szCs w:val="20"/>
        </w:rPr>
        <w:t xml:space="preserve">of the k-th species in the i-th plot during the w-th week followed a multivariate Wallenius’ Hipergeometric distribution with a species-specific probability of </w:t>
      </w:r>
      <w:r w:rsidR="00B72CA4">
        <w:rPr>
          <w:rFonts w:ascii="Times New Roman" w:eastAsia="Times New Roman" w:hAnsi="Times New Roman" w:cs="Times New Roman"/>
          <w:sz w:val="20"/>
          <w:szCs w:val="20"/>
        </w:rPr>
        <w:t xml:space="preserve">removal </w:t>
      </w:r>
      <m:oMath>
        <m:sSub>
          <m:sSubPr>
            <m:ctrlPr>
              <w:rPr>
                <w:rFonts w:ascii="Cambria Math" w:hAnsi="Cambria Math"/>
              </w:rPr>
            </m:ctrlPr>
          </m:sSubPr>
          <m:e>
            <m:r>
              <w:rPr>
                <w:rFonts w:ascii="Cambria Math" w:hAnsi="Cambria Math"/>
              </w:rPr>
              <m:t>p</m:t>
            </m:r>
          </m:e>
          <m:sub>
            <m:r>
              <w:rPr>
                <w:rFonts w:ascii="Cambria Math" w:hAnsi="Cambria Math"/>
              </w:rPr>
              <m:t>kiw</m:t>
            </m:r>
          </m:sub>
        </m:sSub>
      </m:oMath>
      <w:r>
        <w:rPr>
          <w:rFonts w:ascii="Times New Roman" w:eastAsia="Times New Roman" w:hAnsi="Times New Roman" w:cs="Times New Roman"/>
          <w:sz w:val="20"/>
          <w:szCs w:val="20"/>
        </w:rPr>
        <w:t xml:space="preserve">, a total number of </w:t>
      </w:r>
      <w:r w:rsidR="00B72CA4">
        <w:rPr>
          <w:rFonts w:ascii="Times New Roman" w:eastAsia="Times New Roman" w:hAnsi="Times New Roman" w:cs="Times New Roman"/>
          <w:sz w:val="20"/>
          <w:szCs w:val="20"/>
        </w:rPr>
        <w:t xml:space="preserve">removed </w:t>
      </w:r>
      <w:r>
        <w:rPr>
          <w:rFonts w:ascii="Times New Roman" w:eastAsia="Times New Roman" w:hAnsi="Times New Roman" w:cs="Times New Roman"/>
          <w:sz w:val="20"/>
          <w:szCs w:val="20"/>
        </w:rPr>
        <w:t xml:space="preserve">seeds </w:t>
      </w:r>
      <m:oMath>
        <m:sSub>
          <m:sSubPr>
            <m:ctrlPr>
              <w:rPr>
                <w:rFonts w:ascii="Cambria Math" w:hAnsi="Cambria Math"/>
              </w:rPr>
            </m:ctrlPr>
          </m:sSubPr>
          <m:e>
            <m:r>
              <w:rPr>
                <w:rFonts w:ascii="Cambria Math" w:hAnsi="Cambria Math"/>
              </w:rPr>
              <m:t>T</m:t>
            </m:r>
          </m:e>
          <m:sub>
            <m:r>
              <w:rPr>
                <w:rFonts w:ascii="Cambria Math" w:hAnsi="Cambria Math"/>
              </w:rPr>
              <m:t>iw</m:t>
            </m:r>
          </m:sub>
        </m:sSub>
      </m:oMath>
      <w:r>
        <w:rPr>
          <w:rFonts w:ascii="Times New Roman" w:eastAsia="Times New Roman" w:hAnsi="Times New Roman" w:cs="Times New Roman"/>
          <w:color w:val="000000"/>
          <w:sz w:val="20"/>
          <w:szCs w:val="20"/>
        </w:rPr>
        <w:t xml:space="preserve"> and number of seeds offered by species </w:t>
      </w:r>
      <m:oMath>
        <m:sSub>
          <m:sSubPr>
            <m:ctrlPr>
              <w:rPr>
                <w:rFonts w:ascii="Cambria Math" w:hAnsi="Cambria Math"/>
              </w:rPr>
            </m:ctrlPr>
          </m:sSubPr>
          <m:e>
            <m:r>
              <w:rPr>
                <w:rFonts w:ascii="Cambria Math" w:hAnsi="Cambria Math"/>
              </w:rPr>
              <m:t>N</m:t>
            </m:r>
          </m:e>
          <m:sub>
            <m:r>
              <w:rPr>
                <w:rFonts w:ascii="Cambria Math" w:hAnsi="Cambria Math"/>
              </w:rPr>
              <m:t>kiw</m:t>
            </m:r>
          </m:sub>
        </m:sSub>
      </m:oMath>
      <w:r>
        <w:rPr>
          <w:rFonts w:ascii="Times New Roman" w:eastAsia="Times New Roman" w:hAnsi="Times New Roman" w:cs="Times New Roman"/>
          <w:sz w:val="20"/>
          <w:szCs w:val="20"/>
        </w:rPr>
        <w:t xml:space="preserve">. Species-specific </w:t>
      </w:r>
      <w:r>
        <w:rPr>
          <w:rFonts w:ascii="Times New Roman" w:eastAsia="Times New Roman" w:hAnsi="Times New Roman" w:cs="Times New Roman"/>
          <w:sz w:val="20"/>
          <w:szCs w:val="20"/>
        </w:rPr>
        <w:lastRenderedPageBreak/>
        <w:t xml:space="preserve">probability of seed </w:t>
      </w:r>
      <w:r w:rsidR="005B4F72">
        <w:rPr>
          <w:rFonts w:ascii="Times New Roman" w:eastAsia="Times New Roman" w:hAnsi="Times New Roman" w:cs="Times New Roman"/>
          <w:sz w:val="20"/>
          <w:szCs w:val="20"/>
        </w:rPr>
        <w:t xml:space="preserve">selection </w:t>
      </w:r>
      <w:r>
        <w:rPr>
          <w:rFonts w:ascii="Times New Roman" w:eastAsia="Times New Roman" w:hAnsi="Times New Roman" w:cs="Times New Roman"/>
          <w:sz w:val="20"/>
          <w:szCs w:val="20"/>
        </w:rPr>
        <w:t>depended on their size, following a quadratic response (</w:t>
      </w:r>
      <m:oMath>
        <m:sSub>
          <m:sSubPr>
            <m:ctrlPr>
              <w:rPr>
                <w:rFonts w:ascii="Cambria Math" w:hAnsi="Cambria Math"/>
              </w:rPr>
            </m:ctrlPr>
          </m:sSubPr>
          <m:e>
            <m:r>
              <w:rPr>
                <w:rFonts w:ascii="Cambria Math" w:hAnsi="Cambria Math"/>
              </w:rPr>
              <m:t>β</m:t>
            </m:r>
          </m:e>
          <m:sub>
            <m:r>
              <w:rPr>
                <w:rFonts w:ascii="Cambria Math" w:hAnsi="Cambria Math"/>
              </w:rPr>
              <m:t>1</m:t>
            </m:r>
          </m:sub>
        </m:sSub>
        <m:sSub>
          <m:sSubPr>
            <m:ctrlPr>
              <w:rPr>
                <w:rFonts w:ascii="Cambria Math" w:hAnsi="Cambria Math"/>
              </w:rPr>
            </m:ctrlPr>
          </m:sSubPr>
          <m:e>
            <m:r>
              <w:rPr>
                <w:rFonts w:ascii="Cambria Math" w:hAnsi="Cambria Math"/>
              </w:rPr>
              <m:t>S</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2</m:t>
            </m:r>
          </m:sub>
        </m:sSub>
        <m:sSubSup>
          <m:sSubSupPr>
            <m:ctrlPr>
              <w:rPr>
                <w:rFonts w:ascii="Cambria Math" w:hAnsi="Cambria Math"/>
              </w:rPr>
            </m:ctrlPr>
          </m:sSubSupPr>
          <m:e>
            <m:r>
              <w:rPr>
                <w:rFonts w:ascii="Cambria Math" w:hAnsi="Cambria Math"/>
              </w:rPr>
              <m:t>S</m:t>
            </m:r>
          </m:e>
          <m:sub>
            <m:r>
              <w:rPr>
                <w:rFonts w:ascii="Cambria Math" w:hAnsi="Cambria Math"/>
              </w:rPr>
              <m:t>k</m:t>
            </m:r>
          </m:sub>
          <m:sup>
            <m:r>
              <w:rPr>
                <w:rFonts w:ascii="Cambria Math" w:hAnsi="Cambria Math"/>
              </w:rPr>
              <m:t>2</m:t>
            </m:r>
          </m:sup>
        </m:sSubSup>
      </m:oMath>
      <w:r>
        <w:rPr>
          <w:rFonts w:ascii="Times New Roman" w:eastAsia="Times New Roman" w:hAnsi="Times New Roman" w:cs="Times New Roman"/>
          <w:sz w:val="20"/>
          <w:szCs w:val="20"/>
        </w:rPr>
        <w:t>), their estimated species-specific relative abundance per week (</w:t>
      </w:r>
      <m:oMath>
        <m:sSub>
          <m:sSubPr>
            <m:ctrlPr>
              <w:rPr>
                <w:rFonts w:ascii="Cambria Math" w:hAnsi="Cambria Math"/>
              </w:rPr>
            </m:ctrlPr>
          </m:sSubPr>
          <m:e>
            <m:r>
              <w:rPr>
                <w:rFonts w:ascii="Cambria Math" w:hAnsi="Cambria Math"/>
              </w:rPr>
              <m:t>β</m:t>
            </m:r>
          </m:e>
          <m:sub>
            <m:r>
              <w:rPr>
                <w:rFonts w:ascii="Cambria Math" w:hAnsi="Cambria Math"/>
              </w:rPr>
              <m:t>3</m:t>
            </m:r>
          </m:sub>
        </m:sSub>
        <m:sSub>
          <m:sSubPr>
            <m:ctrlPr>
              <w:rPr>
                <w:rFonts w:ascii="Cambria Math" w:hAnsi="Cambria Math"/>
              </w:rPr>
            </m:ctrlPr>
          </m:sSubPr>
          <m:e>
            <m:r>
              <w:rPr>
                <w:rFonts w:ascii="Cambria Math" w:hAnsi="Cambria Math"/>
              </w:rPr>
              <m:t>A</m:t>
            </m:r>
          </m:e>
          <m:sub>
            <m:r>
              <w:rPr>
                <w:rFonts w:ascii="Cambria Math" w:hAnsi="Cambria Math"/>
              </w:rPr>
              <m:t>kw</m:t>
            </m:r>
          </m:sub>
        </m:sSub>
      </m:oMath>
      <w:r>
        <w:t xml:space="preserve">, </w:t>
      </w:r>
      <w:r>
        <w:rPr>
          <w:rFonts w:ascii="Times New Roman" w:eastAsia="Times New Roman" w:hAnsi="Times New Roman" w:cs="Times New Roman"/>
          <w:sz w:val="20"/>
          <w:szCs w:val="20"/>
        </w:rPr>
        <w:t>log-transformed) and the interaction of both terms with shrub cover. Covariates were standardized (mean=0, sd = 1) before model fit. We used weakly informative priors for all parameters – normal distribution with mean = 0, sd = 1.  We run 3 chains over 200000 iterations with a thining of 20. After checking for convergence (Rhat &lt;1.01) and effective sample sizes (n.eff &gt;9000), we evaluated model fit by means of posterior predictive checks (Fig. S3). Model was fitted using the R package BiasedUrn (Fog, 2022) for computing the likelihood function, and sampling the posterior distribution</w:t>
      </w:r>
      <w:r>
        <w:rPr>
          <w:rFonts w:ascii="Times New Roman" w:eastAsia="Times New Roman" w:hAnsi="Times New Roman" w:cs="Times New Roman"/>
          <w:sz w:val="20"/>
          <w:szCs w:val="20"/>
          <w:highlight w:val="white"/>
        </w:rPr>
        <w:t xml:space="preserve"> with random walk Metropolis algorithm</w:t>
      </w:r>
      <w:r>
        <w:rPr>
          <w:rFonts w:ascii="Times New Roman" w:eastAsia="Times New Roman" w:hAnsi="Times New Roman" w:cs="Times New Roman"/>
          <w:sz w:val="20"/>
          <w:szCs w:val="20"/>
        </w:rPr>
        <w:t xml:space="preserve">, as implemented in the MCMC R package (Geyer, 2022). </w:t>
      </w:r>
      <w:r>
        <w:rPr>
          <w:rFonts w:ascii="Times New Roman" w:hAnsi="Times New Roman" w:cs="Times New Roman"/>
          <w:sz w:val="20"/>
          <w:szCs w:val="20"/>
        </w:rPr>
        <w:t xml:space="preserve"> </w:t>
      </w:r>
    </w:p>
    <w:p w14:paraId="1376773A" w14:textId="77777777" w:rsidR="00B113F0" w:rsidRDefault="00B113F0" w:rsidP="00B113F0">
      <w:pPr>
        <w:jc w:val="both"/>
        <w:rPr>
          <w:rFonts w:ascii="Times New Roman" w:eastAsia="Times New Roman" w:hAnsi="Times New Roman" w:cs="Times New Roman"/>
          <w:sz w:val="20"/>
          <w:szCs w:val="20"/>
        </w:rPr>
      </w:pPr>
    </w:p>
    <w:p w14:paraId="42C89894" w14:textId="22EB4D40" w:rsidR="00B113F0" w:rsidRDefault="007744C2" w:rsidP="00B113F0">
      <w:pPr>
        <w:keepNext/>
      </w:pPr>
      <w:r>
        <w:rPr>
          <w:noProof/>
        </w:rPr>
        <w:drawing>
          <wp:inline distT="0" distB="0" distL="0" distR="0" wp14:anchorId="54914EEE" wp14:editId="482DF3DE">
            <wp:extent cx="5400040" cy="28168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2816860"/>
                    </a:xfrm>
                    <a:prstGeom prst="rect">
                      <a:avLst/>
                    </a:prstGeom>
                  </pic:spPr>
                </pic:pic>
              </a:graphicData>
            </a:graphic>
          </wp:inline>
        </w:drawing>
      </w:r>
    </w:p>
    <w:p w14:paraId="24923B8F" w14:textId="6B7FE7C8" w:rsidR="00B113F0" w:rsidRDefault="00B113F0" w:rsidP="00B113F0">
      <w:pPr>
        <w:spacing w:after="0"/>
        <w:jc w:val="both"/>
        <w:rPr>
          <w:rFonts w:ascii="Times New Roman" w:hAnsi="Times New Roman" w:cs="Times New Roman"/>
          <w:color w:val="000000" w:themeColor="text1"/>
          <w:sz w:val="20"/>
          <w:szCs w:val="20"/>
        </w:rPr>
      </w:pPr>
      <w:r>
        <w:rPr>
          <w:rFonts w:ascii="Times New Roman" w:hAnsi="Times New Roman" w:cs="Times New Roman"/>
          <w:b/>
          <w:sz w:val="20"/>
          <w:szCs w:val="20"/>
        </w:rPr>
        <w:t>Figure S</w:t>
      </w:r>
      <w:r w:rsidR="005F5FB7">
        <w:rPr>
          <w:rFonts w:ascii="Times New Roman" w:hAnsi="Times New Roman" w:cs="Times New Roman"/>
          <w:b/>
          <w:sz w:val="20"/>
          <w:szCs w:val="20"/>
        </w:rPr>
        <w:t>3</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 xml:space="preserve">Posterior predictive check of the </w:t>
      </w:r>
      <w:r>
        <w:rPr>
          <w:rFonts w:ascii="Times New Roman" w:eastAsia="Times New Roman" w:hAnsi="Times New Roman" w:cs="Times New Roman"/>
          <w:color w:val="171717"/>
          <w:sz w:val="20"/>
          <w:szCs w:val="20"/>
        </w:rPr>
        <w:t xml:space="preserve">seed selection model </w:t>
      </w:r>
      <w:r>
        <w:rPr>
          <w:rFonts w:ascii="Times New Roman" w:hAnsi="Times New Roman" w:cs="Times New Roman"/>
          <w:color w:val="000000" w:themeColor="text1"/>
          <w:sz w:val="20"/>
          <w:szCs w:val="20"/>
        </w:rPr>
        <w:t xml:space="preserve">(Table 2, main text). Dots represent the mean predicted value of the seed </w:t>
      </w:r>
      <w:r w:rsidR="005B4F72">
        <w:rPr>
          <w:rFonts w:ascii="Times New Roman" w:hAnsi="Times New Roman" w:cs="Times New Roman"/>
          <w:color w:val="000000" w:themeColor="text1"/>
          <w:sz w:val="20"/>
          <w:szCs w:val="20"/>
        </w:rPr>
        <w:t xml:space="preserve">removal </w:t>
      </w:r>
      <w:r>
        <w:rPr>
          <w:rFonts w:ascii="Times New Roman" w:hAnsi="Times New Roman" w:cs="Times New Roman"/>
          <w:color w:val="000000" w:themeColor="text1"/>
          <w:sz w:val="20"/>
          <w:szCs w:val="20"/>
        </w:rPr>
        <w:t xml:space="preserve">rates after 72 h of offering (across 10000 posterior samples), and lines, the 90 % credible interval. The red line shows the 1:1 relationship. </w:t>
      </w:r>
    </w:p>
    <w:p w14:paraId="1903B5F7" w14:textId="77777777" w:rsidR="00B113F0" w:rsidRDefault="00B113F0" w:rsidP="00B113F0">
      <w:pPr>
        <w:pStyle w:val="Descripcin"/>
        <w:spacing w:line="276" w:lineRule="auto"/>
        <w:jc w:val="both"/>
        <w:rPr>
          <w:i w:val="0"/>
          <w:iCs w:val="0"/>
          <w:color w:val="auto"/>
          <w:sz w:val="22"/>
          <w:szCs w:val="22"/>
        </w:rPr>
      </w:pPr>
    </w:p>
    <w:p w14:paraId="3E68967A" w14:textId="77777777" w:rsidR="00B113F0" w:rsidRDefault="00B113F0" w:rsidP="00B113F0"/>
    <w:p w14:paraId="4D61A6AD" w14:textId="77777777" w:rsidR="00B113F0" w:rsidRDefault="00B113F0" w:rsidP="00B113F0"/>
    <w:p w14:paraId="36442B51" w14:textId="77777777" w:rsidR="00B113F0" w:rsidRDefault="00B113F0" w:rsidP="00B113F0"/>
    <w:p w14:paraId="703E8E8D" w14:textId="77777777" w:rsidR="00B113F0" w:rsidRDefault="00B113F0" w:rsidP="00B113F0"/>
    <w:p w14:paraId="761CE367" w14:textId="77777777" w:rsidR="00987477" w:rsidRDefault="00987477"/>
    <w:sectPr w:rsidR="00987477">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9C359" w14:textId="77777777" w:rsidR="00E852F3" w:rsidRDefault="00E852F3" w:rsidP="00662D8B">
      <w:pPr>
        <w:spacing w:after="0" w:line="240" w:lineRule="auto"/>
      </w:pPr>
      <w:r>
        <w:separator/>
      </w:r>
    </w:p>
  </w:endnote>
  <w:endnote w:type="continuationSeparator" w:id="0">
    <w:p w14:paraId="5E1EC3DC" w14:textId="77777777" w:rsidR="00E852F3" w:rsidRDefault="00E852F3" w:rsidP="00662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96450"/>
      <w:docPartObj>
        <w:docPartGallery w:val="Page Numbers (Bottom of Page)"/>
        <w:docPartUnique/>
      </w:docPartObj>
    </w:sdtPr>
    <w:sdtContent>
      <w:p w14:paraId="1DA1AD30" w14:textId="396EBA08" w:rsidR="00662D8B" w:rsidRDefault="00662D8B">
        <w:pPr>
          <w:pStyle w:val="Piedepgina"/>
          <w:jc w:val="right"/>
        </w:pPr>
        <w:r>
          <w:fldChar w:fldCharType="begin"/>
        </w:r>
        <w:r>
          <w:instrText>PAGE   \* MERGEFORMAT</w:instrText>
        </w:r>
        <w:r>
          <w:fldChar w:fldCharType="separate"/>
        </w:r>
        <w:r>
          <w:rPr>
            <w:lang w:val="es-ES"/>
          </w:rPr>
          <w:t>2</w:t>
        </w:r>
        <w:r>
          <w:fldChar w:fldCharType="end"/>
        </w:r>
      </w:p>
    </w:sdtContent>
  </w:sdt>
  <w:p w14:paraId="197587C2" w14:textId="77777777" w:rsidR="00662D8B" w:rsidRDefault="00662D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0BE4B" w14:textId="77777777" w:rsidR="00E852F3" w:rsidRDefault="00E852F3" w:rsidP="00662D8B">
      <w:pPr>
        <w:spacing w:after="0" w:line="240" w:lineRule="auto"/>
      </w:pPr>
      <w:r>
        <w:separator/>
      </w:r>
    </w:p>
  </w:footnote>
  <w:footnote w:type="continuationSeparator" w:id="0">
    <w:p w14:paraId="22DE4034" w14:textId="77777777" w:rsidR="00E852F3" w:rsidRDefault="00E852F3" w:rsidP="00662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13E10"/>
    <w:multiLevelType w:val="multilevel"/>
    <w:tmpl w:val="4246E81A"/>
    <w:lvl w:ilvl="0">
      <w:start w:val="1"/>
      <w:numFmt w:val="lowerLetter"/>
      <w:lvlText w:val="(%1)"/>
      <w:lvlJc w:val="left"/>
      <w:pPr>
        <w:tabs>
          <w:tab w:val="num" w:pos="0"/>
        </w:tabs>
        <w:ind w:left="360" w:hanging="360"/>
      </w:pPr>
      <w:rPr>
        <w:rFonts w:eastAsia="Calibri" w:cs="Calibri"/>
        <w:b/>
        <w:color w:val="000000"/>
        <w:vertAlign w:val="superscrip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9C54EAC"/>
    <w:multiLevelType w:val="hybridMultilevel"/>
    <w:tmpl w:val="9D40296C"/>
    <w:lvl w:ilvl="0" w:tplc="235CD7AC">
      <w:start w:val="1"/>
      <w:numFmt w:val="lowerLetter"/>
      <w:lvlText w:val="%1)"/>
      <w:lvlJc w:val="left"/>
      <w:pPr>
        <w:ind w:left="717" w:hanging="360"/>
      </w:pPr>
      <w:rPr>
        <w:rFonts w:hint="default"/>
      </w:rPr>
    </w:lvl>
    <w:lvl w:ilvl="1" w:tplc="2C0A0019" w:tentative="1">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2" w15:restartNumberingAfterBreak="0">
    <w:nsid w:val="5A595F90"/>
    <w:multiLevelType w:val="hybridMultilevel"/>
    <w:tmpl w:val="61D0E76A"/>
    <w:lvl w:ilvl="0" w:tplc="CF4ACDD8">
      <w:start w:val="1"/>
      <w:numFmt w:val="lowerLetter"/>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num w:numId="1" w16cid:durableId="1960258622">
    <w:abstractNumId w:val="0"/>
  </w:num>
  <w:num w:numId="2" w16cid:durableId="1651593011">
    <w:abstractNumId w:val="1"/>
  </w:num>
  <w:num w:numId="3" w16cid:durableId="617378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E5"/>
    <w:rsid w:val="00034B74"/>
    <w:rsid w:val="0003715E"/>
    <w:rsid w:val="000800F8"/>
    <w:rsid w:val="00097740"/>
    <w:rsid w:val="001171FB"/>
    <w:rsid w:val="00144614"/>
    <w:rsid w:val="00144E5C"/>
    <w:rsid w:val="001A1653"/>
    <w:rsid w:val="00212315"/>
    <w:rsid w:val="00241304"/>
    <w:rsid w:val="00321107"/>
    <w:rsid w:val="003E0787"/>
    <w:rsid w:val="003F1D04"/>
    <w:rsid w:val="00477FAD"/>
    <w:rsid w:val="00482EBC"/>
    <w:rsid w:val="004C16E5"/>
    <w:rsid w:val="004E0868"/>
    <w:rsid w:val="00507CB6"/>
    <w:rsid w:val="00543AE6"/>
    <w:rsid w:val="00556231"/>
    <w:rsid w:val="005617BB"/>
    <w:rsid w:val="00571FE9"/>
    <w:rsid w:val="005B4F72"/>
    <w:rsid w:val="005F5FB7"/>
    <w:rsid w:val="00602AE3"/>
    <w:rsid w:val="00616BB4"/>
    <w:rsid w:val="006300F7"/>
    <w:rsid w:val="00662D8B"/>
    <w:rsid w:val="006C752D"/>
    <w:rsid w:val="007311B8"/>
    <w:rsid w:val="007732F5"/>
    <w:rsid w:val="007744C2"/>
    <w:rsid w:val="007E0AC9"/>
    <w:rsid w:val="007E25AD"/>
    <w:rsid w:val="008429B9"/>
    <w:rsid w:val="00856B44"/>
    <w:rsid w:val="00872021"/>
    <w:rsid w:val="00974F75"/>
    <w:rsid w:val="00987477"/>
    <w:rsid w:val="009C01B5"/>
    <w:rsid w:val="009C0F6F"/>
    <w:rsid w:val="00A308FE"/>
    <w:rsid w:val="00AA131C"/>
    <w:rsid w:val="00AE44CC"/>
    <w:rsid w:val="00B113F0"/>
    <w:rsid w:val="00B72CA4"/>
    <w:rsid w:val="00CA5C33"/>
    <w:rsid w:val="00CB6037"/>
    <w:rsid w:val="00CD538B"/>
    <w:rsid w:val="00D1162E"/>
    <w:rsid w:val="00DE2961"/>
    <w:rsid w:val="00DE2E61"/>
    <w:rsid w:val="00DF0078"/>
    <w:rsid w:val="00E015E5"/>
    <w:rsid w:val="00E852F3"/>
    <w:rsid w:val="00EE75D9"/>
    <w:rsid w:val="00F43510"/>
    <w:rsid w:val="00FB41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7F44C"/>
  <w15:docId w15:val="{6F6E68C0-1BA5-4992-87B9-AD047753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3F0"/>
    <w:pPr>
      <w:suppressAutoHyphens/>
    </w:pPr>
    <w:rPr>
      <w:rFonts w:ascii="Calibri" w:eastAsia="Calibri" w:hAnsi="Calibri" w:cs="Calibri"/>
      <w:lang w:val="en-U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B113F0"/>
    <w:pPr>
      <w:spacing w:after="200" w:line="240" w:lineRule="auto"/>
    </w:pPr>
    <w:rPr>
      <w:i/>
      <w:iCs/>
      <w:color w:val="44546A" w:themeColor="text2"/>
      <w:sz w:val="18"/>
      <w:szCs w:val="18"/>
    </w:rPr>
  </w:style>
  <w:style w:type="table" w:customStyle="1" w:styleId="Tablanormal51">
    <w:name w:val="Tabla normal 51"/>
    <w:basedOn w:val="Tablanormal"/>
    <w:uiPriority w:val="45"/>
    <w:rsid w:val="00B113F0"/>
    <w:pPr>
      <w:suppressAutoHyphens/>
      <w:spacing w:after="0" w:line="240" w:lineRule="auto"/>
    </w:pPr>
    <w:rPr>
      <w:rFonts w:ascii="Calibri" w:eastAsia="Calibri" w:hAnsi="Calibri" w:cs="Calibri"/>
      <w:lang w:val="en-US" w:eastAsia="es-AR"/>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utoresCar">
    <w:name w:val="Autores Car"/>
    <w:basedOn w:val="Fuentedeprrafopredeter"/>
    <w:link w:val="Autores"/>
    <w:qFormat/>
    <w:rsid w:val="000800F8"/>
    <w:rPr>
      <w:rFonts w:eastAsia="Times New Roman" w:cstheme="minorHAnsi"/>
      <w:i/>
      <w:lang w:val="es-ES_tradnl" w:eastAsia="es-ES"/>
    </w:rPr>
  </w:style>
  <w:style w:type="character" w:customStyle="1" w:styleId="PalabrasClaveCar">
    <w:name w:val="PalabrasClave Car"/>
    <w:basedOn w:val="Fuentedeprrafopredeter"/>
    <w:link w:val="PalabrasClave"/>
    <w:qFormat/>
    <w:rsid w:val="000800F8"/>
    <w:rPr>
      <w:rFonts w:eastAsia="Times New Roman" w:cstheme="minorHAnsi"/>
      <w:bCs/>
      <w:lang w:val="es-ES_tradnl" w:eastAsia="es-ES"/>
    </w:rPr>
  </w:style>
  <w:style w:type="paragraph" w:customStyle="1" w:styleId="Autores">
    <w:name w:val="Autores"/>
    <w:basedOn w:val="Normal"/>
    <w:link w:val="AutoresCar"/>
    <w:qFormat/>
    <w:rsid w:val="000800F8"/>
    <w:pPr>
      <w:spacing w:after="240" w:line="240" w:lineRule="auto"/>
      <w:jc w:val="both"/>
    </w:pPr>
    <w:rPr>
      <w:rFonts w:asciiTheme="minorHAnsi" w:eastAsia="Times New Roman" w:hAnsiTheme="minorHAnsi" w:cstheme="minorHAnsi"/>
      <w:i/>
      <w:lang w:val="es-ES_tradnl" w:eastAsia="es-ES"/>
    </w:rPr>
  </w:style>
  <w:style w:type="paragraph" w:customStyle="1" w:styleId="PalabrasClave">
    <w:name w:val="PalabrasClave"/>
    <w:basedOn w:val="Normal"/>
    <w:link w:val="PalabrasClaveCar"/>
    <w:qFormat/>
    <w:rsid w:val="000800F8"/>
    <w:pPr>
      <w:spacing w:after="360" w:line="240" w:lineRule="auto"/>
      <w:jc w:val="both"/>
    </w:pPr>
    <w:rPr>
      <w:rFonts w:asciiTheme="minorHAnsi" w:eastAsia="Times New Roman" w:hAnsiTheme="minorHAnsi" w:cstheme="minorHAnsi"/>
      <w:bCs/>
      <w:lang w:val="es-ES_tradnl" w:eastAsia="es-ES"/>
    </w:rPr>
  </w:style>
  <w:style w:type="paragraph" w:styleId="Encabezado">
    <w:name w:val="header"/>
    <w:basedOn w:val="Normal"/>
    <w:link w:val="EncabezadoCar"/>
    <w:uiPriority w:val="99"/>
    <w:unhideWhenUsed/>
    <w:rsid w:val="00662D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2D8B"/>
    <w:rPr>
      <w:rFonts w:ascii="Calibri" w:eastAsia="Calibri" w:hAnsi="Calibri" w:cs="Calibri"/>
      <w:lang w:val="en-US" w:eastAsia="es-AR"/>
    </w:rPr>
  </w:style>
  <w:style w:type="paragraph" w:styleId="Piedepgina">
    <w:name w:val="footer"/>
    <w:basedOn w:val="Normal"/>
    <w:link w:val="PiedepginaCar"/>
    <w:uiPriority w:val="99"/>
    <w:unhideWhenUsed/>
    <w:rsid w:val="00662D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2D8B"/>
    <w:rPr>
      <w:rFonts w:ascii="Calibri" w:eastAsia="Calibri" w:hAnsi="Calibri" w:cs="Calibri"/>
      <w:lang w:val="en-US" w:eastAsia="es-AR"/>
    </w:rPr>
  </w:style>
  <w:style w:type="character" w:styleId="Refdecomentario">
    <w:name w:val="annotation reference"/>
    <w:basedOn w:val="Fuentedeprrafopredeter"/>
    <w:uiPriority w:val="99"/>
    <w:semiHidden/>
    <w:unhideWhenUsed/>
    <w:rsid w:val="00A308FE"/>
    <w:rPr>
      <w:sz w:val="16"/>
      <w:szCs w:val="16"/>
    </w:rPr>
  </w:style>
  <w:style w:type="paragraph" w:styleId="Textocomentario">
    <w:name w:val="annotation text"/>
    <w:basedOn w:val="Normal"/>
    <w:link w:val="TextocomentarioCar"/>
    <w:uiPriority w:val="99"/>
    <w:semiHidden/>
    <w:unhideWhenUsed/>
    <w:rsid w:val="00A308F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08FE"/>
    <w:rPr>
      <w:rFonts w:ascii="Calibri" w:eastAsia="Calibri" w:hAnsi="Calibri" w:cs="Calibri"/>
      <w:sz w:val="20"/>
      <w:szCs w:val="20"/>
      <w:lang w:val="en-US" w:eastAsia="es-AR"/>
    </w:rPr>
  </w:style>
  <w:style w:type="paragraph" w:styleId="Asuntodelcomentario">
    <w:name w:val="annotation subject"/>
    <w:basedOn w:val="Textocomentario"/>
    <w:next w:val="Textocomentario"/>
    <w:link w:val="AsuntodelcomentarioCar"/>
    <w:uiPriority w:val="99"/>
    <w:semiHidden/>
    <w:unhideWhenUsed/>
    <w:rsid w:val="00A308FE"/>
    <w:rPr>
      <w:b/>
      <w:bCs/>
    </w:rPr>
  </w:style>
  <w:style w:type="character" w:customStyle="1" w:styleId="AsuntodelcomentarioCar">
    <w:name w:val="Asunto del comentario Car"/>
    <w:basedOn w:val="TextocomentarioCar"/>
    <w:link w:val="Asuntodelcomentario"/>
    <w:uiPriority w:val="99"/>
    <w:semiHidden/>
    <w:rsid w:val="00A308FE"/>
    <w:rPr>
      <w:rFonts w:ascii="Calibri" w:eastAsia="Calibri" w:hAnsi="Calibri" w:cs="Calibri"/>
      <w:b/>
      <w:bCs/>
      <w:sz w:val="20"/>
      <w:szCs w:val="20"/>
      <w:lang w:val="en-US" w:eastAsia="es-AR"/>
    </w:rPr>
  </w:style>
  <w:style w:type="paragraph" w:styleId="Revisin">
    <w:name w:val="Revision"/>
    <w:hidden/>
    <w:uiPriority w:val="99"/>
    <w:semiHidden/>
    <w:rsid w:val="00B72CA4"/>
    <w:pPr>
      <w:spacing w:after="0" w:line="240" w:lineRule="auto"/>
    </w:pPr>
    <w:rPr>
      <w:rFonts w:ascii="Calibri" w:eastAsia="Calibri" w:hAnsi="Calibri" w:cs="Calibri"/>
      <w:lang w:val="en-US" w:eastAsia="es-AR"/>
    </w:rPr>
  </w:style>
  <w:style w:type="paragraph" w:styleId="Prrafodelista">
    <w:name w:val="List Paragraph"/>
    <w:basedOn w:val="Normal"/>
    <w:uiPriority w:val="34"/>
    <w:qFormat/>
    <w:rsid w:val="00241304"/>
    <w:pPr>
      <w:ind w:left="720"/>
      <w:contextualSpacing/>
    </w:pPr>
  </w:style>
  <w:style w:type="character" w:styleId="Hipervnculo">
    <w:name w:val="Hyperlink"/>
    <w:basedOn w:val="Fuentedeprrafopredeter"/>
    <w:uiPriority w:val="99"/>
    <w:semiHidden/>
    <w:unhideWhenUsed/>
    <w:rsid w:val="00974F75"/>
    <w:rPr>
      <w:color w:val="0000FF"/>
      <w:u w:val="single"/>
    </w:rPr>
  </w:style>
  <w:style w:type="table" w:styleId="Tablaconcuadrcula">
    <w:name w:val="Table Grid"/>
    <w:basedOn w:val="Tablanormal"/>
    <w:uiPriority w:val="39"/>
    <w:rsid w:val="00212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2123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422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1723</Words>
  <Characters>9477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dc:creator>
  <cp:keywords/>
  <dc:description/>
  <cp:lastModifiedBy>Sofí Campagna</cp:lastModifiedBy>
  <cp:revision>19</cp:revision>
  <dcterms:created xsi:type="dcterms:W3CDTF">2023-06-21T17:07:00Z</dcterms:created>
  <dcterms:modified xsi:type="dcterms:W3CDTF">2023-10-16T22:16:00Z</dcterms:modified>
</cp:coreProperties>
</file>