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A207A" w14:textId="77777777" w:rsidR="0009291D" w:rsidRDefault="0009291D" w:rsidP="0009291D">
      <w:pPr>
        <w:pStyle w:val="MDPI21heading1"/>
        <w:spacing w:before="0" w:after="0" w:line="240" w:lineRule="auto"/>
        <w:ind w:left="0"/>
      </w:pPr>
      <w:r>
        <w:t>Supplementary figures</w:t>
      </w:r>
    </w:p>
    <w:p w14:paraId="396CBF17" w14:textId="77777777" w:rsidR="0009291D" w:rsidRDefault="0009291D" w:rsidP="0009291D">
      <w:pPr>
        <w:pStyle w:val="MDPI21heading1"/>
        <w:spacing w:before="0" w:after="0" w:line="240" w:lineRule="auto"/>
        <w:ind w:left="0"/>
      </w:pPr>
    </w:p>
    <w:p w14:paraId="1BEB95DF" w14:textId="77777777" w:rsidR="0009291D" w:rsidRDefault="0009291D" w:rsidP="0009291D">
      <w:pPr>
        <w:pStyle w:val="MDPI13authornames"/>
        <w:spacing w:after="0" w:line="240" w:lineRule="auto"/>
      </w:pPr>
      <w:r>
        <w:t>Supplementary figure 1</w:t>
      </w:r>
    </w:p>
    <w:p w14:paraId="37E14E8D" w14:textId="77777777" w:rsidR="0009291D" w:rsidRDefault="0009291D" w:rsidP="0009291D">
      <w:r>
        <w:rPr>
          <w:lang w:eastAsia="de-DE" w:bidi="en-US"/>
        </w:rPr>
        <w:t xml:space="preserve"> </w:t>
      </w:r>
    </w:p>
    <w:p w14:paraId="598F3616" w14:textId="77777777" w:rsidR="0009291D" w:rsidRDefault="0009291D" w:rsidP="0009291D">
      <w:r w:rsidRPr="001A5D19">
        <w:rPr>
          <w:noProof/>
          <w:lang w:val="fr-FR" w:eastAsia="fr-FR"/>
        </w:rPr>
        <w:drawing>
          <wp:inline distT="0" distB="0" distL="0" distR="0" wp14:anchorId="127986DD" wp14:editId="5B3778DE">
            <wp:extent cx="6276109" cy="2378438"/>
            <wp:effectExtent l="0" t="0" r="0" b="3175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BC3DCB61-AD7A-44DE-807F-0321F01D9D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BC3DCB61-AD7A-44DE-807F-0321F01D9D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109" cy="237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AD30A" w14:textId="77777777" w:rsidR="0009291D" w:rsidRDefault="0009291D" w:rsidP="0009291D">
      <w:pPr>
        <w:rPr>
          <w:lang w:val="en-GB"/>
        </w:rPr>
      </w:pPr>
    </w:p>
    <w:p w14:paraId="2E1F19CD" w14:textId="77777777" w:rsidR="0009291D" w:rsidRDefault="0009291D" w:rsidP="0009291D">
      <w:pPr>
        <w:rPr>
          <w:lang w:val="en-GB"/>
        </w:rPr>
      </w:pPr>
      <w:r w:rsidRPr="000A7325">
        <w:rPr>
          <w:b/>
          <w:lang w:val="en-GB"/>
        </w:rPr>
        <w:t xml:space="preserve">Histopathological lung studies from </w:t>
      </w:r>
      <w:r>
        <w:rPr>
          <w:b/>
          <w:lang w:val="en-GB"/>
        </w:rPr>
        <w:t xml:space="preserve">infected (panels A-D) or </w:t>
      </w:r>
      <w:r w:rsidRPr="000A7325">
        <w:rPr>
          <w:b/>
          <w:lang w:val="en-GB"/>
        </w:rPr>
        <w:t xml:space="preserve">vaccinated </w:t>
      </w:r>
      <w:r>
        <w:rPr>
          <w:b/>
          <w:lang w:val="en-GB"/>
        </w:rPr>
        <w:t xml:space="preserve">then challenged (panels E-H) </w:t>
      </w:r>
      <w:r w:rsidRPr="000A7325">
        <w:rPr>
          <w:b/>
          <w:lang w:val="en-GB"/>
        </w:rPr>
        <w:t>mice</w:t>
      </w:r>
      <w:r w:rsidRPr="00FA3099">
        <w:rPr>
          <w:lang w:val="en-GB"/>
        </w:rPr>
        <w:t xml:space="preserve">. </w:t>
      </w:r>
    </w:p>
    <w:p w14:paraId="7A2D87EA" w14:textId="77777777" w:rsidR="0009291D" w:rsidRDefault="0009291D" w:rsidP="0009291D">
      <w:pPr>
        <w:rPr>
          <w:lang w:val="en-GB"/>
        </w:rPr>
      </w:pPr>
      <w:r w:rsidRPr="00FA3099">
        <w:rPr>
          <w:lang w:val="en-GB"/>
        </w:rPr>
        <w:t>40</w:t>
      </w:r>
      <w:r>
        <w:rPr>
          <w:lang w:val="en-GB"/>
        </w:rPr>
        <w:t>-fold magnified h</w:t>
      </w:r>
      <w:r w:rsidRPr="00FA3099">
        <w:rPr>
          <w:lang w:val="en-GB"/>
        </w:rPr>
        <w:t>istopathological images</w:t>
      </w:r>
      <w:r>
        <w:rPr>
          <w:lang w:val="en-GB"/>
        </w:rPr>
        <w:t xml:space="preserve"> of lung tissues 5 days post-infection: (</w:t>
      </w:r>
      <w:r w:rsidRPr="00FA3099">
        <w:rPr>
          <w:lang w:val="en-GB"/>
        </w:rPr>
        <w:t>A</w:t>
      </w:r>
      <w:r>
        <w:rPr>
          <w:lang w:val="en-GB"/>
        </w:rPr>
        <w:t>) Normal lung parenchyma in a mock-</w:t>
      </w:r>
      <w:r w:rsidRPr="00FA3099">
        <w:rPr>
          <w:lang w:val="en-GB"/>
        </w:rPr>
        <w:t xml:space="preserve">infected animal. </w:t>
      </w:r>
      <w:r>
        <w:rPr>
          <w:lang w:val="en-GB"/>
        </w:rPr>
        <w:t>(</w:t>
      </w:r>
      <w:r w:rsidRPr="00FA3099">
        <w:rPr>
          <w:lang w:val="en-GB"/>
        </w:rPr>
        <w:t>B</w:t>
      </w:r>
      <w:r>
        <w:rPr>
          <w:lang w:val="en-GB"/>
        </w:rPr>
        <w:t>)</w:t>
      </w:r>
      <w:r w:rsidRPr="00FA3099">
        <w:rPr>
          <w:lang w:val="en-GB"/>
        </w:rPr>
        <w:t xml:space="preserve"> Intranasal</w:t>
      </w:r>
      <w:r>
        <w:rPr>
          <w:lang w:val="en-GB"/>
        </w:rPr>
        <w:t xml:space="preserve"> (IN)</w:t>
      </w:r>
      <w:r w:rsidRPr="00FA3099">
        <w:rPr>
          <w:lang w:val="en-GB"/>
        </w:rPr>
        <w:t xml:space="preserve"> infection with </w:t>
      </w:r>
      <w:r>
        <w:rPr>
          <w:lang w:val="en-GB"/>
        </w:rPr>
        <w:t>r</w:t>
      </w:r>
      <w:r w:rsidRPr="00FA3099">
        <w:rPr>
          <w:lang w:val="en-GB"/>
        </w:rPr>
        <w:t xml:space="preserve">HMPV virus resulted in mild to moderate peri-bronchial and perivascular inflammation. </w:t>
      </w:r>
      <w:r>
        <w:rPr>
          <w:lang w:val="en-GB"/>
        </w:rPr>
        <w:t>(</w:t>
      </w:r>
      <w:r w:rsidRPr="00FA3099">
        <w:rPr>
          <w:lang w:val="en-GB"/>
        </w:rPr>
        <w:t>C</w:t>
      </w:r>
      <w:r>
        <w:rPr>
          <w:lang w:val="en-GB"/>
        </w:rPr>
        <w:t>)</w:t>
      </w:r>
      <w:r w:rsidRPr="00FA3099">
        <w:rPr>
          <w:lang w:val="en-GB"/>
        </w:rPr>
        <w:t xml:space="preserve"> </w:t>
      </w:r>
      <w:r>
        <w:rPr>
          <w:lang w:val="en-GB"/>
        </w:rPr>
        <w:t>IN</w:t>
      </w:r>
      <w:r w:rsidRPr="00FA3099">
        <w:rPr>
          <w:lang w:val="en-GB"/>
        </w:rPr>
        <w:t xml:space="preserve"> infection with monovalent </w:t>
      </w:r>
      <w:r>
        <w:rPr>
          <w:lang w:val="en-GB"/>
        </w:rPr>
        <w:t>Metavac®</w:t>
      </w:r>
      <w:r w:rsidRPr="00FA3099">
        <w:rPr>
          <w:lang w:val="en-GB"/>
        </w:rPr>
        <w:t xml:space="preserve"> </w:t>
      </w:r>
      <w:r>
        <w:rPr>
          <w:lang w:val="en-GB"/>
        </w:rPr>
        <w:t>LAV</w:t>
      </w:r>
      <w:r w:rsidRPr="00FA3099">
        <w:rPr>
          <w:lang w:val="en-GB"/>
        </w:rPr>
        <w:t xml:space="preserve"> candidate resulted in mild interstitial, peri-bronchial</w:t>
      </w:r>
      <w:r>
        <w:rPr>
          <w:lang w:val="en-GB"/>
        </w:rPr>
        <w:t>,</w:t>
      </w:r>
      <w:r w:rsidRPr="00FA3099">
        <w:rPr>
          <w:lang w:val="en-GB"/>
        </w:rPr>
        <w:t xml:space="preserve"> and perivascular inflammation. </w:t>
      </w:r>
      <w:r>
        <w:rPr>
          <w:lang w:val="en-GB"/>
        </w:rPr>
        <w:t>(</w:t>
      </w:r>
      <w:r w:rsidRPr="00FA3099">
        <w:rPr>
          <w:lang w:val="en-GB"/>
        </w:rPr>
        <w:t>D</w:t>
      </w:r>
      <w:r>
        <w:rPr>
          <w:lang w:val="en-GB"/>
        </w:rPr>
        <w:t>)</w:t>
      </w:r>
      <w:r w:rsidRPr="00FA3099">
        <w:rPr>
          <w:lang w:val="en-GB"/>
        </w:rPr>
        <w:t xml:space="preserve"> </w:t>
      </w:r>
      <w:r>
        <w:rPr>
          <w:lang w:val="en-GB"/>
        </w:rPr>
        <w:t>IN</w:t>
      </w:r>
      <w:r w:rsidRPr="00FA3099">
        <w:rPr>
          <w:lang w:val="en-GB"/>
        </w:rPr>
        <w:t xml:space="preserve"> infection with bivalent </w:t>
      </w:r>
      <w:r>
        <w:rPr>
          <w:lang w:val="en-GB"/>
        </w:rPr>
        <w:t>Metavac®</w:t>
      </w:r>
      <w:r w:rsidRPr="00FA3099">
        <w:rPr>
          <w:lang w:val="en-GB"/>
        </w:rPr>
        <w:t xml:space="preserve">-RSV </w:t>
      </w:r>
      <w:r>
        <w:rPr>
          <w:lang w:val="en-GB"/>
        </w:rPr>
        <w:t>LAV</w:t>
      </w:r>
      <w:r w:rsidRPr="00FA3099">
        <w:rPr>
          <w:lang w:val="en-GB"/>
        </w:rPr>
        <w:t xml:space="preserve"> candidate resulted in mild interstitial, peri-bronchial</w:t>
      </w:r>
      <w:r>
        <w:rPr>
          <w:lang w:val="en-GB"/>
        </w:rPr>
        <w:t>, and perivascular inflammation. Scale bar = 500µm.</w:t>
      </w:r>
    </w:p>
    <w:p w14:paraId="3FC40FEC" w14:textId="77777777" w:rsidR="0009291D" w:rsidRPr="00FA3099" w:rsidRDefault="0009291D" w:rsidP="0009291D">
      <w:pPr>
        <w:rPr>
          <w:lang w:val="en-GB"/>
        </w:rPr>
      </w:pPr>
      <w:r>
        <w:rPr>
          <w:lang w:val="en-GB"/>
        </w:rPr>
        <w:t>20</w:t>
      </w:r>
      <w:r w:rsidRPr="00FA3099">
        <w:rPr>
          <w:lang w:val="en-GB"/>
        </w:rPr>
        <w:t>0</w:t>
      </w:r>
      <w:r>
        <w:rPr>
          <w:lang w:val="en-GB"/>
        </w:rPr>
        <w:t>-fold magnified h</w:t>
      </w:r>
      <w:r w:rsidRPr="00FA3099">
        <w:rPr>
          <w:lang w:val="en-GB"/>
        </w:rPr>
        <w:t>istopathological images</w:t>
      </w:r>
      <w:r>
        <w:rPr>
          <w:lang w:val="en-GB"/>
        </w:rPr>
        <w:t xml:space="preserve"> of lung tissues 5 days post-challenge with HMPV: (</w:t>
      </w:r>
      <w:r w:rsidRPr="00FA3099">
        <w:rPr>
          <w:lang w:val="en-GB"/>
        </w:rPr>
        <w:t>A</w:t>
      </w:r>
      <w:r>
        <w:rPr>
          <w:lang w:val="en-GB"/>
        </w:rPr>
        <w:t>) Normal lung parenchyma in a mock-</w:t>
      </w:r>
      <w:r w:rsidRPr="00FA3099">
        <w:rPr>
          <w:lang w:val="en-GB"/>
        </w:rPr>
        <w:t>infected animal.</w:t>
      </w:r>
      <w:r>
        <w:rPr>
          <w:lang w:val="en-GB"/>
        </w:rPr>
        <w:t xml:space="preserve"> (E)</w:t>
      </w:r>
      <w:r w:rsidRPr="00FA3099">
        <w:rPr>
          <w:lang w:val="en-GB"/>
        </w:rPr>
        <w:t xml:space="preserve"> Interstitial inflammation with alveolar wall thickening and intra-alveolar inflammatory cells (neutrophils, macrophages)</w:t>
      </w:r>
      <w:r>
        <w:rPr>
          <w:lang w:val="en-GB"/>
        </w:rPr>
        <w:t xml:space="preserve"> in infected non-vaccinated mice</w:t>
      </w:r>
      <w:r w:rsidRPr="00FA3099">
        <w:rPr>
          <w:lang w:val="en-GB"/>
        </w:rPr>
        <w:t xml:space="preserve">. </w:t>
      </w:r>
      <w:r>
        <w:rPr>
          <w:lang w:val="en-GB"/>
        </w:rPr>
        <w:t>(</w:t>
      </w:r>
      <w:r w:rsidRPr="00FA3099">
        <w:rPr>
          <w:lang w:val="en-GB"/>
        </w:rPr>
        <w:t>F</w:t>
      </w:r>
      <w:r>
        <w:rPr>
          <w:lang w:val="en-GB"/>
        </w:rPr>
        <w:t>-G)</w:t>
      </w:r>
      <w:r w:rsidRPr="00FA3099">
        <w:rPr>
          <w:lang w:val="en-GB"/>
        </w:rPr>
        <w:t xml:space="preserve"> Dual </w:t>
      </w:r>
      <w:r>
        <w:rPr>
          <w:lang w:val="en-GB"/>
        </w:rPr>
        <w:t>IN</w:t>
      </w:r>
      <w:r w:rsidRPr="00FA3099">
        <w:rPr>
          <w:lang w:val="en-GB"/>
        </w:rPr>
        <w:t xml:space="preserve"> immuni</w:t>
      </w:r>
      <w:r>
        <w:rPr>
          <w:lang w:val="en-GB"/>
        </w:rPr>
        <w:t>z</w:t>
      </w:r>
      <w:r w:rsidRPr="00FA3099">
        <w:rPr>
          <w:lang w:val="en-GB"/>
        </w:rPr>
        <w:t xml:space="preserve">ation with monovalent </w:t>
      </w:r>
      <w:r>
        <w:rPr>
          <w:lang w:val="en-GB"/>
        </w:rPr>
        <w:t xml:space="preserve">Metavac® (F) or </w:t>
      </w:r>
      <w:r w:rsidRPr="00FA3099">
        <w:rPr>
          <w:lang w:val="en-GB"/>
        </w:rPr>
        <w:t xml:space="preserve">bivalent </w:t>
      </w:r>
      <w:r>
        <w:rPr>
          <w:lang w:val="en-GB"/>
        </w:rPr>
        <w:t>Metavac®</w:t>
      </w:r>
      <w:r w:rsidRPr="00FA3099">
        <w:rPr>
          <w:lang w:val="en-GB"/>
        </w:rPr>
        <w:t xml:space="preserve">-RSV </w:t>
      </w:r>
      <w:r>
        <w:rPr>
          <w:lang w:val="en-GB"/>
        </w:rPr>
        <w:t>(G)</w:t>
      </w:r>
      <w:r w:rsidRPr="00FA3099">
        <w:rPr>
          <w:lang w:val="en-GB"/>
        </w:rPr>
        <w:t xml:space="preserve"> vaccine candidate</w:t>
      </w:r>
      <w:r>
        <w:rPr>
          <w:lang w:val="en-GB"/>
        </w:rPr>
        <w:t>s</w:t>
      </w:r>
      <w:r w:rsidRPr="00FA3099">
        <w:rPr>
          <w:lang w:val="en-GB"/>
        </w:rPr>
        <w:t xml:space="preserve"> and HMPV challenge resulted in mild </w:t>
      </w:r>
      <w:r>
        <w:rPr>
          <w:lang w:val="en-GB"/>
        </w:rPr>
        <w:t>(</w:t>
      </w:r>
      <w:r w:rsidRPr="00FA3099">
        <w:rPr>
          <w:lang w:val="en-GB"/>
        </w:rPr>
        <w:t>interstitial inflammation</w:t>
      </w:r>
      <w:r>
        <w:rPr>
          <w:lang w:val="en-GB"/>
        </w:rPr>
        <w:t>. (</w:t>
      </w:r>
      <w:r w:rsidRPr="00FA3099">
        <w:rPr>
          <w:lang w:val="en-GB"/>
        </w:rPr>
        <w:t>H</w:t>
      </w:r>
      <w:r>
        <w:rPr>
          <w:lang w:val="en-GB"/>
        </w:rPr>
        <w:t>)</w:t>
      </w:r>
      <w:r w:rsidRPr="00FA3099">
        <w:rPr>
          <w:lang w:val="en-GB"/>
        </w:rPr>
        <w:t xml:space="preserve"> Dual </w:t>
      </w:r>
      <w:r>
        <w:rPr>
          <w:lang w:val="en-GB"/>
        </w:rPr>
        <w:t>IM</w:t>
      </w:r>
      <w:r w:rsidRPr="00FA3099">
        <w:rPr>
          <w:lang w:val="en-GB"/>
        </w:rPr>
        <w:t xml:space="preserve"> immuni</w:t>
      </w:r>
      <w:r>
        <w:rPr>
          <w:lang w:val="en-GB"/>
        </w:rPr>
        <w:t>z</w:t>
      </w:r>
      <w:r w:rsidRPr="00FA3099">
        <w:rPr>
          <w:lang w:val="en-GB"/>
        </w:rPr>
        <w:t xml:space="preserve">ation with </w:t>
      </w:r>
      <w:r>
        <w:rPr>
          <w:lang w:val="en-GB"/>
        </w:rPr>
        <w:t>split inactivated HMPV</w:t>
      </w:r>
      <w:r w:rsidRPr="00FA3099">
        <w:rPr>
          <w:lang w:val="en-GB"/>
        </w:rPr>
        <w:t xml:space="preserve"> </w:t>
      </w:r>
      <w:r>
        <w:rPr>
          <w:lang w:val="en-GB"/>
        </w:rPr>
        <w:t xml:space="preserve">preparation and </w:t>
      </w:r>
      <w:r w:rsidRPr="00FA3099">
        <w:rPr>
          <w:lang w:val="en-GB"/>
        </w:rPr>
        <w:t>HMPV challenge resulted in moderate to marked peri-bronchial inflammation, moderate interstitial inflammation, focal pleural inflammation</w:t>
      </w:r>
      <w:r>
        <w:rPr>
          <w:lang w:val="en-GB"/>
        </w:rPr>
        <w:t>,</w:t>
      </w:r>
      <w:r w:rsidRPr="00FA3099">
        <w:rPr>
          <w:lang w:val="en-GB"/>
        </w:rPr>
        <w:t xml:space="preserve"> and marked peri-vascular inflammation.</w:t>
      </w:r>
      <w:r>
        <w:rPr>
          <w:lang w:val="en-GB"/>
        </w:rPr>
        <w:t xml:space="preserve"> Scale bar = 100µm.</w:t>
      </w:r>
    </w:p>
    <w:p w14:paraId="5FA3AA92" w14:textId="77777777" w:rsidR="0009291D" w:rsidRPr="00FA3099" w:rsidRDefault="0009291D" w:rsidP="0009291D">
      <w:pPr>
        <w:rPr>
          <w:lang w:val="en-GB"/>
        </w:rPr>
      </w:pPr>
    </w:p>
    <w:p w14:paraId="24D39B13" w14:textId="77777777" w:rsidR="0009291D" w:rsidRDefault="0009291D" w:rsidP="0009291D">
      <w:pPr>
        <w:spacing w:line="240" w:lineRule="auto"/>
        <w:jc w:val="left"/>
        <w:rPr>
          <w:lang w:eastAsia="de-DE" w:bidi="en-US"/>
        </w:rPr>
      </w:pPr>
      <w:r>
        <w:rPr>
          <w:lang w:eastAsia="de-DE" w:bidi="en-US"/>
        </w:rPr>
        <w:br w:type="page"/>
      </w:r>
    </w:p>
    <w:p w14:paraId="64F1014A" w14:textId="77777777" w:rsidR="0009291D" w:rsidRPr="00FA3099" w:rsidRDefault="0009291D" w:rsidP="0009291D">
      <w:pPr>
        <w:rPr>
          <w:b/>
          <w:bCs/>
        </w:rPr>
      </w:pPr>
      <w:r w:rsidRPr="00FA3099">
        <w:rPr>
          <w:b/>
          <w:bCs/>
          <w:lang w:eastAsia="de-DE" w:bidi="en-US"/>
        </w:rPr>
        <w:lastRenderedPageBreak/>
        <w:t xml:space="preserve">Supplementary </w:t>
      </w:r>
      <w:r>
        <w:rPr>
          <w:b/>
          <w:bCs/>
          <w:lang w:eastAsia="de-DE" w:bidi="en-US"/>
        </w:rPr>
        <w:t xml:space="preserve">figure </w:t>
      </w:r>
      <w:r w:rsidRPr="00FA3099">
        <w:rPr>
          <w:b/>
          <w:bCs/>
          <w:lang w:eastAsia="de-DE" w:bidi="en-US"/>
        </w:rPr>
        <w:t>2</w:t>
      </w:r>
    </w:p>
    <w:p w14:paraId="0CCB687A" w14:textId="77777777" w:rsidR="0009291D" w:rsidRPr="00A63D0E" w:rsidRDefault="0009291D" w:rsidP="0009291D">
      <w:r w:rsidRPr="003F709D">
        <w:rPr>
          <w:noProof/>
          <w:lang w:val="fr-FR" w:eastAsia="fr-FR"/>
        </w:rPr>
        <w:drawing>
          <wp:inline distT="0" distB="0" distL="0" distR="0" wp14:anchorId="7A24B968" wp14:editId="6DE9C609">
            <wp:extent cx="4688205" cy="29591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05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3B5B5" w14:textId="77777777" w:rsidR="0009291D" w:rsidRDefault="0009291D" w:rsidP="0009291D">
      <w:pPr>
        <w:pStyle w:val="MDPI71References"/>
        <w:numPr>
          <w:ilvl w:val="0"/>
          <w:numId w:val="0"/>
        </w:numPr>
        <w:ind w:hanging="425"/>
      </w:pPr>
    </w:p>
    <w:p w14:paraId="5C0ED318" w14:textId="77777777" w:rsidR="0009291D" w:rsidRPr="003E46E8" w:rsidRDefault="0009291D" w:rsidP="0009291D">
      <w:pPr>
        <w:pStyle w:val="MDPI71References"/>
        <w:numPr>
          <w:ilvl w:val="0"/>
          <w:numId w:val="0"/>
        </w:numPr>
        <w:ind w:firstLine="1"/>
        <w:rPr>
          <w:snapToGrid w:val="0"/>
          <w:sz w:val="20"/>
        </w:rPr>
      </w:pPr>
      <w:r w:rsidRPr="003E46E8">
        <w:rPr>
          <w:b/>
          <w:snapToGrid w:val="0"/>
          <w:sz w:val="20"/>
        </w:rPr>
        <w:t>Neutrali</w:t>
      </w:r>
      <w:r>
        <w:rPr>
          <w:b/>
          <w:snapToGrid w:val="0"/>
          <w:sz w:val="20"/>
        </w:rPr>
        <w:t>z</w:t>
      </w:r>
      <w:r w:rsidRPr="003E46E8">
        <w:rPr>
          <w:b/>
          <w:snapToGrid w:val="0"/>
          <w:sz w:val="20"/>
        </w:rPr>
        <w:t>ation studies for heterologous RSV B strain</w:t>
      </w:r>
      <w:r w:rsidRPr="003E46E8">
        <w:rPr>
          <w:snapToGrid w:val="0"/>
          <w:sz w:val="20"/>
        </w:rPr>
        <w:t>. To evaluate the production of specific neutralizing antibody response against heterologous virus strains, sera were recovered from blood samples, pooled</w:t>
      </w:r>
      <w:r>
        <w:rPr>
          <w:snapToGrid w:val="0"/>
          <w:sz w:val="20"/>
        </w:rPr>
        <w:t>,</w:t>
      </w:r>
      <w:r w:rsidRPr="003E46E8">
        <w:rPr>
          <w:snapToGrid w:val="0"/>
          <w:sz w:val="20"/>
        </w:rPr>
        <w:t xml:space="preserve"> and heat-inactivated at 56°C until testing. Serial twofold dilutions of sera in infection medium were then tested for neutralization of RSV B strain WV/14617/85 (VR-1400™, ATCC) on Vero cells. Reciprocal neutralizing antibody</w:t>
      </w:r>
      <w:r>
        <w:rPr>
          <w:snapToGrid w:val="0"/>
          <w:sz w:val="20"/>
        </w:rPr>
        <w:t xml:space="preserve"> (NAb)</w:t>
      </w:r>
      <w:r w:rsidRPr="003E46E8">
        <w:rPr>
          <w:snapToGrid w:val="0"/>
          <w:sz w:val="20"/>
        </w:rPr>
        <w:t xml:space="preserve"> titers were determined by an endpoint dilution assay based on CPEs observation. </w:t>
      </w:r>
    </w:p>
    <w:p w14:paraId="3FC520C0" w14:textId="77777777" w:rsidR="0009291D" w:rsidRDefault="0009291D" w:rsidP="0009291D">
      <w:pPr>
        <w:pStyle w:val="MDPI71References"/>
        <w:numPr>
          <w:ilvl w:val="0"/>
          <w:numId w:val="0"/>
        </w:numPr>
        <w:rPr>
          <w:snapToGrid w:val="0"/>
        </w:rPr>
      </w:pPr>
    </w:p>
    <w:p w14:paraId="08864836" w14:textId="77777777" w:rsidR="0009291D" w:rsidRDefault="0009291D" w:rsidP="0009291D">
      <w:pPr>
        <w:pStyle w:val="MDPI71References"/>
        <w:numPr>
          <w:ilvl w:val="0"/>
          <w:numId w:val="0"/>
        </w:numPr>
        <w:rPr>
          <w:snapToGrid w:val="0"/>
        </w:rPr>
      </w:pPr>
    </w:p>
    <w:p w14:paraId="228CE6A8" w14:textId="77777777" w:rsidR="0009291D" w:rsidRDefault="0009291D" w:rsidP="0009291D">
      <w:pPr>
        <w:spacing w:line="240" w:lineRule="auto"/>
        <w:jc w:val="left"/>
        <w:rPr>
          <w:rFonts w:eastAsia="Times New Roman"/>
          <w:snapToGrid w:val="0"/>
          <w:szCs w:val="22"/>
          <w:lang w:eastAsia="de-DE" w:bidi="en-US"/>
        </w:rPr>
      </w:pPr>
    </w:p>
    <w:p w14:paraId="784227CA" w14:textId="77777777" w:rsidR="00F553FF" w:rsidRDefault="00F553FF"/>
    <w:sectPr w:rsidR="00F553FF" w:rsidSect="0009291D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vanish/>
        <w:highlight w:val="yellow"/>
      </w:rPr>
      <w:id w:val="-1702702212"/>
      <w:docPartObj>
        <w:docPartGallery w:val="Page Numbers (Bottom of Page)"/>
        <w:docPartUnique/>
      </w:docPartObj>
    </w:sdtPr>
    <w:sdtEndPr/>
    <w:sdtContent>
      <w:p w14:paraId="22B5D80D" w14:textId="77777777" w:rsidR="00A70F90" w:rsidRDefault="0009291D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2270">
          <w:rPr>
            <w:noProof/>
            <w:lang w:val="fr-FR"/>
          </w:rPr>
          <w:t>37</w:t>
        </w:r>
        <w:r>
          <w:fldChar w:fldCharType="end"/>
        </w:r>
      </w:p>
    </w:sdtContent>
  </w:sdt>
  <w:p w14:paraId="352E2AF0" w14:textId="77777777" w:rsidR="00A70F90" w:rsidRPr="00F63698" w:rsidRDefault="0009291D" w:rsidP="00151E16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vanish/>
        <w:highlight w:val="yellow"/>
      </w:rPr>
      <w:id w:val="-1635629461"/>
      <w:docPartObj>
        <w:docPartGallery w:val="Page Numbers (Bottom of Page)"/>
        <w:docPartUnique/>
      </w:docPartObj>
    </w:sdtPr>
    <w:sdtEndPr/>
    <w:sdtContent>
      <w:p w14:paraId="27D08011" w14:textId="77777777" w:rsidR="00A70F90" w:rsidRDefault="0009291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8677B">
          <w:rPr>
            <w:noProof/>
            <w:lang w:val="fr-FR"/>
          </w:rPr>
          <w:t>1</w:t>
        </w:r>
        <w:r>
          <w:fldChar w:fldCharType="end"/>
        </w:r>
      </w:p>
    </w:sdtContent>
  </w:sdt>
  <w:p w14:paraId="04CDCC51" w14:textId="77777777" w:rsidR="00A70F90" w:rsidRPr="00C75B43" w:rsidRDefault="0009291D" w:rsidP="0079253B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en-C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F3FD4" w14:textId="77777777" w:rsidR="00A70F90" w:rsidRDefault="0009291D" w:rsidP="00151E16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3AEE6" w14:textId="77777777" w:rsidR="00A70F90" w:rsidRPr="0010772D" w:rsidRDefault="0009291D" w:rsidP="006A36AD">
    <w:pP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53B54" w14:textId="77777777" w:rsidR="00A70F90" w:rsidRPr="006A36AD" w:rsidRDefault="0009291D" w:rsidP="006A36AD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1F4CFF"/>
    <w:multiLevelType w:val="hybridMultilevel"/>
    <w:tmpl w:val="67B04036"/>
    <w:lvl w:ilvl="0" w:tplc="993642E2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1D"/>
    <w:rsid w:val="0009291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B0CED"/>
  <w15:chartTrackingRefBased/>
  <w15:docId w15:val="{65FFA03A-FB2F-473D-8746-BE6BE2C33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91D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3authornames">
    <w:name w:val="MDPI_1.3_authornames"/>
    <w:next w:val="Normal"/>
    <w:qFormat/>
    <w:rsid w:val="0009291D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styleId="Footer">
    <w:name w:val="footer"/>
    <w:basedOn w:val="Normal"/>
    <w:link w:val="FooterChar"/>
    <w:uiPriority w:val="99"/>
    <w:rsid w:val="0009291D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9291D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styleId="Header">
    <w:name w:val="header"/>
    <w:basedOn w:val="Normal"/>
    <w:link w:val="HeaderChar"/>
    <w:uiPriority w:val="99"/>
    <w:rsid w:val="00092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9291D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customStyle="1" w:styleId="MDPI21heading1">
    <w:name w:val="MDPI_2.1_heading1"/>
    <w:qFormat/>
    <w:rsid w:val="0009291D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71References">
    <w:name w:val="MDPI_7.1_References"/>
    <w:qFormat/>
    <w:rsid w:val="0009291D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092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oter" Target="footer2.xml"/><Relationship Id="rId5" Type="http://schemas.openxmlformats.org/officeDocument/2006/relationships/image" Target="media/image1.tiff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1701</Characters>
  <Application>Microsoft Office Word</Application>
  <DocSecurity>0</DocSecurity>
  <Lines>14</Lines>
  <Paragraphs>3</Paragraphs>
  <ScaleCrop>false</ScaleCrop>
  <Company>Springer Nature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2023-11-02T04:06:00Z</dcterms:created>
  <dcterms:modified xsi:type="dcterms:W3CDTF">2023-11-02T04:06:00Z</dcterms:modified>
</cp:coreProperties>
</file>