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5224D9" w14:textId="075929C2" w:rsidR="008A0AD2" w:rsidRPr="001F64A6" w:rsidRDefault="00847EE1">
      <w:pPr>
        <w:spacing w:after="0" w:line="360" w:lineRule="auto"/>
        <w:jc w:val="center"/>
        <w:rPr>
          <w:rFonts w:ascii="Arial" w:eastAsia="Arial" w:hAnsi="Arial" w:cs="Arial"/>
          <w:b/>
          <w:lang w:val="en-US"/>
        </w:rPr>
      </w:pPr>
      <w:r>
        <w:rPr>
          <w:rFonts w:ascii="Arial" w:eastAsia="Arial" w:hAnsi="Arial" w:cs="Arial"/>
          <w:b/>
          <w:lang w:val="en-US"/>
        </w:rPr>
        <w:t>Supplement</w:t>
      </w:r>
    </w:p>
    <w:p w14:paraId="175C506E" w14:textId="77777777" w:rsidR="008A0AD2" w:rsidRPr="001F64A6" w:rsidRDefault="008A0AD2">
      <w:pPr>
        <w:spacing w:after="0" w:line="360" w:lineRule="auto"/>
        <w:jc w:val="center"/>
        <w:rPr>
          <w:rFonts w:ascii="Arial" w:eastAsia="Arial" w:hAnsi="Arial" w:cs="Arial"/>
          <w:b/>
          <w:lang w:val="en-US"/>
        </w:rPr>
      </w:pPr>
    </w:p>
    <w:p w14:paraId="4B865D42" w14:textId="77777777" w:rsidR="008A0AD2" w:rsidRPr="001F64A6" w:rsidRDefault="008A0AD2">
      <w:pPr>
        <w:spacing w:after="0" w:line="360" w:lineRule="auto"/>
        <w:jc w:val="center"/>
        <w:rPr>
          <w:rFonts w:ascii="Arial" w:eastAsia="Arial" w:hAnsi="Arial" w:cs="Arial"/>
          <w:b/>
          <w:lang w:val="en-US"/>
        </w:rPr>
      </w:pPr>
    </w:p>
    <w:p w14:paraId="7CB489E2" w14:textId="34A71E6C" w:rsidR="008A0AD2" w:rsidRPr="001832FA" w:rsidRDefault="0032384D">
      <w:pPr>
        <w:spacing w:after="0" w:line="360" w:lineRule="auto"/>
        <w:jc w:val="center"/>
        <w:rPr>
          <w:rFonts w:ascii="Arial" w:eastAsia="Arial" w:hAnsi="Arial" w:cs="Arial"/>
          <w:b/>
          <w:sz w:val="28"/>
          <w:szCs w:val="28"/>
          <w:lang w:val="en-US"/>
        </w:rPr>
      </w:pPr>
      <w:r w:rsidRPr="001832FA">
        <w:rPr>
          <w:rFonts w:ascii="Arial" w:eastAsia="Arial" w:hAnsi="Arial" w:cs="Arial"/>
          <w:b/>
          <w:sz w:val="28"/>
          <w:szCs w:val="28"/>
          <w:lang w:val="en-US"/>
        </w:rPr>
        <w:t xml:space="preserve">Simvastatin </w:t>
      </w:r>
      <w:r w:rsidR="001832FA">
        <w:rPr>
          <w:rFonts w:ascii="Arial" w:eastAsia="Arial" w:hAnsi="Arial" w:cs="Arial"/>
          <w:b/>
          <w:sz w:val="28"/>
          <w:szCs w:val="28"/>
          <w:lang w:val="en-US"/>
        </w:rPr>
        <w:t xml:space="preserve">impairs </w:t>
      </w:r>
      <w:r w:rsidR="00083195">
        <w:rPr>
          <w:rFonts w:ascii="Arial" w:eastAsia="Arial" w:hAnsi="Arial" w:cs="Arial"/>
          <w:b/>
          <w:sz w:val="28"/>
          <w:szCs w:val="28"/>
          <w:lang w:val="en-US"/>
        </w:rPr>
        <w:t xml:space="preserve">myoblast </w:t>
      </w:r>
      <w:r w:rsidR="001832FA">
        <w:rPr>
          <w:rFonts w:ascii="Arial" w:eastAsia="Arial" w:hAnsi="Arial" w:cs="Arial"/>
          <w:b/>
          <w:sz w:val="28"/>
          <w:szCs w:val="28"/>
          <w:lang w:val="en-US"/>
        </w:rPr>
        <w:t xml:space="preserve">proliferation and myotube formation </w:t>
      </w:r>
      <w:r w:rsidR="00083195">
        <w:rPr>
          <w:rFonts w:ascii="Arial" w:eastAsia="Arial" w:hAnsi="Arial" w:cs="Arial"/>
          <w:b/>
          <w:sz w:val="28"/>
          <w:szCs w:val="28"/>
          <w:lang w:val="en-US"/>
        </w:rPr>
        <w:t xml:space="preserve">of </w:t>
      </w:r>
      <w:r w:rsidRPr="001832FA">
        <w:rPr>
          <w:rFonts w:ascii="Arial" w:eastAsia="Arial" w:hAnsi="Arial" w:cs="Arial"/>
          <w:b/>
          <w:sz w:val="28"/>
          <w:szCs w:val="28"/>
          <w:lang w:val="en-US"/>
        </w:rPr>
        <w:t xml:space="preserve">C2C12 myoblasts and </w:t>
      </w:r>
      <w:r w:rsidR="00083195">
        <w:rPr>
          <w:rFonts w:ascii="Arial" w:eastAsia="Arial" w:hAnsi="Arial" w:cs="Arial"/>
          <w:b/>
          <w:sz w:val="28"/>
          <w:szCs w:val="28"/>
          <w:lang w:val="en-US"/>
        </w:rPr>
        <w:t xml:space="preserve">in </w:t>
      </w:r>
      <w:r w:rsidRPr="001832FA">
        <w:rPr>
          <w:rFonts w:ascii="Arial" w:eastAsia="Arial" w:hAnsi="Arial" w:cs="Arial"/>
          <w:b/>
          <w:sz w:val="28"/>
          <w:szCs w:val="28"/>
          <w:lang w:val="en-US"/>
        </w:rPr>
        <w:t>mouse skeletal muscle</w:t>
      </w:r>
    </w:p>
    <w:p w14:paraId="351AAC4C" w14:textId="77777777" w:rsidR="008A0AD2" w:rsidRPr="001832FA" w:rsidRDefault="008A0AD2" w:rsidP="001832FA">
      <w:pPr>
        <w:spacing w:after="0" w:line="360" w:lineRule="auto"/>
        <w:jc w:val="center"/>
        <w:rPr>
          <w:rFonts w:ascii="Arial" w:eastAsia="Arial" w:hAnsi="Arial" w:cs="Arial"/>
          <w:b/>
          <w:lang w:val="en-US"/>
        </w:rPr>
      </w:pPr>
    </w:p>
    <w:p w14:paraId="5B50A990" w14:textId="77777777" w:rsidR="008A0AD2" w:rsidRPr="001832FA" w:rsidRDefault="008A0AD2" w:rsidP="001832FA">
      <w:pPr>
        <w:spacing w:after="0" w:line="360" w:lineRule="auto"/>
        <w:jc w:val="center"/>
        <w:rPr>
          <w:rFonts w:ascii="Arial" w:eastAsia="Arial" w:hAnsi="Arial" w:cs="Arial"/>
          <w:b/>
          <w:lang w:val="en-US"/>
        </w:rPr>
      </w:pPr>
    </w:p>
    <w:p w14:paraId="4085DDDE" w14:textId="0A46E017" w:rsidR="008A0AD2" w:rsidRPr="001832FA" w:rsidRDefault="0032384D">
      <w:pPr>
        <w:spacing w:after="0" w:line="360" w:lineRule="auto"/>
        <w:jc w:val="center"/>
        <w:rPr>
          <w:rFonts w:ascii="Arial" w:eastAsia="Arial" w:hAnsi="Arial" w:cs="Arial"/>
          <w:lang w:val="en-US"/>
        </w:rPr>
      </w:pPr>
      <w:r w:rsidRPr="001832FA">
        <w:rPr>
          <w:rFonts w:ascii="Arial" w:eastAsia="Arial" w:hAnsi="Arial" w:cs="Arial"/>
          <w:lang w:val="en-US"/>
        </w:rPr>
        <w:t>Gerda M. Sanvee</w:t>
      </w:r>
      <w:r w:rsidRPr="006014A5">
        <w:rPr>
          <w:rFonts w:ascii="Arial" w:eastAsia="Arial" w:hAnsi="Arial" w:cs="Arial"/>
          <w:vertAlign w:val="superscript"/>
          <w:lang w:val="en-US"/>
        </w:rPr>
        <w:t>1,2</w:t>
      </w:r>
      <w:r w:rsidRPr="001832FA">
        <w:rPr>
          <w:rFonts w:ascii="Arial" w:eastAsia="Arial" w:hAnsi="Arial" w:cs="Arial"/>
          <w:lang w:val="en-US"/>
        </w:rPr>
        <w:t>, Jamal Bouitbir</w:t>
      </w:r>
      <w:r w:rsidRPr="006014A5">
        <w:rPr>
          <w:rFonts w:ascii="Arial" w:eastAsia="Arial" w:hAnsi="Arial" w:cs="Arial"/>
          <w:vertAlign w:val="superscript"/>
          <w:lang w:val="en-US"/>
        </w:rPr>
        <w:t>1,2,3</w:t>
      </w:r>
      <w:r w:rsidRPr="001832FA">
        <w:rPr>
          <w:rFonts w:ascii="Arial" w:eastAsia="Arial" w:hAnsi="Arial" w:cs="Arial"/>
          <w:lang w:val="en-US"/>
        </w:rPr>
        <w:t>, and Stephan Krähenbühl</w:t>
      </w:r>
      <w:r w:rsidRPr="006014A5">
        <w:rPr>
          <w:rFonts w:ascii="Arial" w:eastAsia="Arial" w:hAnsi="Arial" w:cs="Arial"/>
          <w:vertAlign w:val="superscript"/>
          <w:lang w:val="en-US"/>
        </w:rPr>
        <w:t>1,2,3</w:t>
      </w:r>
    </w:p>
    <w:p w14:paraId="6A9D5E58" w14:textId="77777777" w:rsidR="008A0AD2" w:rsidRPr="001832FA" w:rsidRDefault="008A0AD2" w:rsidP="001832FA">
      <w:pPr>
        <w:spacing w:after="0" w:line="360" w:lineRule="auto"/>
        <w:jc w:val="center"/>
        <w:rPr>
          <w:rFonts w:ascii="Arial" w:eastAsia="Arial" w:hAnsi="Arial" w:cs="Arial"/>
          <w:b/>
          <w:lang w:val="en-US"/>
        </w:rPr>
      </w:pPr>
    </w:p>
    <w:p w14:paraId="323947DC" w14:textId="77777777" w:rsidR="008A0AD2" w:rsidRPr="001F64A6" w:rsidRDefault="008A0AD2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</w:p>
    <w:p w14:paraId="79C2B04D" w14:textId="77777777" w:rsidR="008A0AD2" w:rsidRPr="001F64A6" w:rsidRDefault="008A0AD2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</w:p>
    <w:p w14:paraId="3CF273BB" w14:textId="77777777" w:rsidR="008A0AD2" w:rsidRPr="001F64A6" w:rsidRDefault="008A0AD2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</w:p>
    <w:p w14:paraId="3C4EAD38" w14:textId="77777777" w:rsidR="008A0AD2" w:rsidRPr="001F64A6" w:rsidRDefault="008A0AD2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</w:p>
    <w:p w14:paraId="3158007B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vertAlign w:val="superscript"/>
          <w:lang w:val="en-US"/>
        </w:rPr>
        <w:t xml:space="preserve">1 </w:t>
      </w:r>
      <w:r w:rsidRPr="001F64A6">
        <w:rPr>
          <w:rFonts w:ascii="Arial" w:eastAsia="Arial" w:hAnsi="Arial" w:cs="Arial"/>
          <w:lang w:val="en-US"/>
        </w:rPr>
        <w:t>Division of Clinical Pharmacology &amp; Toxicology, University Hospital, Basel, Switzerland</w:t>
      </w:r>
    </w:p>
    <w:p w14:paraId="18173EEF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vertAlign w:val="superscript"/>
          <w:lang w:val="en-US"/>
        </w:rPr>
        <w:t xml:space="preserve">2 </w:t>
      </w:r>
      <w:r w:rsidRPr="001F64A6">
        <w:rPr>
          <w:rFonts w:ascii="Arial" w:eastAsia="Arial" w:hAnsi="Arial" w:cs="Arial"/>
          <w:lang w:val="en-US"/>
        </w:rPr>
        <w:t>Department of Biomedicine, University of Basel, Switzerland</w:t>
      </w:r>
    </w:p>
    <w:p w14:paraId="4ED61EE8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vertAlign w:val="superscript"/>
          <w:lang w:val="en-US"/>
        </w:rPr>
        <w:t>3</w:t>
      </w:r>
      <w:r w:rsidRPr="001F64A6">
        <w:rPr>
          <w:rFonts w:ascii="Arial" w:eastAsia="Arial" w:hAnsi="Arial" w:cs="Arial"/>
          <w:lang w:val="en-US"/>
        </w:rPr>
        <w:t xml:space="preserve"> Swiss Centre for Applied Human Research (SCAHT), Switzerland </w:t>
      </w:r>
    </w:p>
    <w:p w14:paraId="076C7A15" w14:textId="77777777" w:rsidR="008A0AD2" w:rsidRPr="001F64A6" w:rsidRDefault="008A0AD2">
      <w:pPr>
        <w:spacing w:after="0" w:line="360" w:lineRule="auto"/>
        <w:jc w:val="both"/>
        <w:rPr>
          <w:rFonts w:ascii="Arial" w:eastAsia="Arial" w:hAnsi="Arial" w:cs="Arial"/>
          <w:b/>
          <w:lang w:val="en-US"/>
        </w:rPr>
      </w:pPr>
    </w:p>
    <w:p w14:paraId="67943C43" w14:textId="77777777" w:rsidR="008A0AD2" w:rsidRPr="001F64A6" w:rsidRDefault="008A0AD2">
      <w:pPr>
        <w:spacing w:after="0" w:line="360" w:lineRule="auto"/>
        <w:jc w:val="both"/>
        <w:rPr>
          <w:rFonts w:ascii="Arial" w:eastAsia="Arial" w:hAnsi="Arial" w:cs="Arial"/>
          <w:i/>
          <w:lang w:val="en-US"/>
        </w:rPr>
      </w:pPr>
    </w:p>
    <w:p w14:paraId="3CD8BEDE" w14:textId="77777777" w:rsidR="008A0AD2" w:rsidRPr="001F64A6" w:rsidRDefault="008A0AD2">
      <w:pPr>
        <w:spacing w:after="0" w:line="360" w:lineRule="auto"/>
        <w:jc w:val="both"/>
        <w:rPr>
          <w:rFonts w:ascii="Arial" w:eastAsia="Arial" w:hAnsi="Arial" w:cs="Arial"/>
          <w:i/>
          <w:lang w:val="en-US"/>
        </w:rPr>
      </w:pPr>
    </w:p>
    <w:p w14:paraId="621F0D08" w14:textId="77777777" w:rsidR="008A0AD2" w:rsidRPr="001F64A6" w:rsidRDefault="008A0AD2">
      <w:pPr>
        <w:spacing w:after="0" w:line="360" w:lineRule="auto"/>
        <w:jc w:val="both"/>
        <w:rPr>
          <w:rFonts w:ascii="Arial" w:eastAsia="Arial" w:hAnsi="Arial" w:cs="Arial"/>
          <w:i/>
          <w:lang w:val="en-US"/>
        </w:rPr>
      </w:pPr>
    </w:p>
    <w:p w14:paraId="5C43E98F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b/>
          <w:lang w:val="en-US"/>
        </w:rPr>
      </w:pPr>
      <w:r w:rsidRPr="001F64A6">
        <w:rPr>
          <w:rFonts w:ascii="Arial" w:eastAsia="Arial" w:hAnsi="Arial" w:cs="Arial"/>
          <w:b/>
          <w:lang w:val="en-US"/>
        </w:rPr>
        <w:t>Corresponding author</w:t>
      </w:r>
    </w:p>
    <w:p w14:paraId="3464043E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lang w:val="en-US"/>
        </w:rPr>
        <w:t>Stephan Krähenbühl, MD, PhD</w:t>
      </w:r>
    </w:p>
    <w:p w14:paraId="7C038A93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lang w:val="en-US"/>
        </w:rPr>
        <w:t>Clinical Pharmacology &amp; Toxicology</w:t>
      </w:r>
    </w:p>
    <w:p w14:paraId="2EE81141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lang w:val="en-US"/>
        </w:rPr>
        <w:t>University Hospital</w:t>
      </w:r>
    </w:p>
    <w:p w14:paraId="17EABB2A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lang w:val="en-US"/>
        </w:rPr>
        <w:t>4031 Basel</w:t>
      </w:r>
    </w:p>
    <w:p w14:paraId="231AF7DA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lang w:val="en-US"/>
        </w:rPr>
        <w:t>Switzerland</w:t>
      </w:r>
    </w:p>
    <w:p w14:paraId="5CA32582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lang w:val="en-US"/>
        </w:rPr>
        <w:t>Phone: +41 61 265 4715</w:t>
      </w:r>
    </w:p>
    <w:p w14:paraId="79E2D8B8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lang w:val="en-US"/>
        </w:rPr>
        <w:t>Fax: +41 61 265 4560</w:t>
      </w:r>
    </w:p>
    <w:p w14:paraId="0EA10BA6" w14:textId="77777777" w:rsidR="008A0AD2" w:rsidRPr="001F64A6" w:rsidRDefault="0032384D">
      <w:pPr>
        <w:spacing w:after="0" w:line="360" w:lineRule="auto"/>
        <w:jc w:val="both"/>
        <w:rPr>
          <w:rFonts w:ascii="Arial" w:eastAsia="Arial" w:hAnsi="Arial" w:cs="Arial"/>
          <w:u w:val="single"/>
          <w:lang w:val="en-US"/>
        </w:rPr>
      </w:pPr>
      <w:r w:rsidRPr="001F64A6">
        <w:rPr>
          <w:rFonts w:ascii="Arial" w:eastAsia="Arial" w:hAnsi="Arial" w:cs="Arial"/>
          <w:lang w:val="en-US"/>
        </w:rPr>
        <w:t xml:space="preserve">E-mail: </w:t>
      </w:r>
      <w:hyperlink r:id="rId4">
        <w:r w:rsidRPr="001F64A6">
          <w:rPr>
            <w:rFonts w:ascii="Arial" w:eastAsia="Arial" w:hAnsi="Arial" w:cs="Arial"/>
            <w:color w:val="0000FF"/>
            <w:u w:val="single"/>
            <w:lang w:val="en-US"/>
          </w:rPr>
          <w:t>stephan.kraehenbuehl@usb.ch</w:t>
        </w:r>
      </w:hyperlink>
    </w:p>
    <w:p w14:paraId="53489C12" w14:textId="7587F196" w:rsidR="00F368B4" w:rsidRDefault="00F368B4">
      <w:pPr>
        <w:rPr>
          <w:rFonts w:ascii="Arial" w:eastAsia="Arial" w:hAnsi="Arial" w:cs="Arial"/>
          <w:b/>
          <w:lang w:val="en-US"/>
        </w:rPr>
      </w:pPr>
      <w:r>
        <w:rPr>
          <w:rFonts w:ascii="Arial" w:eastAsia="Arial" w:hAnsi="Arial" w:cs="Arial"/>
          <w:b/>
          <w:lang w:val="en-US"/>
        </w:rPr>
        <w:br w:type="page"/>
      </w:r>
    </w:p>
    <w:p w14:paraId="14A07A7C" w14:textId="4F9E318E" w:rsidR="00F368B4" w:rsidRPr="001F64A6" w:rsidRDefault="00F368B4" w:rsidP="00F368B4">
      <w:pPr>
        <w:spacing w:after="0" w:line="480" w:lineRule="auto"/>
        <w:rPr>
          <w:rFonts w:ascii="Arial" w:eastAsia="Arial" w:hAnsi="Arial" w:cs="Arial"/>
          <w:b/>
          <w:lang w:val="en-US"/>
        </w:rPr>
      </w:pPr>
      <w:r>
        <w:rPr>
          <w:rFonts w:ascii="Arial" w:eastAsia="Arial" w:hAnsi="Arial" w:cs="Arial"/>
          <w:b/>
          <w:lang w:val="en-US"/>
        </w:rPr>
        <w:lastRenderedPageBreak/>
        <w:t xml:space="preserve">Supplementary </w:t>
      </w:r>
      <w:r w:rsidRPr="001F64A6">
        <w:rPr>
          <w:rFonts w:ascii="Arial" w:eastAsia="Arial" w:hAnsi="Arial" w:cs="Arial"/>
          <w:b/>
          <w:lang w:val="en-US"/>
        </w:rPr>
        <w:t>Figure S1</w:t>
      </w:r>
    </w:p>
    <w:p w14:paraId="73FAE3FF" w14:textId="0375485C" w:rsidR="00F368B4" w:rsidRDefault="00F368B4" w:rsidP="00083195">
      <w:pPr>
        <w:spacing w:after="0" w:line="480" w:lineRule="auto"/>
        <w:rPr>
          <w:rFonts w:ascii="Arial" w:eastAsia="Arial" w:hAnsi="Arial" w:cs="Arial"/>
          <w:b/>
          <w:lang w:val="en-US"/>
        </w:rPr>
      </w:pPr>
      <w:r>
        <w:rPr>
          <w:rFonts w:ascii="Arial" w:eastAsia="Arial" w:hAnsi="Arial" w:cs="Arial"/>
          <w:b/>
          <w:noProof/>
          <w:lang w:val="en-US" w:eastAsia="en-US"/>
        </w:rPr>
        <w:drawing>
          <wp:inline distT="0" distB="0" distL="0" distR="0" wp14:anchorId="52C78A8D" wp14:editId="24CC5BDC">
            <wp:extent cx="5458938" cy="3687745"/>
            <wp:effectExtent l="0" t="0" r="8890" b="825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035" cy="368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46754" w14:textId="450EBE0C" w:rsidR="008A0AD2" w:rsidRPr="001F64A6" w:rsidRDefault="0032384D" w:rsidP="00083195">
      <w:pPr>
        <w:spacing w:after="0" w:line="480" w:lineRule="auto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i/>
          <w:lang w:val="en-US"/>
        </w:rPr>
        <w:t>Rescue from simvastatin-induced membrane toxicity in myoblasts and myotubes by insulin.</w:t>
      </w:r>
      <w:r w:rsidRPr="001F64A6">
        <w:rPr>
          <w:rFonts w:ascii="Arial" w:eastAsia="Arial" w:hAnsi="Arial" w:cs="Arial"/>
          <w:lang w:val="en-US"/>
        </w:rPr>
        <w:t xml:space="preserve"> Membrane toxicity was assessed by release of adenylate kinase (AK) in the medium.</w:t>
      </w:r>
      <w:r w:rsidRPr="001F64A6">
        <w:rPr>
          <w:rFonts w:ascii="Arial" w:eastAsia="Arial" w:hAnsi="Arial" w:cs="Arial"/>
          <w:b/>
          <w:lang w:val="en-US"/>
        </w:rPr>
        <w:t xml:space="preserve"> A-C</w:t>
      </w:r>
      <w:r w:rsidRPr="001F64A6">
        <w:rPr>
          <w:rFonts w:ascii="Arial" w:eastAsia="Arial" w:hAnsi="Arial" w:cs="Arial"/>
          <w:lang w:val="en-US"/>
        </w:rPr>
        <w:t>. Myoblasts were treated with 10 μM simvastatin for 3 (</w:t>
      </w:r>
      <w:r w:rsidRPr="001F64A6">
        <w:rPr>
          <w:rFonts w:ascii="Arial" w:eastAsia="Arial" w:hAnsi="Arial" w:cs="Arial"/>
          <w:b/>
          <w:lang w:val="en-US"/>
        </w:rPr>
        <w:t>A</w:t>
      </w:r>
      <w:r w:rsidRPr="001F64A6">
        <w:rPr>
          <w:rFonts w:ascii="Arial" w:eastAsia="Arial" w:hAnsi="Arial" w:cs="Arial"/>
          <w:lang w:val="en-US"/>
        </w:rPr>
        <w:t>), 6 (</w:t>
      </w:r>
      <w:r w:rsidRPr="001F64A6">
        <w:rPr>
          <w:rFonts w:ascii="Arial" w:eastAsia="Arial" w:hAnsi="Arial" w:cs="Arial"/>
          <w:b/>
          <w:lang w:val="en-US"/>
        </w:rPr>
        <w:t>B</w:t>
      </w:r>
      <w:r w:rsidRPr="001F64A6">
        <w:rPr>
          <w:rFonts w:ascii="Arial" w:eastAsia="Arial" w:hAnsi="Arial" w:cs="Arial"/>
          <w:lang w:val="en-US"/>
        </w:rPr>
        <w:t>) and 12 (</w:t>
      </w:r>
      <w:r w:rsidRPr="001F64A6">
        <w:rPr>
          <w:rFonts w:ascii="Arial" w:eastAsia="Arial" w:hAnsi="Arial" w:cs="Arial"/>
          <w:b/>
          <w:lang w:val="en-US"/>
        </w:rPr>
        <w:t>C</w:t>
      </w:r>
      <w:r w:rsidRPr="001F64A6">
        <w:rPr>
          <w:rFonts w:ascii="Arial" w:eastAsia="Arial" w:hAnsi="Arial" w:cs="Arial"/>
          <w:lang w:val="en-US"/>
        </w:rPr>
        <w:t xml:space="preserve">) hours before addition of 10 or 100 ng/mL insulin. Membrane toxicity was determined after 24 hours incubation. </w:t>
      </w:r>
      <w:r w:rsidRPr="001F64A6">
        <w:rPr>
          <w:rFonts w:ascii="Arial" w:eastAsia="Arial" w:hAnsi="Arial" w:cs="Arial"/>
          <w:b/>
          <w:lang w:val="en-US"/>
        </w:rPr>
        <w:t>D-F</w:t>
      </w:r>
      <w:r w:rsidRPr="001F64A6">
        <w:rPr>
          <w:rFonts w:ascii="Arial" w:eastAsia="Arial" w:hAnsi="Arial" w:cs="Arial"/>
          <w:lang w:val="en-US"/>
        </w:rPr>
        <w:t>. Myotubes were treated with 10 μM simvastatin for 3 (</w:t>
      </w:r>
      <w:r w:rsidRPr="001F64A6">
        <w:rPr>
          <w:rFonts w:ascii="Arial" w:eastAsia="Arial" w:hAnsi="Arial" w:cs="Arial"/>
          <w:b/>
          <w:lang w:val="en-US"/>
        </w:rPr>
        <w:t>D</w:t>
      </w:r>
      <w:r w:rsidRPr="001F64A6">
        <w:rPr>
          <w:rFonts w:ascii="Arial" w:eastAsia="Arial" w:hAnsi="Arial" w:cs="Arial"/>
          <w:lang w:val="en-US"/>
        </w:rPr>
        <w:t>), 6 (</w:t>
      </w:r>
      <w:r w:rsidRPr="001F64A6">
        <w:rPr>
          <w:rFonts w:ascii="Arial" w:eastAsia="Arial" w:hAnsi="Arial" w:cs="Arial"/>
          <w:b/>
          <w:lang w:val="en-US"/>
        </w:rPr>
        <w:t>E</w:t>
      </w:r>
      <w:r w:rsidRPr="001F64A6">
        <w:rPr>
          <w:rFonts w:ascii="Arial" w:eastAsia="Arial" w:hAnsi="Arial" w:cs="Arial"/>
          <w:lang w:val="en-US"/>
        </w:rPr>
        <w:t>) and 8 (</w:t>
      </w:r>
      <w:r w:rsidRPr="001F64A6">
        <w:rPr>
          <w:rFonts w:ascii="Arial" w:eastAsia="Arial" w:hAnsi="Arial" w:cs="Arial"/>
          <w:b/>
          <w:lang w:val="en-US"/>
        </w:rPr>
        <w:t>F</w:t>
      </w:r>
      <w:r w:rsidRPr="001F64A6">
        <w:rPr>
          <w:rFonts w:ascii="Arial" w:eastAsia="Arial" w:hAnsi="Arial" w:cs="Arial"/>
          <w:lang w:val="en-US"/>
        </w:rPr>
        <w:t xml:space="preserve">) hours before addition of 10 or 100 ng/mL insulin. Membrane toxicity was determined after 24 hours incubation. Data represent the mean ± SEM of three independent experiments. *P&lt;0.05 </w:t>
      </w:r>
      <w:r w:rsidRPr="001F64A6">
        <w:rPr>
          <w:rFonts w:ascii="Arial" w:eastAsia="Arial" w:hAnsi="Arial" w:cs="Arial"/>
          <w:i/>
          <w:lang w:val="en-US"/>
        </w:rPr>
        <w:t>versus</w:t>
      </w:r>
      <w:r w:rsidRPr="001F64A6">
        <w:rPr>
          <w:rFonts w:ascii="Arial" w:eastAsia="Arial" w:hAnsi="Arial" w:cs="Arial"/>
          <w:lang w:val="en-US"/>
        </w:rPr>
        <w:t xml:space="preserve"> 0.1 % DMSO; </w:t>
      </w:r>
      <w:r w:rsidRPr="001F64A6">
        <w:rPr>
          <w:rFonts w:ascii="Arial" w:eastAsia="Arial" w:hAnsi="Arial" w:cs="Arial"/>
          <w:vertAlign w:val="superscript"/>
          <w:lang w:val="en-US"/>
        </w:rPr>
        <w:t>+</w:t>
      </w:r>
      <w:r w:rsidRPr="001F64A6">
        <w:rPr>
          <w:rFonts w:ascii="Arial" w:eastAsia="Arial" w:hAnsi="Arial" w:cs="Arial"/>
          <w:lang w:val="en-US"/>
        </w:rPr>
        <w:t xml:space="preserve">P&lt;0.05 </w:t>
      </w:r>
      <w:r w:rsidRPr="001F64A6">
        <w:rPr>
          <w:rFonts w:ascii="Arial" w:eastAsia="Arial" w:hAnsi="Arial" w:cs="Arial"/>
          <w:i/>
          <w:lang w:val="en-US"/>
        </w:rPr>
        <w:t>versus</w:t>
      </w:r>
      <w:r w:rsidRPr="001F64A6">
        <w:rPr>
          <w:rFonts w:ascii="Arial" w:eastAsia="Arial" w:hAnsi="Arial" w:cs="Arial"/>
          <w:lang w:val="en-US"/>
        </w:rPr>
        <w:t xml:space="preserve"> 10 μM simvastatin. SMV: simvastatin, INS: insulin.</w:t>
      </w:r>
    </w:p>
    <w:p w14:paraId="53BCF13C" w14:textId="02DFE54A" w:rsidR="00F368B4" w:rsidRDefault="00F368B4">
      <w:pPr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  <w:lang w:val="en-US"/>
        </w:rPr>
        <w:br w:type="page"/>
      </w:r>
    </w:p>
    <w:p w14:paraId="3B44BE66" w14:textId="644AE9FE" w:rsidR="008A0AD2" w:rsidRPr="001F64A6" w:rsidRDefault="00F368B4" w:rsidP="00083195">
      <w:pPr>
        <w:spacing w:after="0" w:line="480" w:lineRule="auto"/>
        <w:rPr>
          <w:rFonts w:ascii="Arial" w:eastAsia="Arial" w:hAnsi="Arial" w:cs="Arial"/>
          <w:b/>
          <w:lang w:val="en-US"/>
        </w:rPr>
      </w:pPr>
      <w:r>
        <w:rPr>
          <w:rFonts w:ascii="Arial" w:eastAsia="Arial" w:hAnsi="Arial" w:cs="Arial"/>
          <w:b/>
          <w:lang w:val="en-US"/>
        </w:rPr>
        <w:lastRenderedPageBreak/>
        <w:t xml:space="preserve">Supplementary </w:t>
      </w:r>
      <w:r w:rsidR="0032384D" w:rsidRPr="001F64A6">
        <w:rPr>
          <w:rFonts w:ascii="Arial" w:eastAsia="Arial" w:hAnsi="Arial" w:cs="Arial"/>
          <w:b/>
          <w:lang w:val="en-US"/>
        </w:rPr>
        <w:t>Figure S2</w:t>
      </w:r>
    </w:p>
    <w:p w14:paraId="28FFA5F8" w14:textId="225AE850" w:rsidR="00F368B4" w:rsidRPr="00F368B4" w:rsidRDefault="00F368B4" w:rsidP="00083195">
      <w:pPr>
        <w:spacing w:after="0" w:line="480" w:lineRule="auto"/>
        <w:jc w:val="both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  <w:noProof/>
          <w:lang w:val="en-US" w:eastAsia="en-US"/>
        </w:rPr>
        <w:drawing>
          <wp:inline distT="0" distB="0" distL="0" distR="0" wp14:anchorId="28E7DD5F" wp14:editId="6E179FE6">
            <wp:extent cx="5760720" cy="4221052"/>
            <wp:effectExtent l="0" t="0" r="0" b="8255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21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91796" w14:textId="7804FB2C" w:rsidR="008A0AD2" w:rsidRPr="001F64A6" w:rsidRDefault="0032384D" w:rsidP="00083195">
      <w:pPr>
        <w:spacing w:after="0" w:line="480" w:lineRule="auto"/>
        <w:jc w:val="both"/>
        <w:rPr>
          <w:rFonts w:ascii="Arial" w:eastAsia="Arial" w:hAnsi="Arial" w:cs="Arial"/>
          <w:lang w:val="en-US"/>
        </w:rPr>
      </w:pPr>
      <w:r w:rsidRPr="001F64A6">
        <w:rPr>
          <w:rFonts w:ascii="Arial" w:eastAsia="Arial" w:hAnsi="Arial" w:cs="Arial"/>
          <w:i/>
          <w:lang w:val="en-US"/>
        </w:rPr>
        <w:t>Function of the respiratory chain in C2C12 myoblasts and myotubes</w:t>
      </w:r>
      <w:r w:rsidRPr="001F64A6">
        <w:rPr>
          <w:rFonts w:ascii="Arial" w:eastAsia="Arial" w:hAnsi="Arial" w:cs="Arial"/>
          <w:lang w:val="en-US"/>
        </w:rPr>
        <w:t xml:space="preserve">. </w:t>
      </w:r>
      <w:r w:rsidRPr="001F64A6">
        <w:rPr>
          <w:rFonts w:ascii="Arial" w:eastAsia="Arial" w:hAnsi="Arial" w:cs="Arial"/>
          <w:b/>
          <w:lang w:val="en-US"/>
        </w:rPr>
        <w:t>A.</w:t>
      </w:r>
      <w:r w:rsidRPr="001F64A6">
        <w:rPr>
          <w:rFonts w:ascii="Arial" w:eastAsia="Arial" w:hAnsi="Arial" w:cs="Arial"/>
          <w:lang w:val="en-US"/>
        </w:rPr>
        <w:t xml:space="preserve"> Oxygen consumption rate (OCR) and corresponding quantifications in C2C12</w:t>
      </w:r>
      <w:r w:rsidRPr="001F64A6">
        <w:rPr>
          <w:rFonts w:ascii="Arial" w:eastAsia="Arial" w:hAnsi="Arial" w:cs="Arial"/>
          <w:b/>
          <w:lang w:val="en-US"/>
        </w:rPr>
        <w:t xml:space="preserve"> </w:t>
      </w:r>
      <w:r w:rsidRPr="001F64A6">
        <w:rPr>
          <w:rFonts w:ascii="Arial" w:eastAsia="Arial" w:hAnsi="Arial" w:cs="Arial"/>
          <w:lang w:val="en-US"/>
        </w:rPr>
        <w:t xml:space="preserve">myoblasts and in </w:t>
      </w:r>
      <w:r w:rsidRPr="001F64A6">
        <w:rPr>
          <w:rFonts w:ascii="Arial" w:eastAsia="Arial" w:hAnsi="Arial" w:cs="Arial"/>
          <w:b/>
          <w:lang w:val="en-US"/>
        </w:rPr>
        <w:t>B.</w:t>
      </w:r>
      <w:r w:rsidRPr="001F64A6">
        <w:rPr>
          <w:rFonts w:ascii="Arial" w:eastAsia="Arial" w:hAnsi="Arial" w:cs="Arial"/>
          <w:lang w:val="en-US"/>
        </w:rPr>
        <w:t xml:space="preserve"> C2C12 myotubes following 24 hours exposure to 10 μM simvastatin, 100 ng/mL insulin and/or 100 </w:t>
      </w:r>
      <w:proofErr w:type="spellStart"/>
      <w:r w:rsidRPr="001F64A6">
        <w:rPr>
          <w:rFonts w:ascii="Arial" w:eastAsia="Arial" w:hAnsi="Arial" w:cs="Arial"/>
          <w:lang w:val="en-US"/>
        </w:rPr>
        <w:t>μM</w:t>
      </w:r>
      <w:proofErr w:type="spellEnd"/>
      <w:r w:rsidRPr="001F64A6">
        <w:rPr>
          <w:rFonts w:ascii="Arial" w:eastAsia="Arial" w:hAnsi="Arial" w:cs="Arial"/>
          <w:lang w:val="en-US"/>
        </w:rPr>
        <w:t xml:space="preserve"> </w:t>
      </w:r>
      <w:proofErr w:type="spellStart"/>
      <w:r w:rsidRPr="001F64A6">
        <w:rPr>
          <w:rFonts w:ascii="Arial" w:eastAsia="Arial" w:hAnsi="Arial" w:cs="Arial"/>
          <w:lang w:val="en-US"/>
        </w:rPr>
        <w:t>mevalonolactone</w:t>
      </w:r>
      <w:proofErr w:type="spellEnd"/>
      <w:r w:rsidRPr="001F64A6">
        <w:rPr>
          <w:rFonts w:ascii="Arial" w:eastAsia="Arial" w:hAnsi="Arial" w:cs="Arial"/>
          <w:lang w:val="en-US"/>
        </w:rPr>
        <w:t xml:space="preserve">. Values </w:t>
      </w:r>
      <w:r w:rsidR="0075008F">
        <w:rPr>
          <w:rFonts w:ascii="Arial" w:eastAsia="Arial" w:hAnsi="Arial" w:cs="Arial"/>
          <w:lang w:val="en-US"/>
        </w:rPr>
        <w:t xml:space="preserve">are expressed per mg </w:t>
      </w:r>
      <w:r w:rsidRPr="001F64A6">
        <w:rPr>
          <w:rFonts w:ascii="Arial" w:eastAsia="Arial" w:hAnsi="Arial" w:cs="Arial"/>
          <w:lang w:val="en-US"/>
        </w:rPr>
        <w:t xml:space="preserve">protein. Data represent the mean ± SEM of four independent experiments. *P&lt;0.05 </w:t>
      </w:r>
      <w:r w:rsidRPr="001F64A6">
        <w:rPr>
          <w:rFonts w:ascii="Arial" w:eastAsia="Arial" w:hAnsi="Arial" w:cs="Arial"/>
          <w:i/>
          <w:lang w:val="en-US"/>
        </w:rPr>
        <w:t>versus</w:t>
      </w:r>
      <w:r w:rsidRPr="001F64A6">
        <w:rPr>
          <w:rFonts w:ascii="Arial" w:eastAsia="Arial" w:hAnsi="Arial" w:cs="Arial"/>
          <w:lang w:val="en-US"/>
        </w:rPr>
        <w:t xml:space="preserve"> 0.1 % DMSO; </w:t>
      </w:r>
      <w:r w:rsidRPr="001F64A6">
        <w:rPr>
          <w:rFonts w:ascii="Arial" w:eastAsia="Arial" w:hAnsi="Arial" w:cs="Arial"/>
          <w:vertAlign w:val="superscript"/>
          <w:lang w:val="en-US"/>
        </w:rPr>
        <w:t>+</w:t>
      </w:r>
      <w:r w:rsidRPr="001F64A6">
        <w:rPr>
          <w:rFonts w:ascii="Arial" w:eastAsia="Arial" w:hAnsi="Arial" w:cs="Arial"/>
          <w:lang w:val="en-US"/>
        </w:rPr>
        <w:t xml:space="preserve">P&lt;0.05 </w:t>
      </w:r>
      <w:r w:rsidRPr="001F64A6">
        <w:rPr>
          <w:rFonts w:ascii="Arial" w:eastAsia="Arial" w:hAnsi="Arial" w:cs="Arial"/>
          <w:i/>
          <w:lang w:val="en-US"/>
        </w:rPr>
        <w:t>versus</w:t>
      </w:r>
      <w:r w:rsidRPr="001F64A6">
        <w:rPr>
          <w:rFonts w:ascii="Arial" w:eastAsia="Arial" w:hAnsi="Arial" w:cs="Arial"/>
          <w:lang w:val="en-US"/>
        </w:rPr>
        <w:t xml:space="preserve"> 10 μM simvastatin. SMV: simvastatin, INS: insulin, MEVA: </w:t>
      </w:r>
      <w:proofErr w:type="spellStart"/>
      <w:r w:rsidRPr="001F64A6">
        <w:rPr>
          <w:rFonts w:ascii="Arial" w:eastAsia="Arial" w:hAnsi="Arial" w:cs="Arial"/>
          <w:lang w:val="en-US"/>
        </w:rPr>
        <w:t>mevalonolactone</w:t>
      </w:r>
      <w:proofErr w:type="spellEnd"/>
      <w:r w:rsidRPr="001F64A6">
        <w:rPr>
          <w:rFonts w:ascii="Arial" w:eastAsia="Arial" w:hAnsi="Arial" w:cs="Arial"/>
          <w:lang w:val="en-US"/>
        </w:rPr>
        <w:t>.</w:t>
      </w:r>
    </w:p>
    <w:p w14:paraId="2A1AA8BD" w14:textId="6F4D9FC9" w:rsidR="008A0AD2" w:rsidRPr="001F64A6" w:rsidRDefault="008A0AD2">
      <w:pPr>
        <w:spacing w:after="0" w:line="480" w:lineRule="auto"/>
        <w:ind w:left="284"/>
        <w:jc w:val="both"/>
        <w:rPr>
          <w:rFonts w:ascii="Arial" w:eastAsia="Arial" w:hAnsi="Arial" w:cs="Arial"/>
          <w:lang w:val="en-US"/>
        </w:rPr>
      </w:pPr>
    </w:p>
    <w:sectPr w:rsidR="008A0AD2" w:rsidRPr="001F64A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fz9wfzpa55ad4ederppzsvpxa0dwfs2s0sr&quot;&gt;Simvastatin C2C12 blasts 01062019&lt;record-ids&gt;&lt;item&gt;1&lt;/item&gt;&lt;/record-ids&gt;&lt;/item&gt;&lt;/Libraries&gt;"/>
  </w:docVars>
  <w:rsids>
    <w:rsidRoot w:val="008A0AD2"/>
    <w:rsid w:val="00074E85"/>
    <w:rsid w:val="00083195"/>
    <w:rsid w:val="000E348C"/>
    <w:rsid w:val="000F0380"/>
    <w:rsid w:val="00135EF3"/>
    <w:rsid w:val="00150529"/>
    <w:rsid w:val="001832FA"/>
    <w:rsid w:val="001F64A6"/>
    <w:rsid w:val="00200C7C"/>
    <w:rsid w:val="00251123"/>
    <w:rsid w:val="0032384D"/>
    <w:rsid w:val="003323C8"/>
    <w:rsid w:val="005F70EF"/>
    <w:rsid w:val="006014A5"/>
    <w:rsid w:val="007030CF"/>
    <w:rsid w:val="0075008F"/>
    <w:rsid w:val="007B43ED"/>
    <w:rsid w:val="00802644"/>
    <w:rsid w:val="00847EE1"/>
    <w:rsid w:val="008A0AD2"/>
    <w:rsid w:val="008D7058"/>
    <w:rsid w:val="009375E7"/>
    <w:rsid w:val="009D78C7"/>
    <w:rsid w:val="00A3338D"/>
    <w:rsid w:val="00A55AA5"/>
    <w:rsid w:val="00AA1C1A"/>
    <w:rsid w:val="00C01A66"/>
    <w:rsid w:val="00DD503E"/>
    <w:rsid w:val="00F368B4"/>
    <w:rsid w:val="00F4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70913C"/>
  <w15:docId w15:val="{4851CAAB-4BF3-4913-BDCD-BA72AEFFA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rd"/>
    <w:link w:val="EndNoteBibliographyTitleZchn"/>
    <w:rsid w:val="009375E7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9375E7"/>
    <w:rPr>
      <w:rFonts w:ascii="Calibri" w:hAnsi="Calibri"/>
      <w:noProof/>
    </w:rPr>
  </w:style>
  <w:style w:type="paragraph" w:customStyle="1" w:styleId="EndNoteBibliography">
    <w:name w:val="EndNote Bibliography"/>
    <w:basedOn w:val="Standard"/>
    <w:link w:val="EndNoteBibliographyZchn"/>
    <w:rsid w:val="009375E7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9375E7"/>
    <w:rPr>
      <w:rFonts w:ascii="Calibri" w:hAnsi="Calibri"/>
      <w:noProof/>
    </w:rPr>
  </w:style>
  <w:style w:type="paragraph" w:styleId="StandardWeb">
    <w:name w:val="Normal (Web)"/>
    <w:basedOn w:val="Standard"/>
    <w:uiPriority w:val="99"/>
    <w:semiHidden/>
    <w:unhideWhenUsed/>
    <w:rsid w:val="00F368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36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368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hyperlink" Target="mailto:stephan.kraehenbuehl@usb.ch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265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Kraehenbuehl Stephan</dc:creator>
  <cp:lastModifiedBy>Stephan Krähenbühl</cp:lastModifiedBy>
  <cp:revision>4</cp:revision>
  <dcterms:created xsi:type="dcterms:W3CDTF">2020-07-11T15:56:00Z</dcterms:created>
  <dcterms:modified xsi:type="dcterms:W3CDTF">2020-08-29T11:17:00Z</dcterms:modified>
</cp:coreProperties>
</file>