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outlineLvl w:val="1"/>
        <w:rPr>
          <w:rFonts w:hint="default" w:ascii="Times New Roman" w:hAnsi="Times New Roman" w:cs="Times New Roman"/>
          <w:b/>
          <w:bCs/>
          <w:i w:val="0"/>
          <w:iCs w:val="0"/>
          <w:color w:val="000000" w:themeColor="text1"/>
          <w:sz w:val="28"/>
          <w:szCs w:val="21"/>
          <w:shd w:val="clear" w:color="auto" w:fill="FFFFFF"/>
          <w14:textFill>
            <w14:solidFill>
              <w14:schemeClr w14:val="tx1"/>
            </w14:solidFill>
          </w14:textFill>
        </w:rPr>
      </w:pPr>
      <w:r>
        <w:rPr>
          <w:rFonts w:hint="default" w:ascii="Times New Roman" w:hAnsi="Times New Roman" w:cs="Times New Roman"/>
          <w:b/>
          <w:bCs/>
          <w:i w:val="0"/>
          <w:iCs w:val="0"/>
          <w:color w:val="000000" w:themeColor="text1"/>
          <w:sz w:val="28"/>
          <w:szCs w:val="21"/>
          <w:shd w:val="clear" w:color="auto" w:fill="FFFFFF"/>
          <w14:textFill>
            <w14:solidFill>
              <w14:schemeClr w14:val="tx1"/>
            </w14:solidFill>
          </w14:textFill>
        </w:rPr>
        <w:t>Determination methods and standards</w:t>
      </w:r>
    </w:p>
    <w:p>
      <w:pPr>
        <w:spacing w:line="360" w:lineRule="auto"/>
        <w:ind w:firstLine="480" w:firstLineChars="200"/>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pPr>
      <w:bookmarkStart w:id="0" w:name="_Hlk123831994"/>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Soil particle size composition was determined by hydrometer method (Black, 1965). Soil organic matter was determined by K</w:t>
      </w:r>
      <w:r>
        <w:rPr>
          <w:rFonts w:hint="default" w:ascii="Times New Roman" w:hAnsi="Times New Roman" w:eastAsia="Segoe UI" w:cs="Times New Roman"/>
          <w:color w:val="000000" w:themeColor="text1"/>
          <w:sz w:val="24"/>
          <w:szCs w:val="21"/>
          <w:highlight w:val="none"/>
          <w:shd w:val="clear" w:color="auto" w:fill="FFFFFF"/>
          <w:vertAlign w:val="subscript"/>
          <w14:textFill>
            <w14:solidFill>
              <w14:schemeClr w14:val="tx1"/>
            </w14:solidFill>
          </w14:textFill>
        </w:rPr>
        <w:t>2</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Cr</w:t>
      </w:r>
      <w:r>
        <w:rPr>
          <w:rFonts w:hint="default" w:ascii="Times New Roman" w:hAnsi="Times New Roman" w:eastAsia="Segoe UI" w:cs="Times New Roman"/>
          <w:color w:val="000000" w:themeColor="text1"/>
          <w:sz w:val="24"/>
          <w:szCs w:val="21"/>
          <w:highlight w:val="none"/>
          <w:shd w:val="clear" w:color="auto" w:fill="FFFFFF"/>
          <w:vertAlign w:val="subscript"/>
          <w14:textFill>
            <w14:solidFill>
              <w14:schemeClr w14:val="tx1"/>
            </w14:solidFill>
          </w14:textFill>
        </w:rPr>
        <w:t>2</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O</w:t>
      </w:r>
      <w:r>
        <w:rPr>
          <w:rFonts w:hint="default" w:ascii="Times New Roman" w:hAnsi="Times New Roman" w:eastAsia="Segoe UI" w:cs="Times New Roman"/>
          <w:color w:val="000000" w:themeColor="text1"/>
          <w:sz w:val="24"/>
          <w:szCs w:val="21"/>
          <w:highlight w:val="none"/>
          <w:shd w:val="clear" w:color="auto" w:fill="FFFFFF"/>
          <w:vertAlign w:val="subscript"/>
          <w14:textFill>
            <w14:solidFill>
              <w14:schemeClr w14:val="tx1"/>
            </w14:solidFill>
          </w14:textFill>
        </w:rPr>
        <w:t>7</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 xml:space="preserve"> oxidation method (Page et al., 1982). Soil pH was determined by a method used by Zhao et al., 2014 and the water-soil ratio was 5:1. The cation exchange capacity of soil was determined by the method of Rhoades (1982). The contents of antimony, arsenic, iron, aluminum and manganese in the soil were pretreated by wet digestion (HNO</w:t>
      </w:r>
      <w:r>
        <w:rPr>
          <w:rFonts w:hint="default" w:ascii="Times New Roman" w:hAnsi="Times New Roman" w:eastAsia="Segoe UI" w:cs="Times New Roman"/>
          <w:color w:val="000000" w:themeColor="text1"/>
          <w:sz w:val="24"/>
          <w:szCs w:val="21"/>
          <w:highlight w:val="none"/>
          <w:shd w:val="clear" w:color="auto" w:fill="FFFFFF"/>
          <w:vertAlign w:val="subscript"/>
          <w14:textFill>
            <w14:solidFill>
              <w14:schemeClr w14:val="tx1"/>
            </w14:solidFill>
          </w14:textFill>
        </w:rPr>
        <w:t>3</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-HClO</w:t>
      </w:r>
      <w:r>
        <w:rPr>
          <w:rFonts w:hint="default" w:ascii="Times New Roman" w:hAnsi="Times New Roman" w:eastAsia="Segoe UI" w:cs="Times New Roman"/>
          <w:color w:val="000000" w:themeColor="text1"/>
          <w:sz w:val="24"/>
          <w:szCs w:val="21"/>
          <w:highlight w:val="none"/>
          <w:shd w:val="clear" w:color="auto" w:fill="FFFFFF"/>
          <w:vertAlign w:val="subscript"/>
          <w14:textFill>
            <w14:solidFill>
              <w14:schemeClr w14:val="tx1"/>
            </w14:solidFill>
          </w14:textFill>
        </w:rPr>
        <w:t>4</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-HF) method (Hou et al., 2005) and the content of heavy metal(loid)s were determined by inductively coupled plasma mass spectrometer (ICP-MS, Agilent 7500c, USA).</w:t>
      </w:r>
      <w:r>
        <w:rPr>
          <w:rFonts w:hint="default" w:ascii="Times New Roman" w:hAnsi="Times New Roman" w:eastAsia="宋体" w:cs="Times New Roman"/>
          <w:color w:val="000000" w:themeColor="text1"/>
          <w:sz w:val="24"/>
          <w:szCs w:val="21"/>
          <w:highlight w:val="none"/>
          <w:shd w:val="clear" w:color="auto" w:fill="FFFFFF"/>
          <w14:textFill>
            <w14:solidFill>
              <w14:schemeClr w14:val="tx1"/>
            </w14:solidFill>
          </w14:textFill>
        </w:rPr>
        <w:t xml:space="preserve"> </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The soil conductivity was measured by a conductivity analyzer (Zhang et al., 2008). The soil total nitrogen content was measured by an automatic Kjeldahl nitrogen analyzer (Wang et al., 2020), and the soil total phosphorus content was measured by a flow analyzer (Li et al., 2020). Soil water-soluble salt content was determined by a conductivity meter (Yuan et al., 202</w:t>
      </w:r>
      <w:r>
        <w:rPr>
          <w:rFonts w:hint="default" w:ascii="Times New Roman" w:hAnsi="Times New Roman" w:eastAsia="宋体" w:cs="Times New Roman"/>
          <w:color w:val="000000" w:themeColor="text1"/>
          <w:sz w:val="24"/>
          <w:szCs w:val="21"/>
          <w:highlight w:val="none"/>
          <w:shd w:val="clear" w:color="auto" w:fill="FFFFFF"/>
          <w:lang w:val="en-US" w:eastAsia="zh-CN"/>
          <w14:textFill>
            <w14:solidFill>
              <w14:schemeClr w14:val="tx1"/>
            </w14:solidFill>
          </w14:textFill>
        </w:rPr>
        <w:t>1</w:t>
      </w:r>
      <w:r>
        <w:rPr>
          <w:rFonts w:hint="default" w:ascii="Times New Roman" w:hAnsi="Times New Roman" w:eastAsia="Segoe UI" w:cs="Times New Roman"/>
          <w:color w:val="000000" w:themeColor="text1"/>
          <w:sz w:val="24"/>
          <w:szCs w:val="21"/>
          <w:highlight w:val="none"/>
          <w:shd w:val="clear" w:color="auto" w:fill="FFFFFF"/>
          <w14:textFill>
            <w14:solidFill>
              <w14:schemeClr w14:val="tx1"/>
            </w14:solidFill>
          </w14:textFill>
        </w:rPr>
        <w:t>).</w:t>
      </w:r>
      <w:bookmarkEnd w:id="0"/>
    </w:p>
    <w:p>
      <w:pPr>
        <w:spacing w:line="360" w:lineRule="auto"/>
        <w:outlineLvl w:val="1"/>
        <w:rPr>
          <w:rFonts w:hint="default" w:ascii="Times New Roman" w:hAnsi="Times New Roman" w:cs="Times New Roman"/>
          <w:b/>
          <w:bCs/>
          <w:i w:val="0"/>
          <w:iCs w:val="0"/>
          <w:color w:val="000000" w:themeColor="text1"/>
          <w:sz w:val="28"/>
          <w:szCs w:val="21"/>
          <w:shd w:val="clear" w:color="auto" w:fill="FFFFFF"/>
          <w14:textFill>
            <w14:solidFill>
              <w14:schemeClr w14:val="tx1"/>
            </w14:solidFill>
          </w14:textFill>
        </w:rPr>
      </w:pPr>
      <w:r>
        <w:rPr>
          <w:rFonts w:hint="default" w:ascii="Times New Roman" w:hAnsi="Times New Roman" w:cs="Times New Roman"/>
          <w:b/>
          <w:bCs/>
          <w:i w:val="0"/>
          <w:iCs w:val="0"/>
          <w:color w:val="000000" w:themeColor="text1"/>
          <w:sz w:val="28"/>
          <w:szCs w:val="21"/>
          <w:shd w:val="clear" w:color="auto" w:fill="FFFFFF"/>
          <w14:textFill>
            <w14:solidFill>
              <w14:schemeClr w14:val="tx1"/>
            </w14:solidFill>
          </w14:textFill>
        </w:rPr>
        <w:t>References:</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instrText xml:space="preserve"> ADDIN EN.REFLIST </w:instrTex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Black C</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A </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1965</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Particle fractionation and particle-size analysis.</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Methods of Soil Analysis Part 1, American Society of Agronomy Inc. Wisconsin</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545-567.</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Page A</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L, Miller R</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H, Keeney D</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R</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1982</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Total carbon,</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organic carbon,</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and organic matter.</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Methods of soil analysis. Soil Science Society of America Inc.Wisconsin 539-579.</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Zhao L, Xu Y, Hou H, Shangguan Y, Li F</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2014</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Source identification and health risk assessment of metals in urban soils around the tanggu chemical industrial district, tianjin, china. Sci </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Total Environ</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468-469:654-662.DOI:10.1016/j.scitotenv.2013.08.094.</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Rhoades J</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D</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1982</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Cation exchange capacity.</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Methods of soil analysis. Part 2. Chemical and microbiological properties, American Society of Agronomy,Inc.Wisconson</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149-157.</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Hou H, Takamatsu</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T, Koshikawa M</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K, Hosomi</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M </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2005</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Migration of silver, indium, tin, antimony, and bismuth and variations in their chemical fractions on addition to uncontaminated soils. Soil Sci 170(8):624-639.DOI:10.1097/01.ss.0000178205.35923.66.</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Zhang Z, Xun</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J</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Y, Kong J</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2008</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Analysis of Factors Affecting Measurement of Soil Electrical Conductivity. Chinese Society of Environmental Science Academic Annual Conference Excellent Papers (Volume II)</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260-262.</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Wang X, Xiang Z, Li C, Zhu J, Wu J, Zhang M</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J, Wang A, Xiao W </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2020</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Exploration on optimization of automatic Kjeldahl nitrogen analyzer for measuring soil total nitrogen content. Journal of Shandong Agricultural University (Natural Science Edition) 51(03):438-440+446.</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Li C</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Y, Zheng L</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2020</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Rapid determination of total phosphorus content in soil by flow analyzer. China Soil and Fertilizer (04):266-270.</w:t>
      </w:r>
    </w:p>
    <w:p>
      <w:pPr>
        <w:spacing w:line="360" w:lineRule="auto"/>
        <w:ind w:left="420" w:hanging="420" w:hangingChars="200"/>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Yuan L, Wu</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T</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Han S</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B, Zhang Q</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X</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 Li F</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 xml:space="preserve">C </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2021</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Spatial variation characteristics of soil water-soluble salt in the inner flow area of</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 xml:space="preserve"> </w:t>
      </w:r>
      <w:bookmarkStart w:id="1" w:name="_GoBack"/>
      <w:bookmarkEnd w:id="1"/>
      <w:r>
        <w:rPr>
          <w:rFonts w:hint="default" w:ascii="Times New Roman" w:hAnsi="Times New Roman" w:eastAsia="宋体" w:cs="Times New Roman"/>
          <w:color w:val="000000" w:themeColor="text1"/>
          <w:kern w:val="0"/>
          <w:szCs w:val="21"/>
          <w:lang w:val="en-US" w:eastAsia="zh-CN"/>
          <w14:textFill>
            <w14:solidFill>
              <w14:schemeClr w14:val="tx1"/>
            </w14:solidFill>
          </w14:textFill>
        </w:rPr>
        <w:t>the Inner Mongolia Plateau and its influencing factors. Northwest Geology 54(04):192-198.</w:t>
      </w:r>
    </w:p>
    <w:p>
      <w:pPr>
        <w:widowControl/>
        <w:rPr>
          <w:rFonts w:hint="default" w:ascii="Times New Roman" w:hAnsi="Times New Roman" w:cs="Times New Roman"/>
          <w:color w:val="000000" w:themeColor="text1"/>
          <w14:textFill>
            <w14:solidFill>
              <w14:schemeClr w14:val="tx1"/>
            </w14:solidFill>
          </w14:textFill>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RlMGM3YjM3YThjNGI2YWIzYTllYWU0Mzk4NWYxNDMifQ=="/>
    <w:docVar w:name="EN.Layout" w:val="&lt;ENLayout&gt;&lt;Style&gt;J Environmental Mgmt&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tap55xk2xraneesz85radx995rv9955a2s&quot;&gt;My EndNote Library&lt;record-ids&gt;&lt;item&gt;68&lt;/item&gt;&lt;/record-ids&gt;&lt;/item&gt;&lt;/Libraries&gt;"/>
  </w:docVars>
  <w:rsids>
    <w:rsidRoot w:val="006D5C92"/>
    <w:rsid w:val="00015F25"/>
    <w:rsid w:val="00026964"/>
    <w:rsid w:val="00040342"/>
    <w:rsid w:val="00045A81"/>
    <w:rsid w:val="0007006D"/>
    <w:rsid w:val="00074E0E"/>
    <w:rsid w:val="00077441"/>
    <w:rsid w:val="000F2EF8"/>
    <w:rsid w:val="000F6277"/>
    <w:rsid w:val="00122A59"/>
    <w:rsid w:val="00146F8C"/>
    <w:rsid w:val="00175FAD"/>
    <w:rsid w:val="001838F6"/>
    <w:rsid w:val="001A25D6"/>
    <w:rsid w:val="001B1EE1"/>
    <w:rsid w:val="001B5A98"/>
    <w:rsid w:val="001E660B"/>
    <w:rsid w:val="001F2387"/>
    <w:rsid w:val="001F47D1"/>
    <w:rsid w:val="00210E5F"/>
    <w:rsid w:val="002266CD"/>
    <w:rsid w:val="00294B20"/>
    <w:rsid w:val="00295DA9"/>
    <w:rsid w:val="00297EB9"/>
    <w:rsid w:val="002D5124"/>
    <w:rsid w:val="002F1829"/>
    <w:rsid w:val="002F378C"/>
    <w:rsid w:val="002F3B99"/>
    <w:rsid w:val="00352932"/>
    <w:rsid w:val="00357022"/>
    <w:rsid w:val="00360A52"/>
    <w:rsid w:val="00367B33"/>
    <w:rsid w:val="003A047B"/>
    <w:rsid w:val="003B19DD"/>
    <w:rsid w:val="003E2C71"/>
    <w:rsid w:val="003F2D63"/>
    <w:rsid w:val="00400D70"/>
    <w:rsid w:val="0040452C"/>
    <w:rsid w:val="00436304"/>
    <w:rsid w:val="00443C35"/>
    <w:rsid w:val="00462C5A"/>
    <w:rsid w:val="00472637"/>
    <w:rsid w:val="004B2311"/>
    <w:rsid w:val="004B7F1D"/>
    <w:rsid w:val="004F4E3A"/>
    <w:rsid w:val="00502FF1"/>
    <w:rsid w:val="00503703"/>
    <w:rsid w:val="0051128B"/>
    <w:rsid w:val="00520BA7"/>
    <w:rsid w:val="005225C3"/>
    <w:rsid w:val="0052600E"/>
    <w:rsid w:val="005279ED"/>
    <w:rsid w:val="00596A35"/>
    <w:rsid w:val="005A237B"/>
    <w:rsid w:val="005A4FBC"/>
    <w:rsid w:val="005D0A2B"/>
    <w:rsid w:val="005D4DFC"/>
    <w:rsid w:val="005D6E61"/>
    <w:rsid w:val="005F3325"/>
    <w:rsid w:val="00607AAD"/>
    <w:rsid w:val="00633827"/>
    <w:rsid w:val="006353DA"/>
    <w:rsid w:val="006467CA"/>
    <w:rsid w:val="0065428E"/>
    <w:rsid w:val="00672A1D"/>
    <w:rsid w:val="00694053"/>
    <w:rsid w:val="006B7009"/>
    <w:rsid w:val="006D5C92"/>
    <w:rsid w:val="006D6131"/>
    <w:rsid w:val="006E2126"/>
    <w:rsid w:val="006F7002"/>
    <w:rsid w:val="007342B5"/>
    <w:rsid w:val="0074018A"/>
    <w:rsid w:val="00742155"/>
    <w:rsid w:val="00742AC8"/>
    <w:rsid w:val="00753491"/>
    <w:rsid w:val="0075398E"/>
    <w:rsid w:val="00755981"/>
    <w:rsid w:val="00755EF8"/>
    <w:rsid w:val="00755F8E"/>
    <w:rsid w:val="007622FB"/>
    <w:rsid w:val="00785C3E"/>
    <w:rsid w:val="007937CF"/>
    <w:rsid w:val="00796D21"/>
    <w:rsid w:val="007A18A2"/>
    <w:rsid w:val="007A3B2C"/>
    <w:rsid w:val="007A645C"/>
    <w:rsid w:val="007B1606"/>
    <w:rsid w:val="007B7ACC"/>
    <w:rsid w:val="007C685F"/>
    <w:rsid w:val="007D6065"/>
    <w:rsid w:val="007E3543"/>
    <w:rsid w:val="00870B54"/>
    <w:rsid w:val="00877E88"/>
    <w:rsid w:val="00880748"/>
    <w:rsid w:val="008A3F17"/>
    <w:rsid w:val="008E6F2D"/>
    <w:rsid w:val="008F50A0"/>
    <w:rsid w:val="008F5638"/>
    <w:rsid w:val="00921C56"/>
    <w:rsid w:val="00933A38"/>
    <w:rsid w:val="00942618"/>
    <w:rsid w:val="00942E59"/>
    <w:rsid w:val="0096678B"/>
    <w:rsid w:val="00973CBD"/>
    <w:rsid w:val="00993EED"/>
    <w:rsid w:val="009A066C"/>
    <w:rsid w:val="00A264C8"/>
    <w:rsid w:val="00A3753E"/>
    <w:rsid w:val="00A84E8F"/>
    <w:rsid w:val="00A94194"/>
    <w:rsid w:val="00A97A60"/>
    <w:rsid w:val="00AC31E6"/>
    <w:rsid w:val="00AC423A"/>
    <w:rsid w:val="00AC51D6"/>
    <w:rsid w:val="00AC53EA"/>
    <w:rsid w:val="00AD2F6F"/>
    <w:rsid w:val="00AF2929"/>
    <w:rsid w:val="00B06EEB"/>
    <w:rsid w:val="00B50787"/>
    <w:rsid w:val="00B558D6"/>
    <w:rsid w:val="00B5630E"/>
    <w:rsid w:val="00B66308"/>
    <w:rsid w:val="00B70C26"/>
    <w:rsid w:val="00B80CD9"/>
    <w:rsid w:val="00B96B4F"/>
    <w:rsid w:val="00BB027C"/>
    <w:rsid w:val="00BC0150"/>
    <w:rsid w:val="00BC249C"/>
    <w:rsid w:val="00BD4998"/>
    <w:rsid w:val="00BE0428"/>
    <w:rsid w:val="00BE725D"/>
    <w:rsid w:val="00BF4E2D"/>
    <w:rsid w:val="00C047F0"/>
    <w:rsid w:val="00C163F7"/>
    <w:rsid w:val="00C30A8A"/>
    <w:rsid w:val="00C465DA"/>
    <w:rsid w:val="00C5286C"/>
    <w:rsid w:val="00C7272D"/>
    <w:rsid w:val="00C74DF2"/>
    <w:rsid w:val="00C75C8E"/>
    <w:rsid w:val="00C84F7D"/>
    <w:rsid w:val="00C92BCA"/>
    <w:rsid w:val="00CA5535"/>
    <w:rsid w:val="00CE0D0A"/>
    <w:rsid w:val="00D051D9"/>
    <w:rsid w:val="00D21719"/>
    <w:rsid w:val="00D229BC"/>
    <w:rsid w:val="00D24B43"/>
    <w:rsid w:val="00D61338"/>
    <w:rsid w:val="00D6169F"/>
    <w:rsid w:val="00D63F8B"/>
    <w:rsid w:val="00D81C3F"/>
    <w:rsid w:val="00D87361"/>
    <w:rsid w:val="00DD3157"/>
    <w:rsid w:val="00DF6960"/>
    <w:rsid w:val="00E47BB1"/>
    <w:rsid w:val="00E51049"/>
    <w:rsid w:val="00E5602A"/>
    <w:rsid w:val="00E65926"/>
    <w:rsid w:val="00E778A9"/>
    <w:rsid w:val="00E80323"/>
    <w:rsid w:val="00EB076F"/>
    <w:rsid w:val="00EE5289"/>
    <w:rsid w:val="00EF71E5"/>
    <w:rsid w:val="00F04400"/>
    <w:rsid w:val="00F12009"/>
    <w:rsid w:val="00F249A9"/>
    <w:rsid w:val="00F24B8A"/>
    <w:rsid w:val="00F2725D"/>
    <w:rsid w:val="00F30313"/>
    <w:rsid w:val="00F362DD"/>
    <w:rsid w:val="00F44F52"/>
    <w:rsid w:val="00F5184C"/>
    <w:rsid w:val="00F662F2"/>
    <w:rsid w:val="00F73F9E"/>
    <w:rsid w:val="00F74BAF"/>
    <w:rsid w:val="00F91AD1"/>
    <w:rsid w:val="00FB2DCD"/>
    <w:rsid w:val="00FB716A"/>
    <w:rsid w:val="00FD72F7"/>
    <w:rsid w:val="00FD7A2F"/>
    <w:rsid w:val="00FE3849"/>
    <w:rsid w:val="00FF3811"/>
    <w:rsid w:val="014F03EF"/>
    <w:rsid w:val="074315B5"/>
    <w:rsid w:val="08D82100"/>
    <w:rsid w:val="0D38442D"/>
    <w:rsid w:val="0D3B5CCB"/>
    <w:rsid w:val="15E6711C"/>
    <w:rsid w:val="18191800"/>
    <w:rsid w:val="183C74C7"/>
    <w:rsid w:val="1E2C58E8"/>
    <w:rsid w:val="1F43738D"/>
    <w:rsid w:val="1FBA5176"/>
    <w:rsid w:val="20621A95"/>
    <w:rsid w:val="20C244E9"/>
    <w:rsid w:val="239161EE"/>
    <w:rsid w:val="23E603BF"/>
    <w:rsid w:val="24743B45"/>
    <w:rsid w:val="24EA76BB"/>
    <w:rsid w:val="25545725"/>
    <w:rsid w:val="25551BC9"/>
    <w:rsid w:val="26ED7BDF"/>
    <w:rsid w:val="28301FE1"/>
    <w:rsid w:val="29BD7D3C"/>
    <w:rsid w:val="2D9513AB"/>
    <w:rsid w:val="2E7A61FC"/>
    <w:rsid w:val="30556F21"/>
    <w:rsid w:val="31EB11BF"/>
    <w:rsid w:val="32E12CEE"/>
    <w:rsid w:val="3776777C"/>
    <w:rsid w:val="38AC12B9"/>
    <w:rsid w:val="3BF5780A"/>
    <w:rsid w:val="3F717A66"/>
    <w:rsid w:val="41C11687"/>
    <w:rsid w:val="44B41CEE"/>
    <w:rsid w:val="4A3459A1"/>
    <w:rsid w:val="4A730277"/>
    <w:rsid w:val="4CF11DB8"/>
    <w:rsid w:val="4EEF5ECC"/>
    <w:rsid w:val="50BD049E"/>
    <w:rsid w:val="50C555A5"/>
    <w:rsid w:val="50D95BD4"/>
    <w:rsid w:val="50F656A3"/>
    <w:rsid w:val="58C25F41"/>
    <w:rsid w:val="5AD00D5A"/>
    <w:rsid w:val="5D7A7717"/>
    <w:rsid w:val="5DC57D9B"/>
    <w:rsid w:val="5DCD3CEB"/>
    <w:rsid w:val="5F4E26F5"/>
    <w:rsid w:val="61D75138"/>
    <w:rsid w:val="65D11F36"/>
    <w:rsid w:val="69F3658C"/>
    <w:rsid w:val="72031631"/>
    <w:rsid w:val="735D7883"/>
    <w:rsid w:val="74B66E2F"/>
    <w:rsid w:val="758374F1"/>
    <w:rsid w:val="77F2017E"/>
    <w:rsid w:val="7BE515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12"/>
    <w:unhideWhenUsed/>
    <w:qFormat/>
    <w:uiPriority w:val="99"/>
    <w:pPr>
      <w:snapToGrid w:val="0"/>
      <w:jc w:val="left"/>
    </w:pPr>
    <w:rPr>
      <w:rFonts w:ascii="等线" w:hAnsi="等线" w:eastAsia="等线" w:cs="Times New Roman"/>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unhideWhenUsed/>
    <w:qFormat/>
    <w:uiPriority w:val="99"/>
    <w:rPr>
      <w:color w:val="0563C1"/>
      <w:u w:val="single"/>
    </w:rPr>
  </w:style>
  <w:style w:type="character" w:styleId="9">
    <w:name w:val="footnote reference"/>
    <w:semiHidden/>
    <w:unhideWhenUsed/>
    <w:qFormat/>
    <w:uiPriority w:val="99"/>
    <w:rPr>
      <w:vertAlign w:val="superscript"/>
    </w:rPr>
  </w:style>
  <w:style w:type="character" w:customStyle="1" w:styleId="10">
    <w:name w:val="页眉 字符"/>
    <w:basedOn w:val="7"/>
    <w:link w:val="3"/>
    <w:qFormat/>
    <w:uiPriority w:val="99"/>
    <w:rPr>
      <w:sz w:val="18"/>
      <w:szCs w:val="18"/>
    </w:rPr>
  </w:style>
  <w:style w:type="character" w:customStyle="1" w:styleId="11">
    <w:name w:val="页脚 字符"/>
    <w:basedOn w:val="7"/>
    <w:link w:val="2"/>
    <w:qFormat/>
    <w:uiPriority w:val="99"/>
    <w:rPr>
      <w:sz w:val="18"/>
      <w:szCs w:val="18"/>
    </w:rPr>
  </w:style>
  <w:style w:type="character" w:customStyle="1" w:styleId="12">
    <w:name w:val="脚注文本 字符"/>
    <w:basedOn w:val="7"/>
    <w:link w:val="4"/>
    <w:qFormat/>
    <w:uiPriority w:val="99"/>
    <w:rPr>
      <w:rFonts w:ascii="等线" w:hAnsi="等线" w:eastAsia="等线" w:cs="Times New Roman"/>
      <w:sz w:val="18"/>
      <w:szCs w:val="18"/>
    </w:rPr>
  </w:style>
  <w:style w:type="paragraph" w:customStyle="1" w:styleId="13">
    <w:name w:val="EndNote Bibliography Title"/>
    <w:basedOn w:val="1"/>
    <w:link w:val="14"/>
    <w:qFormat/>
    <w:uiPriority w:val="0"/>
    <w:pPr>
      <w:jc w:val="center"/>
    </w:pPr>
    <w:rPr>
      <w:rFonts w:ascii="等线" w:hAnsi="等线" w:eastAsia="等线"/>
      <w:sz w:val="20"/>
    </w:rPr>
  </w:style>
  <w:style w:type="character" w:customStyle="1" w:styleId="14">
    <w:name w:val="EndNote Bibliography Title 字符"/>
    <w:basedOn w:val="7"/>
    <w:link w:val="13"/>
    <w:qFormat/>
    <w:uiPriority w:val="0"/>
    <w:rPr>
      <w:rFonts w:ascii="等线" w:hAnsi="等线" w:eastAsia="等线"/>
      <w:sz w:val="20"/>
    </w:rPr>
  </w:style>
  <w:style w:type="paragraph" w:customStyle="1" w:styleId="15">
    <w:name w:val="EndNote Bibliography"/>
    <w:basedOn w:val="1"/>
    <w:link w:val="16"/>
    <w:qFormat/>
    <w:uiPriority w:val="0"/>
    <w:rPr>
      <w:rFonts w:ascii="等线" w:hAnsi="等线" w:eastAsia="等线"/>
      <w:sz w:val="20"/>
    </w:rPr>
  </w:style>
  <w:style w:type="character" w:customStyle="1" w:styleId="16">
    <w:name w:val="EndNote Bibliography 字符"/>
    <w:basedOn w:val="7"/>
    <w:link w:val="15"/>
    <w:qFormat/>
    <w:uiPriority w:val="0"/>
    <w:rPr>
      <w:rFonts w:ascii="等线" w:hAnsi="等线" w:eastAsia="等线"/>
      <w:sz w:val="20"/>
    </w:rPr>
  </w:style>
  <w:style w:type="character" w:customStyle="1" w:styleId="17">
    <w:name w:val="EndNote Bibliography Char"/>
    <w:basedOn w:val="7"/>
    <w:qFormat/>
    <w:uiPriority w:val="0"/>
    <w:rPr>
      <w:rFonts w:ascii="Calibri" w:hAnsi="Calibri" w:cs="Calibri"/>
      <w:sz w:val="20"/>
    </w:rPr>
  </w:style>
  <w:style w:type="character" w:customStyle="1" w:styleId="18">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433</Words>
  <Characters>2468</Characters>
  <Lines>139</Lines>
  <Paragraphs>39</Paragraphs>
  <TotalTime>26</TotalTime>
  <ScaleCrop>false</ScaleCrop>
  <LinksUpToDate>false</LinksUpToDate>
  <CharactersWithSpaces>2890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2021-12-08T08:39:00Z</dcterms:created>
  <dc:creator>黄 华燕</dc:creator>
  <cp:lastModifiedBy>H C</cp:lastModifiedBy>
  <dcterms:modified xsi:type="dcterms:W3CDTF">2023-09-14T13:11:32Z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7AE84906357E4C02B05A3FEE2A844277_13</vt:lpwstr>
  </property>
</Properties>
</file>