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57550" w14:textId="1D8AD914" w:rsidR="00CE3E19" w:rsidRDefault="00CE3E19" w:rsidP="00CE3E19">
      <w:pPr>
        <w:spacing w:after="0" w:line="360" w:lineRule="auto"/>
        <w:rPr>
          <w:rFonts w:ascii="Times New Roman" w:hAnsi="Times New Roman"/>
          <w:color w:val="000000"/>
          <w:sz w:val="24"/>
          <w:lang w:val="en-IN"/>
        </w:rPr>
      </w:pPr>
      <w:r w:rsidRPr="00C74E49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 xml:space="preserve">1 </w:t>
      </w:r>
      <w:r w:rsidRPr="00C74E49">
        <w:rPr>
          <w:rFonts w:ascii="Times New Roman" w:hAnsi="Times New Roman"/>
          <w:color w:val="000000"/>
          <w:lang w:val="en-IN"/>
        </w:rPr>
        <w:t xml:space="preserve">Baseline clinical </w:t>
      </w:r>
      <w:r w:rsidRPr="00C74E49">
        <w:rPr>
          <w:rFonts w:ascii="Times New Roman" w:hAnsi="Times New Roman" w:cs="Times New Roman"/>
          <w:bCs/>
          <w:color w:val="000000"/>
          <w:lang w:val="en-IN"/>
        </w:rPr>
        <w:t xml:space="preserve">and biochemical </w:t>
      </w:r>
      <w:r w:rsidRPr="00C74E49">
        <w:rPr>
          <w:rFonts w:ascii="Times New Roman" w:hAnsi="Times New Roman"/>
          <w:color w:val="000000"/>
          <w:lang w:val="en-IN"/>
        </w:rPr>
        <w:t xml:space="preserve">parameters in patients with </w:t>
      </w:r>
      <w:r w:rsidRPr="00C74E49">
        <w:rPr>
          <w:rFonts w:ascii="Times New Roman" w:hAnsi="Times New Roman" w:cs="Times New Roman"/>
          <w:bCs/>
          <w:color w:val="000000"/>
          <w:lang w:val="en-IN"/>
        </w:rPr>
        <w:t xml:space="preserve">dense deposit disease (DDD), </w:t>
      </w:r>
      <w:r w:rsidRPr="00C74E49">
        <w:rPr>
          <w:rFonts w:ascii="Times New Roman" w:hAnsi="Times New Roman"/>
          <w:color w:val="000000"/>
          <w:lang w:val="en-IN"/>
        </w:rPr>
        <w:t xml:space="preserve">C3 </w:t>
      </w:r>
      <w:r w:rsidRPr="00C74E49">
        <w:rPr>
          <w:rFonts w:ascii="Times New Roman" w:hAnsi="Times New Roman" w:cs="Times New Roman"/>
          <w:bCs/>
          <w:color w:val="000000"/>
          <w:lang w:val="en-IN"/>
        </w:rPr>
        <w:t>glomerulonephritis (C3GN)</w:t>
      </w:r>
      <w:r w:rsidRPr="00C74E49">
        <w:rPr>
          <w:rFonts w:ascii="Times New Roman" w:hAnsi="Times New Roman"/>
          <w:color w:val="000000"/>
          <w:lang w:val="en-IN"/>
        </w:rPr>
        <w:t xml:space="preserve"> and immune-complex membranoproliferative</w:t>
      </w:r>
      <w:r w:rsidRPr="00AB040B">
        <w:rPr>
          <w:rFonts w:ascii="Times New Roman" w:hAnsi="Times New Roman"/>
          <w:color w:val="000000"/>
          <w:sz w:val="24"/>
          <w:lang w:val="en-IN"/>
        </w:rPr>
        <w:t xml:space="preserve"> glomerulonephritis </w:t>
      </w:r>
      <w:r w:rsidRPr="00940530">
        <w:rPr>
          <w:rFonts w:ascii="Times New Roman" w:hAnsi="Times New Roman" w:cs="Times New Roman"/>
          <w:bCs/>
          <w:color w:val="000000"/>
          <w:sz w:val="24"/>
          <w:szCs w:val="24"/>
          <w:lang w:val="en-IN"/>
        </w:rPr>
        <w:t>(IC-MPGN)</w:t>
      </w:r>
      <w:r>
        <w:rPr>
          <w:rFonts w:ascii="Times New Roman" w:hAnsi="Times New Roman"/>
          <w:color w:val="000000"/>
          <w:sz w:val="24"/>
          <w:lang w:val="en-IN"/>
        </w:rPr>
        <w:t xml:space="preserve"> screened for anti-factor B </w:t>
      </w:r>
      <w:proofErr w:type="gramStart"/>
      <w:r>
        <w:rPr>
          <w:rFonts w:ascii="Times New Roman" w:hAnsi="Times New Roman"/>
          <w:color w:val="000000"/>
          <w:sz w:val="24"/>
          <w:lang w:val="en-IN"/>
        </w:rPr>
        <w:t>antibodies</w:t>
      </w:r>
      <w:proofErr w:type="gramEnd"/>
    </w:p>
    <w:tbl>
      <w:tblPr>
        <w:tblStyle w:val="LightShading3"/>
        <w:tblpPr w:leftFromText="180" w:rightFromText="180" w:vertAnchor="page" w:horzAnchor="margin" w:tblpXSpec="center" w:tblpY="2379"/>
        <w:tblW w:w="9552" w:type="dxa"/>
        <w:tblLayout w:type="fixed"/>
        <w:tblLook w:val="0620" w:firstRow="1" w:lastRow="0" w:firstColumn="0" w:lastColumn="0" w:noHBand="1" w:noVBand="1"/>
      </w:tblPr>
      <w:tblGrid>
        <w:gridCol w:w="3353"/>
        <w:gridCol w:w="2021"/>
        <w:gridCol w:w="1931"/>
        <w:gridCol w:w="2247"/>
      </w:tblGrid>
      <w:tr w:rsidR="00CE3E19" w:rsidRPr="00061AD6" w14:paraId="625BA7E9" w14:textId="77777777" w:rsidTr="002D5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tcW w:w="3353" w:type="dxa"/>
            <w:tcBorders>
              <w:top w:val="single" w:sz="4" w:space="0" w:color="auto"/>
              <w:bottom w:val="nil"/>
            </w:tcBorders>
          </w:tcPr>
          <w:p w14:paraId="5A4F6003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</w:p>
        </w:tc>
        <w:tc>
          <w:tcPr>
            <w:tcW w:w="39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2346DB" w14:textId="77777777" w:rsidR="00CE3E19" w:rsidRPr="00C74E49" w:rsidRDefault="00CE3E19" w:rsidP="002D53A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C3 glomerulopathy</w:t>
            </w:r>
            <w:r w:rsidRPr="00C74E49">
              <w:rPr>
                <w:rFonts w:ascii="Times New Roman" w:hAnsi="Times New Roman"/>
                <w:sz w:val="20"/>
                <w:szCs w:val="20"/>
                <w:lang w:val="en-IN" w:bidi="ar-SA"/>
              </w:rPr>
              <w:t xml:space="preserve"> (N=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6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</w:t>
            </w:r>
            <w:r w:rsidRPr="00C74E49">
              <w:rPr>
                <w:rFonts w:ascii="Times New Roman" w:hAnsi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2247" w:type="dxa"/>
            <w:tcBorders>
              <w:top w:val="single" w:sz="4" w:space="0" w:color="auto"/>
              <w:bottom w:val="nil"/>
            </w:tcBorders>
          </w:tcPr>
          <w:p w14:paraId="0E620B64" w14:textId="77777777" w:rsidR="00CE3E19" w:rsidRPr="00C74E49" w:rsidRDefault="00CE3E19" w:rsidP="002D53AC">
            <w:pPr>
              <w:spacing w:after="0" w:line="360" w:lineRule="auto"/>
              <w:ind w:left="-102" w:firstLine="102"/>
              <w:rPr>
                <w:rFonts w:ascii="Times New Roman" w:hAnsi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/>
                <w:sz w:val="20"/>
                <w:szCs w:val="20"/>
                <w:lang w:val="en-IN" w:bidi="ar-SA"/>
              </w:rPr>
              <w:t>IC-MPGN (N=1</w:t>
            </w:r>
            <w:r w:rsidRPr="00061AD6">
              <w:rPr>
                <w:rFonts w:ascii="Times New Roman" w:hAnsi="Times New Roman"/>
                <w:sz w:val="20"/>
                <w:szCs w:val="20"/>
                <w:lang w:val="en-IN" w:bidi="ar-SA"/>
              </w:rPr>
              <w:t>7</w:t>
            </w:r>
            <w:r w:rsidRPr="00C74E49">
              <w:rPr>
                <w:rFonts w:ascii="Times New Roman" w:hAnsi="Times New Roman"/>
                <w:sz w:val="20"/>
                <w:szCs w:val="20"/>
                <w:lang w:val="en-IN" w:bidi="ar-SA"/>
              </w:rPr>
              <w:t>)</w:t>
            </w:r>
          </w:p>
        </w:tc>
      </w:tr>
      <w:tr w:rsidR="00CE3E19" w:rsidRPr="00061AD6" w14:paraId="48267037" w14:textId="77777777" w:rsidTr="002D53AC">
        <w:trPr>
          <w:trHeight w:val="386"/>
        </w:trPr>
        <w:tc>
          <w:tcPr>
            <w:tcW w:w="3353" w:type="dxa"/>
            <w:tcBorders>
              <w:top w:val="nil"/>
              <w:bottom w:val="single" w:sz="4" w:space="0" w:color="auto"/>
            </w:tcBorders>
          </w:tcPr>
          <w:p w14:paraId="71457267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1042D4AE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DDD (N=4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0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6EE5C30B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C3GN (N=2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2247" w:type="dxa"/>
            <w:tcBorders>
              <w:top w:val="nil"/>
              <w:bottom w:val="single" w:sz="4" w:space="0" w:color="auto"/>
            </w:tcBorders>
          </w:tcPr>
          <w:p w14:paraId="7F7860CC" w14:textId="77777777" w:rsidR="00CE3E19" w:rsidRPr="00C74E49" w:rsidRDefault="00CE3E19" w:rsidP="002D53AC">
            <w:pPr>
              <w:spacing w:after="0" w:line="360" w:lineRule="auto"/>
              <w:ind w:left="-102" w:firstLine="102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</w:p>
        </w:tc>
      </w:tr>
      <w:tr w:rsidR="00CE3E19" w:rsidRPr="00061AD6" w14:paraId="02B80F0F" w14:textId="77777777" w:rsidTr="002D53AC">
        <w:trPr>
          <w:trHeight w:val="374"/>
        </w:trPr>
        <w:tc>
          <w:tcPr>
            <w:tcW w:w="3353" w:type="dxa"/>
            <w:tcBorders>
              <w:top w:val="single" w:sz="4" w:space="0" w:color="auto"/>
            </w:tcBorders>
          </w:tcPr>
          <w:p w14:paraId="05ABBC6F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Age at onset, yr 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2868A89F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9.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(7.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3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, 11.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3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) 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52199B60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10.0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7.8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, 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12.6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) </w:t>
            </w:r>
          </w:p>
        </w:tc>
        <w:tc>
          <w:tcPr>
            <w:tcW w:w="2247" w:type="dxa"/>
            <w:tcBorders>
              <w:top w:val="single" w:sz="4" w:space="0" w:color="auto"/>
            </w:tcBorders>
          </w:tcPr>
          <w:p w14:paraId="3B6A93E2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9.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0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(7.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6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, 10.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</w:tr>
      <w:tr w:rsidR="00CE3E19" w:rsidRPr="00061AD6" w14:paraId="1B192A63" w14:textId="77777777" w:rsidTr="002D53AC">
        <w:trPr>
          <w:trHeight w:val="386"/>
        </w:trPr>
        <w:tc>
          <w:tcPr>
            <w:tcW w:w="3353" w:type="dxa"/>
          </w:tcPr>
          <w:p w14:paraId="6A2670A3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Age at diagnosis, yr</w:t>
            </w:r>
          </w:p>
        </w:tc>
        <w:tc>
          <w:tcPr>
            <w:tcW w:w="2021" w:type="dxa"/>
          </w:tcPr>
          <w:p w14:paraId="5FBC1447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9.9 (8.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, 11.6)</w:t>
            </w:r>
          </w:p>
        </w:tc>
        <w:tc>
          <w:tcPr>
            <w:tcW w:w="1931" w:type="dxa"/>
          </w:tcPr>
          <w:p w14:paraId="4D62CA53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10.5 (8.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, 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12.6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2247" w:type="dxa"/>
          </w:tcPr>
          <w:p w14:paraId="61F8A685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10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8.0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, 1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0.9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</w:tr>
      <w:tr w:rsidR="00CE3E19" w:rsidRPr="00061AD6" w14:paraId="72E568C6" w14:textId="77777777" w:rsidTr="002D53AC">
        <w:trPr>
          <w:trHeight w:val="386"/>
        </w:trPr>
        <w:tc>
          <w:tcPr>
            <w:tcW w:w="3353" w:type="dxa"/>
          </w:tcPr>
          <w:p w14:paraId="2F7BEB49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Boys</w:t>
            </w:r>
          </w:p>
        </w:tc>
        <w:tc>
          <w:tcPr>
            <w:tcW w:w="2021" w:type="dxa"/>
          </w:tcPr>
          <w:p w14:paraId="3FFE28C2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(5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2.5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1931" w:type="dxa"/>
          </w:tcPr>
          <w:p w14:paraId="146E8122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7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(7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0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2247" w:type="dxa"/>
          </w:tcPr>
          <w:p w14:paraId="6E5CA2FB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(7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0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6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</w:tr>
      <w:tr w:rsidR="00CE3E19" w:rsidRPr="00061AD6" w14:paraId="652F48D8" w14:textId="77777777" w:rsidTr="002D53AC">
        <w:trPr>
          <w:trHeight w:val="374"/>
        </w:trPr>
        <w:tc>
          <w:tcPr>
            <w:tcW w:w="3353" w:type="dxa"/>
          </w:tcPr>
          <w:p w14:paraId="65F15BDA" w14:textId="77777777" w:rsidR="00CE3E19" w:rsidRPr="00C74E49" w:rsidRDefault="00CE3E19" w:rsidP="002D53AC">
            <w:pPr>
              <w:spacing w:after="0" w:line="360" w:lineRule="auto"/>
              <w:ind w:left="162" w:hanging="162"/>
              <w:rPr>
                <w:rFonts w:ascii="Times New Roman" w:hAnsi="Times New Roman" w:cs="Times New Roman"/>
                <w:iCs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iCs/>
                <w:sz w:val="20"/>
                <w:szCs w:val="20"/>
                <w:lang w:val="en-IN" w:bidi="ar-SA"/>
              </w:rPr>
              <w:t>Prodromal symptoms</w:t>
            </w:r>
          </w:p>
        </w:tc>
        <w:tc>
          <w:tcPr>
            <w:tcW w:w="2021" w:type="dxa"/>
          </w:tcPr>
          <w:p w14:paraId="775DB7FF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17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(4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2.5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1931" w:type="dxa"/>
          </w:tcPr>
          <w:p w14:paraId="6168B0DD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(1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6.7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2247" w:type="dxa"/>
          </w:tcPr>
          <w:p w14:paraId="0855F89D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5.8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</w:tr>
      <w:tr w:rsidR="00CE3E19" w:rsidRPr="00061AD6" w14:paraId="47177532" w14:textId="77777777" w:rsidTr="002D53AC">
        <w:trPr>
          <w:trHeight w:val="1284"/>
        </w:trPr>
        <w:tc>
          <w:tcPr>
            <w:tcW w:w="3353" w:type="dxa"/>
          </w:tcPr>
          <w:p w14:paraId="620A6DF1" w14:textId="77777777" w:rsidR="00CE3E19" w:rsidRPr="00C74E49" w:rsidRDefault="00CE3E19" w:rsidP="002D53AC">
            <w:pPr>
              <w:spacing w:after="0" w:line="360" w:lineRule="auto"/>
              <w:ind w:left="162" w:hanging="162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i/>
                <w:sz w:val="20"/>
                <w:szCs w:val="20"/>
                <w:lang w:val="en-IN" w:bidi="ar-SA"/>
              </w:rPr>
              <w:t>First clinical manifestation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  </w:t>
            </w:r>
          </w:p>
          <w:p w14:paraId="4528B0D5" w14:textId="77777777" w:rsidR="00CE3E19" w:rsidRPr="00C74E49" w:rsidRDefault="00CE3E19" w:rsidP="002D53AC">
            <w:pPr>
              <w:spacing w:after="0" w:line="360" w:lineRule="auto"/>
              <w:ind w:left="162" w:hanging="162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  Nephrotic syndrome                </w:t>
            </w:r>
          </w:p>
          <w:p w14:paraId="4514C600" w14:textId="77777777" w:rsidR="00CE3E19" w:rsidRPr="00C74E49" w:rsidRDefault="00CE3E19" w:rsidP="002D53AC">
            <w:pPr>
              <w:spacing w:after="0" w:line="360" w:lineRule="auto"/>
              <w:ind w:left="162" w:hanging="162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  Rapidly progressive GN</w:t>
            </w:r>
          </w:p>
          <w:p w14:paraId="48FCDA0C" w14:textId="77777777" w:rsidR="00CE3E19" w:rsidRPr="00C74E49" w:rsidRDefault="00CE3E19" w:rsidP="002D53AC">
            <w:pPr>
              <w:spacing w:after="0" w:line="360" w:lineRule="auto"/>
              <w:ind w:left="252" w:hanging="252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  Acute GN</w:t>
            </w:r>
          </w:p>
          <w:p w14:paraId="2745D55A" w14:textId="77777777" w:rsidR="00CE3E19" w:rsidRPr="00C74E49" w:rsidRDefault="00CE3E19" w:rsidP="002D53AC">
            <w:pPr>
              <w:spacing w:after="0" w:line="360" w:lineRule="auto"/>
              <w:ind w:left="252" w:hanging="252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  Chronic GN</w:t>
            </w:r>
          </w:p>
        </w:tc>
        <w:tc>
          <w:tcPr>
            <w:tcW w:w="2021" w:type="dxa"/>
          </w:tcPr>
          <w:p w14:paraId="3D16B31D" w14:textId="77777777" w:rsidR="00CE3E19" w:rsidRPr="00C74E49" w:rsidRDefault="00CE3E19" w:rsidP="002D53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</w:p>
          <w:p w14:paraId="2AE23C13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(5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442764E4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(2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7.5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36565D50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6 (15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.0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2A46A1C7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2.5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1931" w:type="dxa"/>
          </w:tcPr>
          <w:p w14:paraId="72B90F5B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</w:p>
          <w:p w14:paraId="408EFB83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20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83.3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4853A855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-</w:t>
            </w:r>
          </w:p>
          <w:p w14:paraId="4C6D9341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16.7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22B6FE4E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-</w:t>
            </w:r>
          </w:p>
        </w:tc>
        <w:tc>
          <w:tcPr>
            <w:tcW w:w="2247" w:type="dxa"/>
          </w:tcPr>
          <w:p w14:paraId="6146BA12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</w:p>
          <w:p w14:paraId="715D262B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14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82.3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1D8E3376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 (5.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735908CF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11.8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39B3F053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-</w:t>
            </w:r>
          </w:p>
        </w:tc>
      </w:tr>
      <w:tr w:rsidR="00CE3E19" w:rsidRPr="00061AD6" w14:paraId="7D905707" w14:textId="77777777" w:rsidTr="002D53AC">
        <w:trPr>
          <w:trHeight w:val="1155"/>
        </w:trPr>
        <w:tc>
          <w:tcPr>
            <w:tcW w:w="3353" w:type="dxa"/>
          </w:tcPr>
          <w:p w14:paraId="69F7DF38" w14:textId="77777777" w:rsidR="00CE3E19" w:rsidRPr="00C74E49" w:rsidRDefault="00CE3E19" w:rsidP="002D53AC">
            <w:pPr>
              <w:spacing w:after="0" w:line="360" w:lineRule="auto"/>
              <w:ind w:left="162" w:hanging="162"/>
              <w:rPr>
                <w:rFonts w:ascii="Times New Roman" w:hAnsi="Times New Roman" w:cs="Times New Roman"/>
                <w:i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i/>
                <w:sz w:val="20"/>
                <w:szCs w:val="20"/>
                <w:lang w:val="en-IN" w:bidi="ar-SA"/>
              </w:rPr>
              <w:t>Hematuria</w:t>
            </w:r>
          </w:p>
          <w:p w14:paraId="653B624D" w14:textId="77777777" w:rsidR="00CE3E19" w:rsidRPr="00C74E49" w:rsidRDefault="00CE3E19" w:rsidP="002D53AC">
            <w:pPr>
              <w:spacing w:after="0" w:line="360" w:lineRule="auto"/>
              <w:ind w:left="162" w:hanging="162"/>
              <w:rPr>
                <w:rFonts w:ascii="Times New Roman" w:hAnsi="Times New Roman" w:cs="Times New Roman"/>
                <w:iCs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iCs/>
                <w:sz w:val="20"/>
                <w:szCs w:val="20"/>
                <w:lang w:val="en-IN" w:bidi="ar-SA"/>
              </w:rPr>
              <w:t xml:space="preserve">    None </w:t>
            </w:r>
          </w:p>
          <w:p w14:paraId="32370096" w14:textId="77777777" w:rsidR="00CE3E19" w:rsidRPr="00C74E49" w:rsidRDefault="00CE3E19" w:rsidP="002D53AC">
            <w:pPr>
              <w:spacing w:after="0" w:line="360" w:lineRule="auto"/>
              <w:ind w:left="162" w:hanging="162"/>
              <w:rPr>
                <w:rFonts w:ascii="Times New Roman" w:hAnsi="Times New Roman" w:cs="Times New Roman"/>
                <w:i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iCs/>
                <w:sz w:val="20"/>
                <w:szCs w:val="20"/>
                <w:lang w:val="en-IN" w:bidi="ar-SA"/>
              </w:rPr>
              <w:t xml:space="preserve">    Microscopic </w:t>
            </w:r>
          </w:p>
          <w:p w14:paraId="031E4174" w14:textId="77777777" w:rsidR="00CE3E19" w:rsidRPr="00C74E49" w:rsidRDefault="00CE3E19" w:rsidP="002D53AC">
            <w:pPr>
              <w:spacing w:after="0" w:line="360" w:lineRule="auto"/>
              <w:ind w:left="252" w:hanging="252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   Gross </w:t>
            </w:r>
          </w:p>
        </w:tc>
        <w:tc>
          <w:tcPr>
            <w:tcW w:w="2021" w:type="dxa"/>
          </w:tcPr>
          <w:p w14:paraId="3AC1B324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</w:p>
          <w:p w14:paraId="3402482B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12.5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56976D2A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(5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.2)</w:t>
            </w:r>
          </w:p>
          <w:p w14:paraId="0A43D268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(3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6.8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1931" w:type="dxa"/>
          </w:tcPr>
          <w:p w14:paraId="66EB93B4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</w:p>
          <w:p w14:paraId="768E5BDF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8.7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4E67610A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20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87.0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6F028D2E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4.4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2247" w:type="dxa"/>
          </w:tcPr>
          <w:p w14:paraId="4FEF01AA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</w:p>
          <w:p w14:paraId="1F1FBC96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 (5.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1F929A90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(8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56405882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 (11.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</w:tr>
      <w:tr w:rsidR="00CE3E19" w:rsidRPr="00061AD6" w14:paraId="522D3442" w14:textId="77777777" w:rsidTr="002D53AC">
        <w:trPr>
          <w:trHeight w:val="1155"/>
        </w:trPr>
        <w:tc>
          <w:tcPr>
            <w:tcW w:w="3353" w:type="dxa"/>
          </w:tcPr>
          <w:p w14:paraId="2567A5A6" w14:textId="77777777" w:rsidR="00CE3E19" w:rsidRPr="00C74E49" w:rsidRDefault="00CE3E19" w:rsidP="002D53AC">
            <w:pPr>
              <w:spacing w:after="0" w:line="360" w:lineRule="auto"/>
              <w:ind w:left="162" w:hanging="162"/>
              <w:rPr>
                <w:rFonts w:ascii="Times New Roman" w:hAnsi="Times New Roman" w:cs="Times New Roman"/>
                <w:iCs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iCs/>
                <w:sz w:val="20"/>
                <w:szCs w:val="20"/>
                <w:lang w:val="en-IN" w:bidi="ar-SA"/>
              </w:rPr>
              <w:t>Hypertension</w:t>
            </w:r>
          </w:p>
          <w:p w14:paraId="144A9FC2" w14:textId="77777777" w:rsidR="00CE3E19" w:rsidRPr="00C74E49" w:rsidRDefault="00CE3E19" w:rsidP="002D53AC">
            <w:pPr>
              <w:spacing w:after="0" w:line="360" w:lineRule="auto"/>
              <w:ind w:left="162" w:firstLine="96"/>
              <w:rPr>
                <w:rFonts w:ascii="Times New Roman" w:hAnsi="Times New Roman" w:cs="Times New Roman"/>
                <w:iCs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/>
                <w:sz w:val="20"/>
                <w:szCs w:val="20"/>
                <w:lang w:val="en-IN" w:bidi="ar-SA"/>
              </w:rPr>
              <w:t>None</w:t>
            </w:r>
          </w:p>
          <w:p w14:paraId="0DDF8FC6" w14:textId="77777777" w:rsidR="00CE3E19" w:rsidRPr="00C74E49" w:rsidRDefault="00CE3E19" w:rsidP="002D53AC">
            <w:pPr>
              <w:spacing w:after="0" w:line="360" w:lineRule="auto"/>
              <w:ind w:left="162" w:firstLine="96"/>
              <w:rPr>
                <w:rFonts w:ascii="Times New Roman" w:hAnsi="Times New Roman" w:cs="Times New Roman"/>
                <w:iCs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iCs/>
                <w:sz w:val="20"/>
                <w:szCs w:val="20"/>
                <w:lang w:val="en-IN" w:bidi="ar-SA"/>
              </w:rPr>
              <w:t>Stage 1</w:t>
            </w:r>
          </w:p>
          <w:p w14:paraId="549B5E8B" w14:textId="77777777" w:rsidR="00CE3E19" w:rsidRPr="00C74E49" w:rsidRDefault="00CE3E19" w:rsidP="002D53AC">
            <w:pPr>
              <w:spacing w:after="0" w:line="360" w:lineRule="auto"/>
              <w:ind w:left="162" w:firstLine="96"/>
              <w:rPr>
                <w:rFonts w:ascii="Times New Roman" w:hAnsi="Times New Roman" w:cs="Times New Roman"/>
                <w:iCs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Stage 2</w:t>
            </w:r>
          </w:p>
        </w:tc>
        <w:tc>
          <w:tcPr>
            <w:tcW w:w="2021" w:type="dxa"/>
          </w:tcPr>
          <w:p w14:paraId="6786DC80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</w:p>
          <w:p w14:paraId="3BC60AD1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9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22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3799D87B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14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35.0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2412B762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17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(4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2.5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1931" w:type="dxa"/>
          </w:tcPr>
          <w:p w14:paraId="7D11F620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</w:p>
          <w:p w14:paraId="351C2D6D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7 (29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.2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1507758F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(5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2.2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5A35A2F3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(2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7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2247" w:type="dxa"/>
          </w:tcPr>
          <w:p w14:paraId="56B9205D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</w:p>
          <w:p w14:paraId="171B72B1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 (11.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130BC127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7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41.2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  <w:p w14:paraId="44FDA845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47.1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</w:tr>
      <w:tr w:rsidR="00CE3E19" w:rsidRPr="00061AD6" w14:paraId="33EFCF96" w14:textId="77777777" w:rsidTr="002D53AC">
        <w:trPr>
          <w:trHeight w:val="386"/>
        </w:trPr>
        <w:tc>
          <w:tcPr>
            <w:tcW w:w="3353" w:type="dxa"/>
          </w:tcPr>
          <w:p w14:paraId="2B3AB5F9" w14:textId="5CC1ADAD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eGFR, ml/min/1.73 m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IN" w:bidi="ar-SA"/>
              </w:rPr>
              <w:t>2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</w:t>
            </w:r>
          </w:p>
        </w:tc>
        <w:tc>
          <w:tcPr>
            <w:tcW w:w="2021" w:type="dxa"/>
          </w:tcPr>
          <w:p w14:paraId="0663DDD0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68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, 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90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1931" w:type="dxa"/>
          </w:tcPr>
          <w:p w14:paraId="40412B8F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10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3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(6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7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, 133)</w:t>
            </w:r>
          </w:p>
        </w:tc>
        <w:tc>
          <w:tcPr>
            <w:tcW w:w="2247" w:type="dxa"/>
          </w:tcPr>
          <w:p w14:paraId="1F30F33B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89 (7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7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, 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119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</w:tr>
      <w:tr w:rsidR="00CE3E19" w:rsidRPr="00061AD6" w14:paraId="21872B7C" w14:textId="77777777" w:rsidTr="002D53AC">
        <w:trPr>
          <w:trHeight w:val="386"/>
        </w:trPr>
        <w:tc>
          <w:tcPr>
            <w:tcW w:w="3353" w:type="dxa"/>
          </w:tcPr>
          <w:p w14:paraId="11FB8D54" w14:textId="1FB55A3B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eGFR &lt;60 ml/min/1.73 m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IN" w:bidi="ar-SA"/>
              </w:rPr>
              <w:t>2</w:t>
            </w:r>
          </w:p>
        </w:tc>
        <w:tc>
          <w:tcPr>
            <w:tcW w:w="2021" w:type="dxa"/>
          </w:tcPr>
          <w:p w14:paraId="7A698F34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(3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7.5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1931" w:type="dxa"/>
          </w:tcPr>
          <w:p w14:paraId="3EA7A6DE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16.7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2247" w:type="dxa"/>
          </w:tcPr>
          <w:p w14:paraId="40B9588F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11.8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</w:tr>
      <w:tr w:rsidR="00CE3E19" w:rsidRPr="00061AD6" w14:paraId="3B75875E" w14:textId="77777777" w:rsidTr="002D53AC">
        <w:trPr>
          <w:trHeight w:val="374"/>
        </w:trPr>
        <w:tc>
          <w:tcPr>
            <w:tcW w:w="3353" w:type="dxa"/>
          </w:tcPr>
          <w:p w14:paraId="599BFD1A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Serum albumin, g/dl</w:t>
            </w:r>
          </w:p>
        </w:tc>
        <w:tc>
          <w:tcPr>
            <w:tcW w:w="2021" w:type="dxa"/>
          </w:tcPr>
          <w:p w14:paraId="5049AC1B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1.9 (1.7, 2.6)</w:t>
            </w:r>
          </w:p>
        </w:tc>
        <w:tc>
          <w:tcPr>
            <w:tcW w:w="1931" w:type="dxa"/>
          </w:tcPr>
          <w:p w14:paraId="355C6399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2.4 (1.8, 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2.9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2247" w:type="dxa"/>
          </w:tcPr>
          <w:p w14:paraId="3465AB9D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2.1 (1.8, 2.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</w:tr>
      <w:tr w:rsidR="00CE3E19" w:rsidRPr="00061AD6" w14:paraId="453DFA19" w14:textId="77777777" w:rsidTr="002D53AC">
        <w:trPr>
          <w:trHeight w:val="386"/>
        </w:trPr>
        <w:tc>
          <w:tcPr>
            <w:tcW w:w="3353" w:type="dxa"/>
          </w:tcPr>
          <w:p w14:paraId="26D6F91E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24-hour urine protein, g/day</w:t>
            </w:r>
          </w:p>
        </w:tc>
        <w:tc>
          <w:tcPr>
            <w:tcW w:w="2021" w:type="dxa"/>
          </w:tcPr>
          <w:p w14:paraId="201FB0D1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2.2 (1.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6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, 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4.5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1931" w:type="dxa"/>
          </w:tcPr>
          <w:p w14:paraId="7ACF0F40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0.9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, 3.3)</w:t>
            </w:r>
          </w:p>
        </w:tc>
        <w:tc>
          <w:tcPr>
            <w:tcW w:w="2247" w:type="dxa"/>
          </w:tcPr>
          <w:p w14:paraId="7488F578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0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(1.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, 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9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.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3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</w:tr>
      <w:tr w:rsidR="00CE3E19" w:rsidRPr="00061AD6" w14:paraId="50D91062" w14:textId="77777777" w:rsidTr="002D53AC">
        <w:trPr>
          <w:trHeight w:val="374"/>
        </w:trPr>
        <w:tc>
          <w:tcPr>
            <w:tcW w:w="3353" w:type="dxa"/>
          </w:tcPr>
          <w:p w14:paraId="75B07482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Serum C3, mg/dl</w:t>
            </w:r>
          </w:p>
        </w:tc>
        <w:tc>
          <w:tcPr>
            <w:tcW w:w="2021" w:type="dxa"/>
          </w:tcPr>
          <w:p w14:paraId="0D72A0DB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28.5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(15, 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45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1931" w:type="dxa"/>
          </w:tcPr>
          <w:p w14:paraId="0191AE54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2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(1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, 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51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2247" w:type="dxa"/>
          </w:tcPr>
          <w:p w14:paraId="4CD98BE8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9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6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53.5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, 109.5)</w:t>
            </w:r>
          </w:p>
        </w:tc>
      </w:tr>
      <w:tr w:rsidR="00CE3E19" w:rsidRPr="00061AD6" w14:paraId="3408F811" w14:textId="77777777" w:rsidTr="002D53AC">
        <w:trPr>
          <w:trHeight w:val="386"/>
        </w:trPr>
        <w:tc>
          <w:tcPr>
            <w:tcW w:w="3353" w:type="dxa"/>
          </w:tcPr>
          <w:p w14:paraId="32566162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Persistently low C3</w:t>
            </w:r>
          </w:p>
        </w:tc>
        <w:tc>
          <w:tcPr>
            <w:tcW w:w="2021" w:type="dxa"/>
          </w:tcPr>
          <w:p w14:paraId="36E2C804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33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84.6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1931" w:type="dxa"/>
          </w:tcPr>
          <w:p w14:paraId="35200C02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14 (</w:t>
            </w:r>
            <w:r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58.3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  <w:tc>
          <w:tcPr>
            <w:tcW w:w="2247" w:type="dxa"/>
          </w:tcPr>
          <w:p w14:paraId="2979784D" w14:textId="77777777" w:rsidR="00CE3E19" w:rsidRPr="00C74E49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3 (1</w:t>
            </w:r>
            <w:r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7.6</w:t>
            </w:r>
            <w:r w:rsidRPr="00C74E49"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  <w:t>)</w:t>
            </w:r>
          </w:p>
        </w:tc>
      </w:tr>
      <w:tr w:rsidR="00CE3E19" w:rsidRPr="00061AD6" w14:paraId="65FFA7CB" w14:textId="77777777" w:rsidTr="002D53AC">
        <w:trPr>
          <w:trHeight w:val="386"/>
        </w:trPr>
        <w:tc>
          <w:tcPr>
            <w:tcW w:w="3353" w:type="dxa"/>
          </w:tcPr>
          <w:p w14:paraId="572172B3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i/>
                <w:sz w:val="20"/>
                <w:szCs w:val="20"/>
                <w:lang w:val="en-IN"/>
              </w:rPr>
              <w:t>Outcome at last follow-up</w:t>
            </w:r>
          </w:p>
          <w:p w14:paraId="393A24A7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iCs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iCs/>
                <w:sz w:val="20"/>
                <w:szCs w:val="20"/>
                <w:lang w:val="en-IN"/>
              </w:rPr>
              <w:t xml:space="preserve">Complete </w:t>
            </w: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remission</w:t>
            </w:r>
          </w:p>
          <w:p w14:paraId="069CFC87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iCs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iCs/>
                <w:sz w:val="20"/>
                <w:szCs w:val="20"/>
                <w:lang w:val="en-IN"/>
              </w:rPr>
              <w:t>Partial remission</w:t>
            </w:r>
          </w:p>
          <w:p w14:paraId="4F90830F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iCs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iCs/>
                <w:sz w:val="20"/>
                <w:szCs w:val="20"/>
                <w:lang w:val="en-IN"/>
              </w:rPr>
              <w:t>Non-response</w:t>
            </w:r>
          </w:p>
          <w:p w14:paraId="7600C33E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/>
                <w:iCs/>
                <w:sz w:val="20"/>
                <w:szCs w:val="20"/>
                <w:lang w:val="en-IN"/>
              </w:rPr>
              <w:t>eGFR &lt;15 ml/min/1.73 m</w:t>
            </w:r>
            <w:r w:rsidRPr="00061AD6">
              <w:rPr>
                <w:rFonts w:ascii="Times New Roman" w:hAnsi="Times New Roman"/>
                <w:iCs/>
                <w:sz w:val="20"/>
                <w:szCs w:val="20"/>
                <w:vertAlign w:val="superscript"/>
                <w:lang w:val="en-IN"/>
              </w:rPr>
              <w:t>2</w:t>
            </w:r>
            <w:r w:rsidRPr="00061AD6">
              <w:rPr>
                <w:rFonts w:ascii="Times New Roman" w:hAnsi="Times New Roman"/>
                <w:iCs/>
                <w:sz w:val="20"/>
                <w:szCs w:val="20"/>
                <w:lang w:val="en-IN"/>
              </w:rPr>
              <w:t xml:space="preserve"> or death</w:t>
            </w:r>
          </w:p>
        </w:tc>
        <w:tc>
          <w:tcPr>
            <w:tcW w:w="2021" w:type="dxa"/>
          </w:tcPr>
          <w:p w14:paraId="164F17D7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N=40</w:t>
            </w:r>
          </w:p>
          <w:p w14:paraId="73523F63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5 (12.5)</w:t>
            </w:r>
          </w:p>
          <w:p w14:paraId="3556A038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7 (17.5)</w:t>
            </w:r>
          </w:p>
          <w:p w14:paraId="574D4382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28 (70.0)</w:t>
            </w:r>
          </w:p>
          <w:p w14:paraId="4A23B0C9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11 (27.5)</w:t>
            </w:r>
          </w:p>
        </w:tc>
        <w:tc>
          <w:tcPr>
            <w:tcW w:w="1931" w:type="dxa"/>
          </w:tcPr>
          <w:p w14:paraId="5641F1B3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N=23</w:t>
            </w:r>
          </w:p>
          <w:p w14:paraId="3AE24255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2 (8.7)</w:t>
            </w:r>
          </w:p>
          <w:p w14:paraId="15179CB6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5 (21.7)</w:t>
            </w:r>
          </w:p>
          <w:p w14:paraId="45E39FD3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16 (69.6)</w:t>
            </w:r>
          </w:p>
          <w:p w14:paraId="487733D9" w14:textId="7E92D0DE" w:rsidR="00CE3E19" w:rsidRPr="00061AD6" w:rsidRDefault="00C1424A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>
              <w:rPr>
                <w:rFonts w:ascii="Times New Roman" w:hAnsi="Times New Roman"/>
                <w:sz w:val="20"/>
                <w:szCs w:val="20"/>
                <w:lang w:val="en-IN"/>
              </w:rPr>
              <w:t>0</w:t>
            </w:r>
          </w:p>
        </w:tc>
        <w:tc>
          <w:tcPr>
            <w:tcW w:w="2247" w:type="dxa"/>
          </w:tcPr>
          <w:p w14:paraId="200CEFA4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N=17</w:t>
            </w:r>
          </w:p>
          <w:p w14:paraId="2B5217F5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2 (11.8)</w:t>
            </w:r>
          </w:p>
          <w:p w14:paraId="076DE062" w14:textId="4A93C76D" w:rsidR="00CE3E19" w:rsidRPr="00061AD6" w:rsidRDefault="00C1424A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>
              <w:rPr>
                <w:rFonts w:ascii="Times New Roman" w:hAnsi="Times New Roman"/>
                <w:sz w:val="20"/>
                <w:szCs w:val="20"/>
                <w:lang w:val="en-IN"/>
              </w:rPr>
              <w:t>0</w:t>
            </w:r>
          </w:p>
          <w:p w14:paraId="1D45C2EE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15 (88.2)</w:t>
            </w:r>
          </w:p>
          <w:p w14:paraId="1853E833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IN" w:bidi="ar-SA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1 (5.9)</w:t>
            </w:r>
          </w:p>
        </w:tc>
      </w:tr>
      <w:tr w:rsidR="00CE3E19" w:rsidRPr="00061AD6" w14:paraId="6FBD0033" w14:textId="77777777" w:rsidTr="002D53AC">
        <w:trPr>
          <w:trHeight w:val="386"/>
        </w:trPr>
        <w:tc>
          <w:tcPr>
            <w:tcW w:w="3353" w:type="dxa"/>
          </w:tcPr>
          <w:p w14:paraId="1BD50A96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iCs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iCs/>
                <w:sz w:val="20"/>
                <w:szCs w:val="20"/>
                <w:lang w:val="en-IN"/>
              </w:rPr>
              <w:t xml:space="preserve">Duration of follow up, months </w:t>
            </w:r>
          </w:p>
        </w:tc>
        <w:tc>
          <w:tcPr>
            <w:tcW w:w="2021" w:type="dxa"/>
          </w:tcPr>
          <w:p w14:paraId="5703EF49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62.6 (24.4, 88.2)</w:t>
            </w:r>
          </w:p>
        </w:tc>
        <w:tc>
          <w:tcPr>
            <w:tcW w:w="1931" w:type="dxa"/>
          </w:tcPr>
          <w:p w14:paraId="4CFFB8B5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41.9 (26.4, 65.7)</w:t>
            </w:r>
          </w:p>
        </w:tc>
        <w:tc>
          <w:tcPr>
            <w:tcW w:w="2247" w:type="dxa"/>
          </w:tcPr>
          <w:p w14:paraId="095DD4E5" w14:textId="77777777" w:rsidR="00CE3E19" w:rsidRPr="00061AD6" w:rsidRDefault="00CE3E19" w:rsidP="002D53A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061AD6">
              <w:rPr>
                <w:rFonts w:ascii="Times New Roman" w:hAnsi="Times New Roman"/>
                <w:sz w:val="20"/>
                <w:szCs w:val="20"/>
                <w:lang w:val="en-IN"/>
              </w:rPr>
              <w:t>65.9 (46.3, 101.1)</w:t>
            </w:r>
          </w:p>
        </w:tc>
      </w:tr>
    </w:tbl>
    <w:p w14:paraId="28B59CDC" w14:textId="77777777" w:rsidR="00CE3E19" w:rsidRDefault="00CE3E19" w:rsidP="00CE3E19">
      <w:pPr>
        <w:spacing w:after="0" w:line="360" w:lineRule="auto"/>
        <w:rPr>
          <w:rFonts w:ascii="Times New Roman" w:hAnsi="Times New Roman"/>
          <w:color w:val="000000"/>
          <w:sz w:val="24"/>
          <w:lang w:val="en-IN"/>
        </w:rPr>
      </w:pPr>
    </w:p>
    <w:p w14:paraId="50ED1647" w14:textId="77777777" w:rsidR="00CE3E19" w:rsidRPr="009F504E" w:rsidRDefault="00CE3E19" w:rsidP="00CE3E19">
      <w:pPr>
        <w:spacing w:after="0" w:line="360" w:lineRule="auto"/>
        <w:ind w:firstLine="426"/>
        <w:rPr>
          <w:rFonts w:ascii="Times New Roman" w:hAnsi="Times New Roman" w:cs="Times New Roman"/>
          <w:iCs/>
          <w:sz w:val="20"/>
          <w:szCs w:val="20"/>
          <w:lang w:val="en-IN"/>
        </w:rPr>
      </w:pPr>
      <w:bookmarkStart w:id="0" w:name="_Hlk42080583"/>
      <w:r w:rsidRPr="009F504E">
        <w:rPr>
          <w:rFonts w:ascii="Times New Roman" w:hAnsi="Times New Roman" w:cs="Times New Roman"/>
          <w:iCs/>
          <w:sz w:val="20"/>
          <w:szCs w:val="20"/>
          <w:lang w:val="en-IN"/>
        </w:rPr>
        <w:t>Numbers are N (%) or median (first, third quartiles)</w:t>
      </w:r>
    </w:p>
    <w:bookmarkEnd w:id="0"/>
    <w:p w14:paraId="327C940F" w14:textId="77777777" w:rsidR="00CE3E19" w:rsidRPr="009F504E" w:rsidRDefault="00CE3E19" w:rsidP="00CE3E19">
      <w:pPr>
        <w:spacing w:after="0" w:line="360" w:lineRule="auto"/>
        <w:ind w:left="426"/>
        <w:rPr>
          <w:rFonts w:ascii="Times New Roman" w:hAnsi="Times New Roman" w:cs="Times New Roman"/>
          <w:iCs/>
          <w:sz w:val="20"/>
          <w:szCs w:val="20"/>
          <w:lang w:val="en-IN"/>
        </w:rPr>
      </w:pPr>
      <w:r w:rsidRPr="009F504E">
        <w:rPr>
          <w:rFonts w:ascii="Times New Roman" w:hAnsi="Times New Roman" w:cs="Times New Roman"/>
          <w:iCs/>
          <w:sz w:val="20"/>
          <w:szCs w:val="20"/>
          <w:lang w:val="en-IN"/>
        </w:rPr>
        <w:t xml:space="preserve">eGFR estimated glomerular filtration rate; GN </w:t>
      </w:r>
      <w:proofErr w:type="gramStart"/>
      <w:r w:rsidRPr="009F504E">
        <w:rPr>
          <w:rFonts w:ascii="Times New Roman" w:hAnsi="Times New Roman" w:cs="Times New Roman"/>
          <w:iCs/>
          <w:sz w:val="20"/>
          <w:szCs w:val="20"/>
          <w:lang w:val="en-IN"/>
        </w:rPr>
        <w:t>glomerulonephritis</w:t>
      </w:r>
      <w:proofErr w:type="gramEnd"/>
    </w:p>
    <w:p w14:paraId="4C7DE72C" w14:textId="57167865" w:rsidR="00DB0686" w:rsidRPr="00CE3E19" w:rsidRDefault="00CE3E19" w:rsidP="00CE3E19">
      <w:pPr>
        <w:spacing w:after="0" w:line="360" w:lineRule="auto"/>
        <w:ind w:left="426"/>
        <w:rPr>
          <w:rFonts w:ascii="Times New Roman" w:hAnsi="Times New Roman"/>
          <w:sz w:val="20"/>
          <w:lang w:val="en-IN"/>
        </w:rPr>
      </w:pPr>
      <w:r w:rsidRPr="009F504E">
        <w:rPr>
          <w:rFonts w:ascii="Times New Roman" w:hAnsi="Times New Roman" w:cs="Times New Roman"/>
          <w:sz w:val="20"/>
          <w:szCs w:val="20"/>
          <w:lang w:val="en-IN"/>
        </w:rPr>
        <w:t>Persistent</w:t>
      </w:r>
      <w:r>
        <w:rPr>
          <w:rFonts w:ascii="Times New Roman" w:hAnsi="Times New Roman" w:cs="Times New Roman"/>
          <w:sz w:val="20"/>
          <w:szCs w:val="20"/>
          <w:lang w:val="en-IN"/>
        </w:rPr>
        <w:t>ly</w:t>
      </w:r>
      <w:r w:rsidRPr="000D136E">
        <w:rPr>
          <w:rFonts w:ascii="Times New Roman" w:hAnsi="Times New Roman"/>
          <w:sz w:val="20"/>
          <w:lang w:val="en-IN"/>
        </w:rPr>
        <w:t xml:space="preserve"> </w:t>
      </w:r>
      <w:r w:rsidRPr="000F2449">
        <w:rPr>
          <w:rFonts w:ascii="Times New Roman" w:hAnsi="Times New Roman"/>
          <w:sz w:val="20"/>
          <w:lang w:val="en-IN"/>
        </w:rPr>
        <w:t>low C3 defined as ≥2 low values (&lt;90 mg/dl) over ≥6-months</w:t>
      </w:r>
      <w:r w:rsidRPr="009F504E">
        <w:rPr>
          <w:rFonts w:ascii="Times New Roman" w:hAnsi="Times New Roman" w:cs="Times New Roman"/>
          <w:sz w:val="20"/>
          <w:szCs w:val="20"/>
          <w:lang w:val="en-IN"/>
        </w:rPr>
        <w:t xml:space="preserve">; not available for one patient with </w:t>
      </w:r>
      <w:proofErr w:type="gramStart"/>
      <w:r w:rsidRPr="009F504E">
        <w:rPr>
          <w:rFonts w:ascii="Times New Roman" w:hAnsi="Times New Roman" w:cs="Times New Roman"/>
          <w:sz w:val="20"/>
          <w:szCs w:val="20"/>
          <w:lang w:val="en-IN"/>
        </w:rPr>
        <w:t>DDD</w:t>
      </w:r>
      <w:proofErr w:type="gramEnd"/>
    </w:p>
    <w:p w14:paraId="667E16B9" w14:textId="77777777" w:rsidR="00CE3E19" w:rsidRDefault="00CE3E19" w:rsidP="00CB293B">
      <w:pPr>
        <w:spacing w:after="160" w:line="259" w:lineRule="auto"/>
        <w:rPr>
          <w:rFonts w:ascii="Times New Roman" w:hAnsi="Times New Roman" w:cs="Times New Roman"/>
          <w:sz w:val="18"/>
          <w:szCs w:val="18"/>
          <w:lang w:bidi="ar-SA"/>
        </w:rPr>
      </w:pPr>
    </w:p>
    <w:p w14:paraId="16B4B7E4" w14:textId="22F63ABA" w:rsidR="00BC0055" w:rsidRPr="0030615C" w:rsidRDefault="00BC0055" w:rsidP="0030615C">
      <w:pPr>
        <w:spacing w:after="0" w:line="360" w:lineRule="auto"/>
        <w:ind w:left="426"/>
        <w:rPr>
          <w:rFonts w:ascii="Times New Roman" w:hAnsi="Times New Roman"/>
          <w:color w:val="000000"/>
          <w:sz w:val="24"/>
          <w:lang w:val="en-IN"/>
        </w:rPr>
        <w:sectPr w:rsidR="00BC0055" w:rsidRPr="0030615C" w:rsidSect="00DB0686">
          <w:pgSz w:w="11906" w:h="16838" w:code="9"/>
          <w:pgMar w:top="720" w:right="993" w:bottom="1440" w:left="450" w:header="720" w:footer="720" w:gutter="0"/>
          <w:cols w:space="720"/>
          <w:docGrid w:linePitch="360"/>
        </w:sectPr>
      </w:pPr>
    </w:p>
    <w:p w14:paraId="4B2B23D5" w14:textId="5FE4114C" w:rsidR="002978D1" w:rsidRPr="00903367" w:rsidRDefault="002978D1" w:rsidP="002978D1">
      <w:pPr>
        <w:spacing w:after="0" w:line="360" w:lineRule="auto"/>
        <w:rPr>
          <w:rFonts w:ascii="Times New Roman" w:hAnsi="Times New Roman"/>
          <w:color w:val="000000"/>
          <w:lang w:val="en-IN"/>
        </w:rPr>
      </w:pPr>
      <w:bookmarkStart w:id="1" w:name="_Hlk126838590"/>
      <w:r w:rsidRPr="00C51EB3">
        <w:rPr>
          <w:rFonts w:ascii="Times New Roman" w:hAnsi="Times New Roman" w:cs="Times New Roman"/>
          <w:b/>
          <w:bCs/>
        </w:rPr>
        <w:lastRenderedPageBreak/>
        <w:t>Supplementary</w:t>
      </w:r>
      <w:r>
        <w:rPr>
          <w:rFonts w:ascii="Times New Roman" w:hAnsi="Times New Roman" w:cs="Times New Roman"/>
        </w:rPr>
        <w:t xml:space="preserve"> </w:t>
      </w:r>
      <w:r w:rsidRPr="00903367">
        <w:rPr>
          <w:rFonts w:ascii="Times New Roman" w:hAnsi="Times New Roman" w:cs="Times New Roman"/>
          <w:b/>
          <w:bCs/>
        </w:rPr>
        <w:t xml:space="preserve">Table </w:t>
      </w:r>
      <w:r w:rsidR="00CE3E19">
        <w:rPr>
          <w:rFonts w:ascii="Times New Roman" w:hAnsi="Times New Roman" w:cs="Times New Roman"/>
          <w:b/>
          <w:bCs/>
        </w:rPr>
        <w:t>2</w:t>
      </w:r>
      <w:r w:rsidRPr="00903367">
        <w:rPr>
          <w:rFonts w:ascii="Times New Roman" w:hAnsi="Times New Roman" w:cs="Times New Roman"/>
          <w:b/>
          <w:bCs/>
        </w:rPr>
        <w:t xml:space="preserve"> </w:t>
      </w:r>
      <w:bookmarkEnd w:id="1"/>
      <w:r w:rsidRPr="00903367">
        <w:rPr>
          <w:rFonts w:ascii="Times New Roman" w:hAnsi="Times New Roman" w:cs="Times New Roman"/>
        </w:rPr>
        <w:t>C</w:t>
      </w:r>
      <w:proofErr w:type="spellStart"/>
      <w:r w:rsidRPr="00903367">
        <w:rPr>
          <w:rFonts w:ascii="Times New Roman" w:hAnsi="Times New Roman"/>
          <w:color w:val="000000"/>
          <w:lang w:val="en-IN"/>
        </w:rPr>
        <w:t>linical</w:t>
      </w:r>
      <w:proofErr w:type="spellEnd"/>
      <w:r w:rsidRPr="00903367">
        <w:rPr>
          <w:rFonts w:ascii="Times New Roman" w:hAnsi="Times New Roman"/>
          <w:color w:val="000000"/>
          <w:lang w:val="en-IN"/>
        </w:rPr>
        <w:t xml:space="preserve"> </w:t>
      </w:r>
      <w:r w:rsidRPr="00903367">
        <w:rPr>
          <w:rFonts w:ascii="Times New Roman" w:hAnsi="Times New Roman" w:cs="Times New Roman"/>
          <w:bCs/>
          <w:color w:val="000000"/>
          <w:lang w:val="en-IN"/>
        </w:rPr>
        <w:t xml:space="preserve">and biochemical </w:t>
      </w:r>
      <w:r w:rsidRPr="00903367">
        <w:rPr>
          <w:rFonts w:ascii="Times New Roman" w:hAnsi="Times New Roman"/>
          <w:color w:val="000000"/>
          <w:lang w:val="en-IN"/>
        </w:rPr>
        <w:t xml:space="preserve">parameters in patients with </w:t>
      </w:r>
      <w:r w:rsidRPr="00903367">
        <w:rPr>
          <w:rFonts w:ascii="Times New Roman" w:hAnsi="Times New Roman" w:cs="Times New Roman"/>
          <w:bCs/>
          <w:color w:val="000000"/>
          <w:lang w:val="en-IN"/>
        </w:rPr>
        <w:t xml:space="preserve">dense deposit disease (DDD), </w:t>
      </w:r>
      <w:r w:rsidRPr="00903367">
        <w:rPr>
          <w:rFonts w:ascii="Times New Roman" w:hAnsi="Times New Roman"/>
          <w:color w:val="000000"/>
          <w:lang w:val="en-IN"/>
        </w:rPr>
        <w:t xml:space="preserve">C3 </w:t>
      </w:r>
      <w:r w:rsidRPr="00903367">
        <w:rPr>
          <w:rFonts w:ascii="Times New Roman" w:hAnsi="Times New Roman" w:cs="Times New Roman"/>
          <w:bCs/>
          <w:color w:val="000000"/>
          <w:lang w:val="en-IN"/>
        </w:rPr>
        <w:t>glomerulonephritis (C3GN)</w:t>
      </w:r>
      <w:r w:rsidRPr="00903367">
        <w:rPr>
          <w:rFonts w:ascii="Times New Roman" w:hAnsi="Times New Roman"/>
          <w:color w:val="000000"/>
          <w:lang w:val="en-IN"/>
        </w:rPr>
        <w:t xml:space="preserve"> and immune-complex membranoproliferative glomerulonephritis </w:t>
      </w:r>
      <w:r w:rsidRPr="00903367">
        <w:rPr>
          <w:rFonts w:ascii="Times New Roman" w:hAnsi="Times New Roman" w:cs="Times New Roman"/>
          <w:bCs/>
          <w:color w:val="000000"/>
          <w:lang w:val="en-IN"/>
        </w:rPr>
        <w:t xml:space="preserve">(IC-MPGN) with factor B </w:t>
      </w:r>
      <w:r>
        <w:rPr>
          <w:rFonts w:ascii="Times New Roman" w:hAnsi="Times New Roman" w:cs="Times New Roman"/>
          <w:bCs/>
          <w:color w:val="000000"/>
          <w:lang w:val="en-IN"/>
        </w:rPr>
        <w:t>auto</w:t>
      </w:r>
      <w:r w:rsidRPr="00903367">
        <w:rPr>
          <w:rFonts w:ascii="Times New Roman" w:hAnsi="Times New Roman" w:cs="Times New Roman"/>
          <w:bCs/>
          <w:color w:val="000000"/>
          <w:lang w:val="en-IN"/>
        </w:rPr>
        <w:t>antibodies at onset</w:t>
      </w:r>
    </w:p>
    <w:tbl>
      <w:tblPr>
        <w:tblStyle w:val="LightShading14"/>
        <w:tblW w:w="14354" w:type="dxa"/>
        <w:tblLook w:val="0620" w:firstRow="1" w:lastRow="0" w:firstColumn="0" w:lastColumn="0" w:noHBand="1" w:noVBand="1"/>
      </w:tblPr>
      <w:tblGrid>
        <w:gridCol w:w="2289"/>
        <w:gridCol w:w="2389"/>
        <w:gridCol w:w="2711"/>
        <w:gridCol w:w="1965"/>
        <w:gridCol w:w="2417"/>
        <w:gridCol w:w="2583"/>
      </w:tblGrid>
      <w:tr w:rsidR="005A064A" w:rsidRPr="00D11B65" w14:paraId="79FA6803" w14:textId="77777777" w:rsidTr="00C92B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"/>
        </w:trPr>
        <w:tc>
          <w:tcPr>
            <w:tcW w:w="2289" w:type="dxa"/>
            <w:hideMark/>
          </w:tcPr>
          <w:p w14:paraId="510A7B65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2389" w:type="dxa"/>
            <w:hideMark/>
          </w:tcPr>
          <w:p w14:paraId="1A2CA371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11" w:type="dxa"/>
            <w:hideMark/>
          </w:tcPr>
          <w:p w14:paraId="3D86E00C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65" w:type="dxa"/>
            <w:hideMark/>
          </w:tcPr>
          <w:p w14:paraId="7A4DF676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7" w:type="dxa"/>
            <w:hideMark/>
          </w:tcPr>
          <w:p w14:paraId="1BF4FF5C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  <w:hideMark/>
          </w:tcPr>
          <w:p w14:paraId="20F534E1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A064A" w:rsidRPr="00D11B65" w14:paraId="5A157E5F" w14:textId="77777777" w:rsidTr="00C92BC7">
        <w:trPr>
          <w:trHeight w:val="48"/>
        </w:trPr>
        <w:tc>
          <w:tcPr>
            <w:tcW w:w="2289" w:type="dxa"/>
            <w:hideMark/>
          </w:tcPr>
          <w:p w14:paraId="167537D9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Age, yr; sex</w:t>
            </w:r>
          </w:p>
        </w:tc>
        <w:tc>
          <w:tcPr>
            <w:tcW w:w="2389" w:type="dxa"/>
            <w:hideMark/>
          </w:tcPr>
          <w:p w14:paraId="29EC43F2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14.2; girl</w:t>
            </w:r>
          </w:p>
        </w:tc>
        <w:tc>
          <w:tcPr>
            <w:tcW w:w="2711" w:type="dxa"/>
            <w:hideMark/>
          </w:tcPr>
          <w:p w14:paraId="67F752A9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7.3; boy</w:t>
            </w:r>
          </w:p>
        </w:tc>
        <w:tc>
          <w:tcPr>
            <w:tcW w:w="1965" w:type="dxa"/>
            <w:hideMark/>
          </w:tcPr>
          <w:p w14:paraId="162AFCA2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9.7; boy</w:t>
            </w:r>
          </w:p>
        </w:tc>
        <w:tc>
          <w:tcPr>
            <w:tcW w:w="2417" w:type="dxa"/>
            <w:hideMark/>
          </w:tcPr>
          <w:p w14:paraId="0A2A8129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10.5; girl</w:t>
            </w:r>
          </w:p>
        </w:tc>
        <w:tc>
          <w:tcPr>
            <w:tcW w:w="2583" w:type="dxa"/>
            <w:hideMark/>
          </w:tcPr>
          <w:p w14:paraId="1BA9BF1D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4.2; boy</w:t>
            </w:r>
          </w:p>
        </w:tc>
      </w:tr>
      <w:tr w:rsidR="005A064A" w:rsidRPr="00D11B65" w14:paraId="229F21DF" w14:textId="77777777" w:rsidTr="00C92BC7">
        <w:trPr>
          <w:trHeight w:val="68"/>
        </w:trPr>
        <w:tc>
          <w:tcPr>
            <w:tcW w:w="2289" w:type="dxa"/>
            <w:hideMark/>
          </w:tcPr>
          <w:p w14:paraId="059DDD41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Presentation</w:t>
            </w:r>
          </w:p>
        </w:tc>
        <w:tc>
          <w:tcPr>
            <w:tcW w:w="2389" w:type="dxa"/>
            <w:hideMark/>
          </w:tcPr>
          <w:p w14:paraId="143DB8D1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Chronic glomerulonephritis</w:t>
            </w:r>
          </w:p>
        </w:tc>
        <w:tc>
          <w:tcPr>
            <w:tcW w:w="2711" w:type="dxa"/>
            <w:hideMark/>
          </w:tcPr>
          <w:p w14:paraId="1EE7F83A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Nephrotic syndrome</w:t>
            </w:r>
          </w:p>
        </w:tc>
        <w:tc>
          <w:tcPr>
            <w:tcW w:w="1965" w:type="dxa"/>
            <w:hideMark/>
          </w:tcPr>
          <w:p w14:paraId="442A9BCB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 xml:space="preserve">Febrile prodrome Nephrotic syndrome; </w:t>
            </w:r>
          </w:p>
        </w:tc>
        <w:tc>
          <w:tcPr>
            <w:tcW w:w="2417" w:type="dxa"/>
            <w:hideMark/>
          </w:tcPr>
          <w:p w14:paraId="31A7829B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Prodrome of fever and rash; rapidly progressive kidney failure</w:t>
            </w:r>
          </w:p>
        </w:tc>
        <w:tc>
          <w:tcPr>
            <w:tcW w:w="2583" w:type="dxa"/>
            <w:hideMark/>
          </w:tcPr>
          <w:p w14:paraId="024A2F35" w14:textId="77777777" w:rsidR="002978D1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Nephrotic syndrome</w:t>
            </w:r>
          </w:p>
          <w:p w14:paraId="7301AEE3" w14:textId="77777777" w:rsidR="002978D1" w:rsidRPr="001D00DD" w:rsidRDefault="002978D1" w:rsidP="00737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64A" w:rsidRPr="00D11B65" w14:paraId="144D5C77" w14:textId="77777777" w:rsidTr="00C92BC7">
        <w:trPr>
          <w:trHeight w:val="68"/>
        </w:trPr>
        <w:tc>
          <w:tcPr>
            <w:tcW w:w="2289" w:type="dxa"/>
            <w:hideMark/>
          </w:tcPr>
          <w:p w14:paraId="4DE325AD" w14:textId="1BC6B2CD" w:rsidR="002978D1" w:rsidRPr="00C92BC7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eGFR ml/min/1.73m</w:t>
            </w:r>
            <w:r w:rsidRPr="00C92BC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  <w:hideMark/>
          </w:tcPr>
          <w:p w14:paraId="1E294A7F" w14:textId="0A6B1405" w:rsidR="002978D1" w:rsidRPr="00C92BC7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Maintenance hemodialysis</w:t>
            </w:r>
          </w:p>
        </w:tc>
        <w:tc>
          <w:tcPr>
            <w:tcW w:w="2711" w:type="dxa"/>
            <w:hideMark/>
          </w:tcPr>
          <w:p w14:paraId="311BAC26" w14:textId="5F82A3EA" w:rsidR="002978D1" w:rsidRPr="00C92BC7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65" w:type="dxa"/>
            <w:hideMark/>
          </w:tcPr>
          <w:p w14:paraId="0DA8089F" w14:textId="5975FF4B" w:rsidR="002978D1" w:rsidRPr="00C92BC7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417" w:type="dxa"/>
            <w:hideMark/>
          </w:tcPr>
          <w:p w14:paraId="025F74F0" w14:textId="76216252" w:rsidR="002978D1" w:rsidRPr="00C92BC7" w:rsidRDefault="007452BB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83" w:type="dxa"/>
            <w:hideMark/>
          </w:tcPr>
          <w:p w14:paraId="2315BF01" w14:textId="487C0022" w:rsidR="002978D1" w:rsidRPr="00C92BC7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C92BC7" w:rsidRPr="00D11B65" w14:paraId="26FD066A" w14:textId="77777777" w:rsidTr="00C92BC7">
        <w:trPr>
          <w:trHeight w:val="68"/>
        </w:trPr>
        <w:tc>
          <w:tcPr>
            <w:tcW w:w="2289" w:type="dxa"/>
          </w:tcPr>
          <w:p w14:paraId="6C12C3D2" w14:textId="30C62130" w:rsidR="00C92BC7" w:rsidRPr="00C92BC7" w:rsidRDefault="00C92BC7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Blood albumin, g/dl</w:t>
            </w:r>
          </w:p>
        </w:tc>
        <w:tc>
          <w:tcPr>
            <w:tcW w:w="2389" w:type="dxa"/>
          </w:tcPr>
          <w:p w14:paraId="26EF46E0" w14:textId="06FF3070" w:rsidR="00C92BC7" w:rsidRPr="00C92BC7" w:rsidRDefault="00C92BC7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711" w:type="dxa"/>
          </w:tcPr>
          <w:p w14:paraId="447ED551" w14:textId="27FAFB03" w:rsidR="00C92BC7" w:rsidRPr="00C92BC7" w:rsidRDefault="00C92BC7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965" w:type="dxa"/>
          </w:tcPr>
          <w:p w14:paraId="50CA6B60" w14:textId="06FD2DEF" w:rsidR="00C92BC7" w:rsidRPr="00C92BC7" w:rsidRDefault="00C92BC7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417" w:type="dxa"/>
          </w:tcPr>
          <w:p w14:paraId="008631BF" w14:textId="69983C4B" w:rsidR="00C92BC7" w:rsidRPr="00C92BC7" w:rsidRDefault="00C92BC7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2583" w:type="dxa"/>
          </w:tcPr>
          <w:p w14:paraId="372F2722" w14:textId="374CF2F6" w:rsidR="00C92BC7" w:rsidRPr="00C92BC7" w:rsidRDefault="00C92BC7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</w:tr>
      <w:tr w:rsidR="005A064A" w:rsidRPr="00D11B65" w14:paraId="741483AD" w14:textId="77777777" w:rsidTr="00C92BC7">
        <w:trPr>
          <w:trHeight w:val="68"/>
        </w:trPr>
        <w:tc>
          <w:tcPr>
            <w:tcW w:w="2289" w:type="dxa"/>
            <w:hideMark/>
          </w:tcPr>
          <w:p w14:paraId="76E0F634" w14:textId="77777777" w:rsidR="002978D1" w:rsidRPr="00C92BC7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 xml:space="preserve">Serum C3 mg/dl </w:t>
            </w:r>
          </w:p>
        </w:tc>
        <w:tc>
          <w:tcPr>
            <w:tcW w:w="2389" w:type="dxa"/>
            <w:hideMark/>
          </w:tcPr>
          <w:p w14:paraId="2F5212D7" w14:textId="0AA7CF2D" w:rsidR="002978D1" w:rsidRPr="00C92BC7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="00C92BC7" w:rsidRPr="00C92BC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11" w:type="dxa"/>
            <w:hideMark/>
          </w:tcPr>
          <w:p w14:paraId="7AA995F2" w14:textId="08D5EA76" w:rsidR="002978D1" w:rsidRPr="00C92BC7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92BC7" w:rsidRPr="00C92BC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65" w:type="dxa"/>
            <w:hideMark/>
          </w:tcPr>
          <w:p w14:paraId="56EA6EEE" w14:textId="1AE23219" w:rsidR="002978D1" w:rsidRPr="00C92BC7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C92BC7" w:rsidRPr="00C92BC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417" w:type="dxa"/>
            <w:hideMark/>
          </w:tcPr>
          <w:p w14:paraId="7AAE90C6" w14:textId="77777777" w:rsidR="002978D1" w:rsidRPr="00C92BC7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83" w:type="dxa"/>
            <w:hideMark/>
          </w:tcPr>
          <w:p w14:paraId="15F506DA" w14:textId="77777777" w:rsidR="002978D1" w:rsidRPr="00C92BC7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7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5A064A" w:rsidRPr="00D11B65" w14:paraId="7A7C428D" w14:textId="77777777" w:rsidTr="00C92BC7">
        <w:trPr>
          <w:trHeight w:val="417"/>
        </w:trPr>
        <w:tc>
          <w:tcPr>
            <w:tcW w:w="2289" w:type="dxa"/>
            <w:hideMark/>
          </w:tcPr>
          <w:p w14:paraId="520C83AD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Histopathology</w:t>
            </w:r>
          </w:p>
        </w:tc>
        <w:tc>
          <w:tcPr>
            <w:tcW w:w="2389" w:type="dxa"/>
            <w:hideMark/>
          </w:tcPr>
          <w:p w14:paraId="45245931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DDD</w:t>
            </w:r>
          </w:p>
        </w:tc>
        <w:tc>
          <w:tcPr>
            <w:tcW w:w="2711" w:type="dxa"/>
            <w:hideMark/>
          </w:tcPr>
          <w:p w14:paraId="1E7E825F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DDD</w:t>
            </w:r>
          </w:p>
        </w:tc>
        <w:tc>
          <w:tcPr>
            <w:tcW w:w="1965" w:type="dxa"/>
            <w:hideMark/>
          </w:tcPr>
          <w:p w14:paraId="765C3A9E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DDD</w:t>
            </w:r>
          </w:p>
        </w:tc>
        <w:tc>
          <w:tcPr>
            <w:tcW w:w="2417" w:type="dxa"/>
            <w:hideMark/>
          </w:tcPr>
          <w:p w14:paraId="4B41C3DF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DDD</w:t>
            </w:r>
          </w:p>
        </w:tc>
        <w:tc>
          <w:tcPr>
            <w:tcW w:w="2583" w:type="dxa"/>
            <w:hideMark/>
          </w:tcPr>
          <w:p w14:paraId="3504213F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IC-MPGN</w:t>
            </w:r>
          </w:p>
        </w:tc>
      </w:tr>
      <w:tr w:rsidR="005A064A" w:rsidRPr="00D11B65" w14:paraId="74711CE0" w14:textId="77777777" w:rsidTr="00C92BC7">
        <w:trPr>
          <w:trHeight w:val="68"/>
        </w:trPr>
        <w:tc>
          <w:tcPr>
            <w:tcW w:w="2289" w:type="dxa"/>
            <w:hideMark/>
          </w:tcPr>
          <w:p w14:paraId="0C12252B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 xml:space="preserve">Immunosuppression </w:t>
            </w:r>
          </w:p>
        </w:tc>
        <w:tc>
          <w:tcPr>
            <w:tcW w:w="2389" w:type="dxa"/>
            <w:hideMark/>
          </w:tcPr>
          <w:p w14:paraId="2F28A589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711" w:type="dxa"/>
            <w:hideMark/>
          </w:tcPr>
          <w:p w14:paraId="4563341D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Oral prednisolone</w:t>
            </w:r>
          </w:p>
        </w:tc>
        <w:tc>
          <w:tcPr>
            <w:tcW w:w="1965" w:type="dxa"/>
            <w:hideMark/>
          </w:tcPr>
          <w:p w14:paraId="09D310FC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Oral prednisolone; MMF for 29-mo; tacrolimus for 6-mo</w:t>
            </w:r>
          </w:p>
        </w:tc>
        <w:tc>
          <w:tcPr>
            <w:tcW w:w="2417" w:type="dxa"/>
            <w:hideMark/>
          </w:tcPr>
          <w:p w14:paraId="013F3BDD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IV methylprednisolone; plasma exchange; IV cyclophosphamide</w:t>
            </w:r>
          </w:p>
        </w:tc>
        <w:tc>
          <w:tcPr>
            <w:tcW w:w="2583" w:type="dxa"/>
            <w:hideMark/>
          </w:tcPr>
          <w:p w14:paraId="71E8361E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Oral prednisolone; MMF for 6-mo; tacrolimus for 25 months</w:t>
            </w:r>
          </w:p>
        </w:tc>
      </w:tr>
      <w:tr w:rsidR="005A064A" w:rsidRPr="00D11B65" w14:paraId="662BD45A" w14:textId="77777777" w:rsidTr="00C92BC7">
        <w:trPr>
          <w:trHeight w:val="68"/>
        </w:trPr>
        <w:tc>
          <w:tcPr>
            <w:tcW w:w="2289" w:type="dxa"/>
            <w:hideMark/>
          </w:tcPr>
          <w:p w14:paraId="326DAC0C" w14:textId="3F6F4AF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  <w:r w:rsidR="00AC63C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duration of follow-up</w:t>
            </w:r>
          </w:p>
        </w:tc>
        <w:tc>
          <w:tcPr>
            <w:tcW w:w="2389" w:type="dxa"/>
            <w:hideMark/>
          </w:tcPr>
          <w:p w14:paraId="346E06C7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ESKD; 49-mo</w:t>
            </w:r>
          </w:p>
        </w:tc>
        <w:tc>
          <w:tcPr>
            <w:tcW w:w="2711" w:type="dxa"/>
            <w:hideMark/>
          </w:tcPr>
          <w:p w14:paraId="7C06BF87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Complete remission; eGFR 112 ml ml/min/1.73m</w:t>
            </w:r>
            <w:r w:rsidRPr="00D11B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at 138-mo</w:t>
            </w:r>
          </w:p>
        </w:tc>
        <w:tc>
          <w:tcPr>
            <w:tcW w:w="1965" w:type="dxa"/>
            <w:hideMark/>
          </w:tcPr>
          <w:p w14:paraId="29EEA9F0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ESKD; 70-mo</w:t>
            </w:r>
          </w:p>
        </w:tc>
        <w:tc>
          <w:tcPr>
            <w:tcW w:w="2417" w:type="dxa"/>
            <w:hideMark/>
          </w:tcPr>
          <w:p w14:paraId="43FA1475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ESKD; 6-mo</w:t>
            </w:r>
          </w:p>
        </w:tc>
        <w:tc>
          <w:tcPr>
            <w:tcW w:w="2583" w:type="dxa"/>
            <w:hideMark/>
          </w:tcPr>
          <w:p w14:paraId="6BEFB627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Non-response; eGFR 90 ml/min/1.73m</w:t>
            </w:r>
            <w:r w:rsidRPr="00D11B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at 88-mo</w:t>
            </w:r>
          </w:p>
        </w:tc>
      </w:tr>
      <w:tr w:rsidR="005A064A" w:rsidRPr="00D11B65" w14:paraId="105AC945" w14:textId="77777777" w:rsidTr="00C92BC7">
        <w:trPr>
          <w:trHeight w:val="68"/>
        </w:trPr>
        <w:tc>
          <w:tcPr>
            <w:tcW w:w="2289" w:type="dxa"/>
            <w:hideMark/>
          </w:tcPr>
          <w:p w14:paraId="3A7E66F9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Anti-factor B antibody titer at onset, AU/ml</w:t>
            </w:r>
          </w:p>
        </w:tc>
        <w:tc>
          <w:tcPr>
            <w:tcW w:w="2389" w:type="dxa"/>
            <w:hideMark/>
          </w:tcPr>
          <w:p w14:paraId="1E4135FA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2711" w:type="dxa"/>
            <w:hideMark/>
          </w:tcPr>
          <w:p w14:paraId="46C0714A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591.8</w:t>
            </w:r>
          </w:p>
        </w:tc>
        <w:tc>
          <w:tcPr>
            <w:tcW w:w="1965" w:type="dxa"/>
            <w:hideMark/>
          </w:tcPr>
          <w:p w14:paraId="5FC709EF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544.8</w:t>
            </w:r>
          </w:p>
        </w:tc>
        <w:tc>
          <w:tcPr>
            <w:tcW w:w="2417" w:type="dxa"/>
            <w:hideMark/>
          </w:tcPr>
          <w:p w14:paraId="71D4FECC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428.2</w:t>
            </w:r>
          </w:p>
        </w:tc>
        <w:tc>
          <w:tcPr>
            <w:tcW w:w="2583" w:type="dxa"/>
            <w:hideMark/>
          </w:tcPr>
          <w:p w14:paraId="133FC44F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392.2</w:t>
            </w:r>
          </w:p>
        </w:tc>
      </w:tr>
      <w:tr w:rsidR="005A064A" w:rsidRPr="00D11B65" w14:paraId="6DEC30CD" w14:textId="77777777" w:rsidTr="00C92BC7">
        <w:trPr>
          <w:trHeight w:val="68"/>
        </w:trPr>
        <w:tc>
          <w:tcPr>
            <w:tcW w:w="2289" w:type="dxa"/>
          </w:tcPr>
          <w:p w14:paraId="05E802E2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Anti-factor B antibody titer on follow-up, AU/ml</w:t>
            </w:r>
          </w:p>
        </w:tc>
        <w:tc>
          <w:tcPr>
            <w:tcW w:w="2389" w:type="dxa"/>
          </w:tcPr>
          <w:p w14:paraId="30C34F06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11" w:type="dxa"/>
          </w:tcPr>
          <w:p w14:paraId="4FBB787D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552.5 (99-mo); 502.6 (126-mo)</w:t>
            </w:r>
          </w:p>
        </w:tc>
        <w:tc>
          <w:tcPr>
            <w:tcW w:w="1965" w:type="dxa"/>
          </w:tcPr>
          <w:p w14:paraId="660A2F0C" w14:textId="77777777" w:rsidR="002978D1" w:rsidRPr="00D11B65" w:rsidRDefault="002978D1" w:rsidP="0073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397 (62-mo)</w:t>
            </w:r>
          </w:p>
          <w:p w14:paraId="2FBBBED2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7" w:type="dxa"/>
          </w:tcPr>
          <w:p w14:paraId="50944180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83" w:type="dxa"/>
          </w:tcPr>
          <w:p w14:paraId="62A1A2B7" w14:textId="77777777" w:rsidR="002978D1" w:rsidRPr="00D11B65" w:rsidRDefault="002978D1" w:rsidP="007378A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B65">
              <w:rPr>
                <w:rFonts w:ascii="Times New Roman" w:hAnsi="Times New Roman" w:cs="Times New Roman"/>
                <w:sz w:val="20"/>
                <w:szCs w:val="20"/>
              </w:rPr>
              <w:t>380.7 (80-mo)</w:t>
            </w:r>
          </w:p>
        </w:tc>
      </w:tr>
    </w:tbl>
    <w:p w14:paraId="19191F03" w14:textId="77777777" w:rsidR="002978D1" w:rsidRPr="008572EB" w:rsidRDefault="002978D1" w:rsidP="006962D8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8572EB">
        <w:rPr>
          <w:rFonts w:ascii="Times New Roman" w:hAnsi="Times New Roman" w:cs="Times New Roman"/>
          <w:sz w:val="20"/>
          <w:szCs w:val="20"/>
        </w:rPr>
        <w:t xml:space="preserve">eGFR estimated glomerular filtration rate; ESKD; end stage kidney disease; IV intravenous; MMF mycophenolate </w:t>
      </w:r>
      <w:proofErr w:type="gramStart"/>
      <w:r w:rsidRPr="008572EB">
        <w:rPr>
          <w:rFonts w:ascii="Times New Roman" w:hAnsi="Times New Roman" w:cs="Times New Roman"/>
          <w:sz w:val="20"/>
          <w:szCs w:val="20"/>
        </w:rPr>
        <w:t>mofetil</w:t>
      </w:r>
      <w:proofErr w:type="gramEnd"/>
    </w:p>
    <w:p w14:paraId="73C77759" w14:textId="77777777" w:rsidR="002978D1" w:rsidRPr="008572EB" w:rsidRDefault="002978D1" w:rsidP="002978D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572EB">
        <w:rPr>
          <w:rFonts w:ascii="Times New Roman" w:hAnsi="Times New Roman" w:cs="Times New Roman"/>
          <w:sz w:val="20"/>
          <w:szCs w:val="20"/>
        </w:rPr>
        <w:t xml:space="preserve">All patients had stage 2 hypertension and microscopic </w:t>
      </w:r>
      <w:proofErr w:type="gramStart"/>
      <w:r w:rsidRPr="008572EB">
        <w:rPr>
          <w:rFonts w:ascii="Times New Roman" w:hAnsi="Times New Roman" w:cs="Times New Roman"/>
          <w:sz w:val="20"/>
          <w:szCs w:val="20"/>
        </w:rPr>
        <w:t>hematuria</w:t>
      </w:r>
      <w:proofErr w:type="gramEnd"/>
    </w:p>
    <w:p w14:paraId="62A546C2" w14:textId="0A6F62A6" w:rsidR="002978D1" w:rsidRPr="00AC63CE" w:rsidRDefault="00C92BC7" w:rsidP="00AA1479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AC63C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2978D1" w:rsidRPr="00AC63CE">
        <w:rPr>
          <w:rFonts w:ascii="Times New Roman" w:hAnsi="Times New Roman" w:cs="Times New Roman"/>
          <w:sz w:val="20"/>
          <w:szCs w:val="20"/>
        </w:rPr>
        <w:t>Sample</w:t>
      </w:r>
      <w:proofErr w:type="spellEnd"/>
      <w:r w:rsidR="002978D1" w:rsidRPr="00AC63CE">
        <w:rPr>
          <w:rFonts w:ascii="Times New Roman" w:hAnsi="Times New Roman" w:cs="Times New Roman"/>
          <w:sz w:val="20"/>
          <w:szCs w:val="20"/>
        </w:rPr>
        <w:t xml:space="preserve"> tested at presentation with chronic kidney </w:t>
      </w:r>
      <w:proofErr w:type="gramStart"/>
      <w:r w:rsidR="002978D1" w:rsidRPr="00AC63CE">
        <w:rPr>
          <w:rFonts w:ascii="Times New Roman" w:hAnsi="Times New Roman" w:cs="Times New Roman"/>
          <w:sz w:val="20"/>
          <w:szCs w:val="20"/>
        </w:rPr>
        <w:t>diseas</w:t>
      </w:r>
      <w:r w:rsidR="00123ABF" w:rsidRPr="00AC63CE">
        <w:rPr>
          <w:rFonts w:ascii="Times New Roman" w:hAnsi="Times New Roman" w:cs="Times New Roman"/>
          <w:sz w:val="20"/>
          <w:szCs w:val="20"/>
        </w:rPr>
        <w:t>e</w:t>
      </w:r>
      <w:proofErr w:type="gramEnd"/>
    </w:p>
    <w:p w14:paraId="5BE70FBF" w14:textId="77777777" w:rsidR="00C92BC7" w:rsidRPr="00AC63CE" w:rsidRDefault="00C92BC7" w:rsidP="00C92BC7">
      <w:pPr>
        <w:spacing w:after="0"/>
        <w:rPr>
          <w:rFonts w:ascii="Times New Roman" w:hAnsi="Times New Roman"/>
          <w:sz w:val="20"/>
          <w:szCs w:val="20"/>
          <w:lang w:val="en-IN"/>
        </w:rPr>
      </w:pPr>
      <w:r w:rsidRPr="00AC63C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C63CE">
        <w:rPr>
          <w:rFonts w:ascii="Times New Roman" w:hAnsi="Times New Roman" w:cs="Times New Roman"/>
          <w:sz w:val="20"/>
          <w:szCs w:val="20"/>
          <w:lang w:val="en-IN"/>
        </w:rPr>
        <w:t>Persistently</w:t>
      </w:r>
      <w:r w:rsidRPr="00AC63CE">
        <w:rPr>
          <w:rFonts w:ascii="Times New Roman" w:hAnsi="Times New Roman"/>
          <w:sz w:val="20"/>
          <w:szCs w:val="20"/>
          <w:lang w:val="en-IN"/>
        </w:rPr>
        <w:t xml:space="preserve"> low C3 on follow-up, defined as ≥2 low values (&lt;90 mg/dl) over ≥6-</w:t>
      </w:r>
      <w:proofErr w:type="gramStart"/>
      <w:r w:rsidRPr="00AC63CE">
        <w:rPr>
          <w:rFonts w:ascii="Times New Roman" w:hAnsi="Times New Roman"/>
          <w:sz w:val="20"/>
          <w:szCs w:val="20"/>
          <w:lang w:val="en-IN"/>
        </w:rPr>
        <w:t>months</w:t>
      </w:r>
      <w:proofErr w:type="gramEnd"/>
    </w:p>
    <w:p w14:paraId="1803913A" w14:textId="77777777" w:rsidR="00C92BC7" w:rsidRDefault="00C92BC7" w:rsidP="00AA1479">
      <w:pPr>
        <w:spacing w:after="0"/>
      </w:pPr>
    </w:p>
    <w:p w14:paraId="0855182C" w14:textId="77777777" w:rsidR="002978D1" w:rsidRDefault="002978D1"/>
    <w:sectPr w:rsidR="002978D1" w:rsidSect="009A5D5D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8D1"/>
    <w:rsid w:val="00091870"/>
    <w:rsid w:val="000C5EC9"/>
    <w:rsid w:val="00123ABF"/>
    <w:rsid w:val="00146B76"/>
    <w:rsid w:val="002637D7"/>
    <w:rsid w:val="002978D1"/>
    <w:rsid w:val="0030615C"/>
    <w:rsid w:val="0041260D"/>
    <w:rsid w:val="004B26B3"/>
    <w:rsid w:val="00542B05"/>
    <w:rsid w:val="005466D5"/>
    <w:rsid w:val="005953AF"/>
    <w:rsid w:val="005A064A"/>
    <w:rsid w:val="00634A3D"/>
    <w:rsid w:val="00664051"/>
    <w:rsid w:val="006962D8"/>
    <w:rsid w:val="0071611E"/>
    <w:rsid w:val="00732BE6"/>
    <w:rsid w:val="0073440B"/>
    <w:rsid w:val="007452BB"/>
    <w:rsid w:val="00956AE6"/>
    <w:rsid w:val="009A5D5D"/>
    <w:rsid w:val="00A07BE5"/>
    <w:rsid w:val="00AA1479"/>
    <w:rsid w:val="00AC63CE"/>
    <w:rsid w:val="00B76BE1"/>
    <w:rsid w:val="00B76C5C"/>
    <w:rsid w:val="00BA41CB"/>
    <w:rsid w:val="00BC0055"/>
    <w:rsid w:val="00BF12F0"/>
    <w:rsid w:val="00C1424A"/>
    <w:rsid w:val="00C14276"/>
    <w:rsid w:val="00C92BC7"/>
    <w:rsid w:val="00CB293B"/>
    <w:rsid w:val="00CB622E"/>
    <w:rsid w:val="00CD6391"/>
    <w:rsid w:val="00CE346B"/>
    <w:rsid w:val="00CE3E19"/>
    <w:rsid w:val="00DB0686"/>
    <w:rsid w:val="00DF0774"/>
    <w:rsid w:val="00F26944"/>
    <w:rsid w:val="00F46B02"/>
    <w:rsid w:val="00F9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26614"/>
  <w15:chartTrackingRefBased/>
  <w15:docId w15:val="{23277D6A-82AD-4975-B842-50240AE7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78D1"/>
    <w:pPr>
      <w:spacing w:after="200" w:line="276" w:lineRule="auto"/>
    </w:pPr>
    <w:rPr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4">
    <w:name w:val="Light Shading14"/>
    <w:basedOn w:val="TableNormal"/>
    <w:next w:val="LightShading"/>
    <w:uiPriority w:val="60"/>
    <w:rsid w:val="002978D1"/>
    <w:pPr>
      <w:spacing w:after="0" w:line="240" w:lineRule="auto"/>
    </w:pPr>
    <w:rPr>
      <w:rFonts w:eastAsia="Times New Roman" w:cs="Mangal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Mang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Mang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Mangal"/>
        <w:b/>
        <w:bCs/>
      </w:rPr>
    </w:tblStylePr>
    <w:tblStylePr w:type="lastCol">
      <w:rPr>
        <w:rFonts w:cs="Mangal"/>
        <w:b/>
        <w:bCs/>
      </w:rPr>
    </w:tblStylePr>
    <w:tblStylePr w:type="band1Vert">
      <w:rPr>
        <w:rFonts w:cs="Mang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Mang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">
    <w:name w:val="1"/>
    <w:basedOn w:val="TableNormal"/>
    <w:rsid w:val="002978D1"/>
    <w:pPr>
      <w:spacing w:after="0" w:line="240" w:lineRule="auto"/>
      <w:ind w:left="90"/>
    </w:pPr>
    <w:rPr>
      <w:rFonts w:ascii="Times New Roman" w:eastAsia="Times New Roman" w:hAnsi="Times New Roman" w:cs="Times New Roman"/>
      <w:sz w:val="20"/>
      <w:szCs w:val="20"/>
      <w:vertAlign w:val="superscript"/>
      <w:lang w:val="en-GB"/>
    </w:rPr>
    <w:tblPr>
      <w:tblStyleRowBandSize w:val="1"/>
      <w:tblStyleColBandSize w:val="1"/>
      <w:tblCellMar>
        <w:left w:w="43" w:type="dxa"/>
        <w:right w:w="43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978D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">
    <w:name w:val="EndNote Bibliography"/>
    <w:basedOn w:val="Normal"/>
    <w:link w:val="EndNoteBibliographyChar"/>
    <w:rsid w:val="002978D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978D1"/>
    <w:rPr>
      <w:rFonts w:ascii="Calibri" w:hAnsi="Calibri" w:cs="Calibri"/>
      <w:noProof/>
      <w:lang w:val="en-US" w:bidi="en-US"/>
    </w:rPr>
  </w:style>
  <w:style w:type="paragraph" w:styleId="ListParagraph">
    <w:name w:val="List Paragraph"/>
    <w:basedOn w:val="Normal"/>
    <w:uiPriority w:val="34"/>
    <w:qFormat/>
    <w:rsid w:val="00BA41CB"/>
    <w:pPr>
      <w:ind w:left="720"/>
      <w:contextualSpacing/>
    </w:pPr>
  </w:style>
  <w:style w:type="table" w:customStyle="1" w:styleId="LightShading3">
    <w:name w:val="Light Shading3"/>
    <w:basedOn w:val="TableNormal"/>
    <w:uiPriority w:val="60"/>
    <w:rsid w:val="00DB0686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91D-1A43-47F0-8B6B-5ECEB1D2D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K</dc:creator>
  <cp:keywords/>
  <dc:description/>
  <cp:lastModifiedBy>Priyanka K</cp:lastModifiedBy>
  <cp:revision>19</cp:revision>
  <dcterms:created xsi:type="dcterms:W3CDTF">2023-06-06T13:00:00Z</dcterms:created>
  <dcterms:modified xsi:type="dcterms:W3CDTF">2023-10-21T14:07:00Z</dcterms:modified>
</cp:coreProperties>
</file>