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F0671" w14:textId="77777777" w:rsidR="00F45C09" w:rsidRPr="00ED464E" w:rsidRDefault="00F45C09" w:rsidP="00521C7C">
      <w:pPr>
        <w:spacing w:line="240" w:lineRule="auto"/>
        <w:jc w:val="center"/>
        <w:rPr>
          <w:bCs/>
          <w:sz w:val="32"/>
          <w:szCs w:val="32"/>
        </w:rPr>
      </w:pPr>
      <w:bookmarkStart w:id="0" w:name="_Hlk148521007"/>
      <w:bookmarkEnd w:id="0"/>
      <w:r w:rsidRPr="00ED464E">
        <w:rPr>
          <w:bCs/>
          <w:sz w:val="32"/>
          <w:szCs w:val="32"/>
        </w:rPr>
        <w:t>Methods</w:t>
      </w:r>
    </w:p>
    <w:p w14:paraId="1E868C0C" w14:textId="77777777" w:rsidR="00ED464E" w:rsidRDefault="00ED464E" w:rsidP="00521C7C">
      <w:pPr>
        <w:pBdr>
          <w:top w:val="nil"/>
          <w:left w:val="nil"/>
          <w:bottom w:val="nil"/>
          <w:right w:val="nil"/>
          <w:between w:val="nil"/>
        </w:pBdr>
        <w:spacing w:before="120" w:after="360" w:line="240" w:lineRule="auto"/>
        <w:jc w:val="center"/>
      </w:pPr>
      <w:bookmarkStart w:id="1" w:name="_Hlk148520177"/>
      <w:r w:rsidRPr="007724A0">
        <w:rPr>
          <w:b/>
          <w:sz w:val="28"/>
          <w:szCs w:val="28"/>
        </w:rPr>
        <w:t>Mechanistic Understanding of Speciated Oxide Growth in High Entropy Alloys</w:t>
      </w:r>
      <w:bookmarkEnd w:id="1"/>
      <w:r w:rsidRPr="00C85C34">
        <w:t xml:space="preserve"> </w:t>
      </w:r>
    </w:p>
    <w:p w14:paraId="499F22AF" w14:textId="77777777" w:rsidR="00236E56" w:rsidRDefault="00236E56" w:rsidP="00ED464E">
      <w:pPr>
        <w:spacing w:after="0"/>
        <w:rPr>
          <w:rFonts w:asciiTheme="minorHAnsi" w:hAnsiTheme="minorHAnsi" w:cstheme="minorHAnsi"/>
        </w:rPr>
      </w:pPr>
      <w:r w:rsidRPr="00794C85">
        <w:rPr>
          <w:rFonts w:asciiTheme="minorHAnsi" w:hAnsiTheme="minorHAnsi" w:cstheme="minorHAnsi"/>
        </w:rPr>
        <w:t>Bharat Gwalani</w:t>
      </w:r>
      <w:r w:rsidRPr="00CD6EBD">
        <w:rPr>
          <w:rFonts w:asciiTheme="minorHAnsi" w:hAnsiTheme="minorHAnsi" w:cstheme="minorHAnsi"/>
          <w:vertAlign w:val="superscript"/>
        </w:rPr>
        <w:t>1,2</w:t>
      </w:r>
      <w:r w:rsidRPr="00794C85">
        <w:rPr>
          <w:rFonts w:asciiTheme="minorHAnsi" w:hAnsiTheme="minorHAnsi" w:cstheme="minorHAnsi"/>
        </w:rPr>
        <w:t>*, Andrew Martin</w:t>
      </w:r>
      <w:r w:rsidRPr="00CD6EBD">
        <w:rPr>
          <w:rFonts w:asciiTheme="minorHAnsi" w:hAnsiTheme="minorHAnsi" w:cstheme="minorHAnsi"/>
          <w:vertAlign w:val="superscript"/>
        </w:rPr>
        <w:t>2</w:t>
      </w:r>
      <w:r w:rsidRPr="00794C85">
        <w:rPr>
          <w:rFonts w:asciiTheme="minorHAnsi" w:hAnsiTheme="minorHAnsi" w:cstheme="minorHAnsi"/>
        </w:rPr>
        <w:t>, Elizabeth Kautz</w:t>
      </w:r>
      <w:r w:rsidRPr="00CD6EBD">
        <w:rPr>
          <w:rFonts w:asciiTheme="minorHAnsi" w:hAnsiTheme="minorHAnsi" w:cstheme="minorHAnsi"/>
          <w:vertAlign w:val="superscript"/>
        </w:rPr>
        <w:t>3,</w:t>
      </w:r>
      <w:r>
        <w:rPr>
          <w:rFonts w:asciiTheme="minorHAnsi" w:hAnsiTheme="minorHAnsi" w:cstheme="minorHAnsi"/>
          <w:vertAlign w:val="superscript"/>
        </w:rPr>
        <w:t>4</w:t>
      </w:r>
      <w:r w:rsidRPr="00794C85">
        <w:rPr>
          <w:rFonts w:asciiTheme="minorHAnsi" w:hAnsiTheme="minorHAnsi" w:cstheme="minorHAnsi"/>
        </w:rPr>
        <w:t xml:space="preserve"> S.V. Lambeets</w:t>
      </w:r>
      <w:r w:rsidRPr="00CD6EBD">
        <w:rPr>
          <w:rFonts w:asciiTheme="minorHAnsi" w:hAnsiTheme="minorHAnsi" w:cstheme="minorHAnsi"/>
          <w:vertAlign w:val="superscript"/>
        </w:rPr>
        <w:t>1</w:t>
      </w:r>
      <w:r w:rsidRPr="00794C85">
        <w:rPr>
          <w:rFonts w:asciiTheme="minorHAnsi" w:hAnsiTheme="minorHAnsi" w:cstheme="minorHAnsi"/>
        </w:rPr>
        <w:t>, Matthew Olszta</w:t>
      </w:r>
      <w:r w:rsidRPr="00CD6EBD">
        <w:rPr>
          <w:rFonts w:asciiTheme="minorHAnsi" w:hAnsiTheme="minorHAnsi" w:cstheme="minorHAnsi"/>
          <w:vertAlign w:val="superscript"/>
        </w:rPr>
        <w:t>3</w:t>
      </w:r>
      <w:r w:rsidRPr="00794C85">
        <w:rPr>
          <w:rFonts w:asciiTheme="minorHAnsi" w:hAnsiTheme="minorHAnsi" w:cstheme="minorHAnsi"/>
        </w:rPr>
        <w:t>, Anil Krishna Battu</w:t>
      </w:r>
      <w:r>
        <w:rPr>
          <w:rFonts w:asciiTheme="minorHAnsi" w:hAnsiTheme="minorHAnsi" w:cstheme="minorHAnsi"/>
          <w:vertAlign w:val="superscript"/>
        </w:rPr>
        <w:t>5</w:t>
      </w:r>
      <w:r w:rsidRPr="00794C85">
        <w:rPr>
          <w:rFonts w:asciiTheme="minorHAnsi" w:hAnsiTheme="minorHAnsi" w:cstheme="minorHAnsi"/>
        </w:rPr>
        <w:t>, Aniruddha Malakar</w:t>
      </w:r>
      <w:r w:rsidRPr="00CD6EBD">
        <w:rPr>
          <w:rFonts w:asciiTheme="minorHAnsi" w:hAnsiTheme="minorHAnsi" w:cstheme="minorHAnsi"/>
          <w:vertAlign w:val="superscript"/>
        </w:rPr>
        <w:t>1</w:t>
      </w:r>
      <w:r w:rsidRPr="00794C85">
        <w:rPr>
          <w:rFonts w:asciiTheme="minorHAnsi" w:hAnsiTheme="minorHAnsi" w:cstheme="minorHAnsi"/>
        </w:rPr>
        <w:t xml:space="preserve"> </w:t>
      </w:r>
      <w:proofErr w:type="spellStart"/>
      <w:r w:rsidRPr="00794C85">
        <w:rPr>
          <w:rFonts w:asciiTheme="minorHAnsi" w:hAnsiTheme="minorHAnsi" w:cstheme="minorHAnsi"/>
        </w:rPr>
        <w:t>Feipeng</w:t>
      </w:r>
      <w:proofErr w:type="spellEnd"/>
      <w:r w:rsidRPr="00794C85">
        <w:rPr>
          <w:rFonts w:asciiTheme="minorHAnsi" w:hAnsiTheme="minorHAnsi" w:cstheme="minorHAnsi"/>
        </w:rPr>
        <w:t xml:space="preserve"> Yang</w:t>
      </w:r>
      <w:r>
        <w:rPr>
          <w:rFonts w:asciiTheme="minorHAnsi" w:hAnsiTheme="minorHAnsi" w:cstheme="minorHAnsi"/>
          <w:vertAlign w:val="superscript"/>
        </w:rPr>
        <w:t>6</w:t>
      </w:r>
      <w:r w:rsidRPr="00794C85">
        <w:rPr>
          <w:rFonts w:asciiTheme="minorHAnsi" w:hAnsiTheme="minorHAnsi" w:cstheme="minorHAnsi"/>
        </w:rPr>
        <w:t xml:space="preserve"> Jinghua Gua</w:t>
      </w:r>
      <w:r>
        <w:rPr>
          <w:rFonts w:asciiTheme="minorHAnsi" w:hAnsiTheme="minorHAnsi" w:cstheme="minorHAnsi"/>
          <w:vertAlign w:val="superscript"/>
        </w:rPr>
        <w:t>6</w:t>
      </w:r>
      <w:r w:rsidRPr="00794C85">
        <w:rPr>
          <w:rFonts w:asciiTheme="minorHAnsi" w:hAnsiTheme="minorHAnsi" w:cstheme="minorHAnsi"/>
        </w:rPr>
        <w:t xml:space="preserve">, </w:t>
      </w:r>
      <w:proofErr w:type="spellStart"/>
      <w:r w:rsidRPr="00794C85">
        <w:rPr>
          <w:rFonts w:asciiTheme="minorHAnsi" w:hAnsiTheme="minorHAnsi" w:cstheme="minorHAnsi"/>
        </w:rPr>
        <w:t>Thevuthasan</w:t>
      </w:r>
      <w:proofErr w:type="spellEnd"/>
      <w:r w:rsidRPr="00794C85">
        <w:rPr>
          <w:rFonts w:asciiTheme="minorHAnsi" w:hAnsiTheme="minorHAnsi" w:cstheme="minorHAnsi"/>
        </w:rPr>
        <w:t xml:space="preserve"> Suntharampillai</w:t>
      </w:r>
      <w:r w:rsidRPr="00CD6EBD">
        <w:rPr>
          <w:rFonts w:asciiTheme="minorHAnsi" w:hAnsiTheme="minorHAnsi" w:cstheme="minorHAnsi"/>
          <w:vertAlign w:val="superscript"/>
        </w:rPr>
        <w:t>1</w:t>
      </w:r>
      <w:r w:rsidRPr="00794C85">
        <w:rPr>
          <w:rFonts w:asciiTheme="minorHAnsi" w:hAnsiTheme="minorHAnsi" w:cstheme="minorHAnsi"/>
        </w:rPr>
        <w:t>, Martin Thuo</w:t>
      </w:r>
      <w:r w:rsidRPr="00CD6EBD">
        <w:rPr>
          <w:rFonts w:asciiTheme="minorHAnsi" w:hAnsiTheme="minorHAnsi" w:cstheme="minorHAnsi"/>
          <w:vertAlign w:val="superscript"/>
        </w:rPr>
        <w:t>2</w:t>
      </w:r>
      <w:r w:rsidRPr="00794C85">
        <w:rPr>
          <w:rFonts w:asciiTheme="minorHAnsi" w:hAnsiTheme="minorHAnsi" w:cstheme="minorHAnsi"/>
        </w:rPr>
        <w:t>, Arun Devaraj</w:t>
      </w:r>
      <w:r w:rsidRPr="00CD6EBD">
        <w:rPr>
          <w:rFonts w:asciiTheme="minorHAnsi" w:hAnsiTheme="minorHAnsi" w:cstheme="minorHAnsi"/>
          <w:vertAlign w:val="superscript"/>
        </w:rPr>
        <w:t>1</w:t>
      </w:r>
      <w:r w:rsidRPr="00794C85">
        <w:rPr>
          <w:rFonts w:asciiTheme="minorHAnsi" w:hAnsiTheme="minorHAnsi" w:cstheme="minorHAnsi"/>
        </w:rPr>
        <w:t>*</w:t>
      </w:r>
    </w:p>
    <w:p w14:paraId="6F3A5583" w14:textId="77777777" w:rsidR="00236E56" w:rsidRDefault="00236E56" w:rsidP="00ED464E">
      <w:pPr>
        <w:spacing w:after="0"/>
        <w:rPr>
          <w:rFonts w:asciiTheme="minorHAnsi" w:hAnsiTheme="minorHAnsi" w:cstheme="minorHAnsi"/>
        </w:rPr>
      </w:pPr>
    </w:p>
    <w:p w14:paraId="76216145" w14:textId="77777777" w:rsidR="00FB0C6D" w:rsidRPr="00FB0C6D" w:rsidRDefault="00FB0C6D" w:rsidP="00FB0C6D">
      <w:pPr>
        <w:pBdr>
          <w:top w:val="nil"/>
          <w:left w:val="nil"/>
          <w:bottom w:val="nil"/>
          <w:right w:val="nil"/>
          <w:between w:val="nil"/>
        </w:pBdr>
        <w:spacing w:after="0"/>
        <w:rPr>
          <w:sz w:val="20"/>
          <w:szCs w:val="20"/>
        </w:rPr>
      </w:pPr>
      <w:r w:rsidRPr="00FB0C6D">
        <w:rPr>
          <w:sz w:val="20"/>
          <w:szCs w:val="20"/>
        </w:rPr>
        <w:t>1Physical &amp; Computational Sciences Directorate, Pacific Northwest National Laboratory, Richland, WA 99352 USA</w:t>
      </w:r>
    </w:p>
    <w:p w14:paraId="799D7971" w14:textId="77777777" w:rsidR="00FB0C6D" w:rsidRPr="00FB0C6D" w:rsidRDefault="00FB0C6D" w:rsidP="00FB0C6D">
      <w:pPr>
        <w:pBdr>
          <w:top w:val="nil"/>
          <w:left w:val="nil"/>
          <w:bottom w:val="nil"/>
          <w:right w:val="nil"/>
          <w:between w:val="nil"/>
        </w:pBdr>
        <w:spacing w:after="0"/>
        <w:rPr>
          <w:sz w:val="20"/>
          <w:szCs w:val="20"/>
        </w:rPr>
      </w:pPr>
      <w:r w:rsidRPr="00FB0C6D">
        <w:rPr>
          <w:sz w:val="20"/>
          <w:szCs w:val="20"/>
        </w:rPr>
        <w:t>2North Carolina State University, Department of Materials Science and Engineering. Raleigh, NC 27695. USA</w:t>
      </w:r>
    </w:p>
    <w:p w14:paraId="2948DB1D" w14:textId="77777777" w:rsidR="00FB0C6D" w:rsidRPr="00FB0C6D" w:rsidRDefault="00FB0C6D" w:rsidP="00FB0C6D">
      <w:pPr>
        <w:pBdr>
          <w:top w:val="nil"/>
          <w:left w:val="nil"/>
          <w:bottom w:val="nil"/>
          <w:right w:val="nil"/>
          <w:between w:val="nil"/>
        </w:pBdr>
        <w:spacing w:after="0"/>
        <w:rPr>
          <w:sz w:val="20"/>
          <w:szCs w:val="20"/>
        </w:rPr>
      </w:pPr>
      <w:r w:rsidRPr="00FB0C6D">
        <w:rPr>
          <w:sz w:val="20"/>
          <w:szCs w:val="20"/>
        </w:rPr>
        <w:t>3Energy and Environment Directorate, Pacific Northwest National Laboratory, Richland, WA 99352 USA</w:t>
      </w:r>
    </w:p>
    <w:p w14:paraId="6B0AB323" w14:textId="77777777" w:rsidR="00FB0C6D" w:rsidRPr="00FB0C6D" w:rsidRDefault="00FB0C6D" w:rsidP="00FB0C6D">
      <w:pPr>
        <w:pBdr>
          <w:top w:val="nil"/>
          <w:left w:val="nil"/>
          <w:bottom w:val="nil"/>
          <w:right w:val="nil"/>
          <w:between w:val="nil"/>
        </w:pBdr>
        <w:spacing w:after="0"/>
        <w:rPr>
          <w:sz w:val="20"/>
          <w:szCs w:val="20"/>
        </w:rPr>
      </w:pPr>
      <w:r w:rsidRPr="00FB0C6D">
        <w:rPr>
          <w:sz w:val="20"/>
          <w:szCs w:val="20"/>
        </w:rPr>
        <w:t>4North Carolina State University, Department of Nuclear Engineering. Raleigh, NC 27695. USA</w:t>
      </w:r>
    </w:p>
    <w:p w14:paraId="14872A1F" w14:textId="77777777" w:rsidR="00FB0C6D" w:rsidRPr="00FB0C6D" w:rsidRDefault="00FB0C6D" w:rsidP="00FB0C6D">
      <w:pPr>
        <w:pBdr>
          <w:top w:val="nil"/>
          <w:left w:val="nil"/>
          <w:bottom w:val="nil"/>
          <w:right w:val="nil"/>
          <w:between w:val="nil"/>
        </w:pBdr>
        <w:spacing w:after="0"/>
        <w:rPr>
          <w:sz w:val="20"/>
          <w:szCs w:val="20"/>
        </w:rPr>
      </w:pPr>
      <w:r w:rsidRPr="00FB0C6D">
        <w:rPr>
          <w:sz w:val="20"/>
          <w:szCs w:val="20"/>
        </w:rPr>
        <w:t>5Earth and Biological Sciences Directorate, Pacific Northwest National Laboratory, Richland, WA 99352 USA</w:t>
      </w:r>
    </w:p>
    <w:p w14:paraId="7B3DBD92" w14:textId="2067AA06" w:rsidR="00FB0C6D" w:rsidRDefault="00FB0C6D" w:rsidP="00FB0C6D">
      <w:pPr>
        <w:pBdr>
          <w:top w:val="nil"/>
          <w:left w:val="nil"/>
          <w:bottom w:val="nil"/>
          <w:right w:val="nil"/>
          <w:between w:val="nil"/>
        </w:pBdr>
        <w:spacing w:after="0"/>
        <w:rPr>
          <w:sz w:val="20"/>
          <w:szCs w:val="20"/>
        </w:rPr>
      </w:pPr>
      <w:r w:rsidRPr="00FB0C6D">
        <w:rPr>
          <w:sz w:val="20"/>
          <w:szCs w:val="20"/>
        </w:rPr>
        <w:t>6Advanced Light Source, Lawrence Berkeley National Laboratory, Berkeley, CA, USA</w:t>
      </w:r>
    </w:p>
    <w:p w14:paraId="75843282" w14:textId="16FA51D4" w:rsidR="00ED464E" w:rsidRDefault="00FB0C6D" w:rsidP="00ED464E">
      <w:pPr>
        <w:pBdr>
          <w:top w:val="nil"/>
          <w:left w:val="nil"/>
          <w:bottom w:val="nil"/>
          <w:right w:val="nil"/>
          <w:between w:val="nil"/>
        </w:pBdr>
        <w:rPr>
          <w:sz w:val="20"/>
          <w:szCs w:val="20"/>
        </w:rPr>
      </w:pPr>
      <w:r w:rsidRPr="00C85C34">
        <w:rPr>
          <w:b/>
          <w:noProof/>
        </w:rPr>
        <w:drawing>
          <wp:anchor distT="0" distB="0" distL="114300" distR="114300" simplePos="0" relativeHeight="251663360" behindDoc="0" locked="0" layoutInCell="1" allowOverlap="1" wp14:anchorId="2D330987" wp14:editId="1C21FA40">
            <wp:simplePos x="0" y="0"/>
            <wp:positionH relativeFrom="margin">
              <wp:align>right</wp:align>
            </wp:positionH>
            <wp:positionV relativeFrom="paragraph">
              <wp:posOffset>289560</wp:posOffset>
            </wp:positionV>
            <wp:extent cx="5943600" cy="3039110"/>
            <wp:effectExtent l="0" t="0" r="0" b="0"/>
            <wp:wrapSquare wrapText="bothSides"/>
            <wp:docPr id="1527098042" name="Picture 3" descr="A diagram of a nuclear reac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098042" name="Picture 3" descr="A diagram of a nuclear reactor&#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039110"/>
                    </a:xfrm>
                    <a:prstGeom prst="rect">
                      <a:avLst/>
                    </a:prstGeom>
                    <a:noFill/>
                  </pic:spPr>
                </pic:pic>
              </a:graphicData>
            </a:graphic>
          </wp:anchor>
        </w:drawing>
      </w:r>
      <w:r w:rsidR="00ED464E">
        <w:rPr>
          <w:sz w:val="20"/>
          <w:szCs w:val="20"/>
        </w:rPr>
        <w:t xml:space="preserve">*Corresponding author emails: bgwalan@ncsu.edu, </w:t>
      </w:r>
      <w:hyperlink r:id="rId7" w:history="1">
        <w:r w:rsidR="00ED464E" w:rsidRPr="00F03CEE">
          <w:rPr>
            <w:rStyle w:val="Hyperlink"/>
            <w:sz w:val="20"/>
            <w:szCs w:val="20"/>
          </w:rPr>
          <w:t>arun.devaraj@pnnl.gov</w:t>
        </w:r>
      </w:hyperlink>
    </w:p>
    <w:p w14:paraId="0F775385" w14:textId="1B6CF2CD" w:rsidR="00ED464E" w:rsidRDefault="00ED464E" w:rsidP="00ED464E">
      <w:pPr>
        <w:pBdr>
          <w:top w:val="nil"/>
          <w:left w:val="nil"/>
          <w:bottom w:val="nil"/>
          <w:right w:val="nil"/>
          <w:between w:val="nil"/>
        </w:pBdr>
        <w:rPr>
          <w:sz w:val="20"/>
          <w:szCs w:val="20"/>
        </w:rPr>
      </w:pPr>
    </w:p>
    <w:p w14:paraId="7AB222BC" w14:textId="6C64FB74" w:rsidR="00ED464E" w:rsidRPr="00C85C34" w:rsidRDefault="00ED464E" w:rsidP="00ED464E">
      <w:pPr>
        <w:spacing w:line="240" w:lineRule="auto"/>
        <w:jc w:val="both"/>
        <w:rPr>
          <w:bCs/>
        </w:rPr>
      </w:pPr>
      <w:r w:rsidRPr="00ED464E">
        <w:rPr>
          <w:b/>
          <w:bCs/>
          <w:sz w:val="20"/>
          <w:szCs w:val="20"/>
        </w:rPr>
        <w:t>F</w:t>
      </w:r>
      <w:r w:rsidRPr="00ED464E">
        <w:rPr>
          <w:b/>
          <w:bCs/>
        </w:rPr>
        <w:t>ig</w:t>
      </w:r>
      <w:r w:rsidRPr="00C85C34">
        <w:rPr>
          <w:b/>
        </w:rPr>
        <w:t xml:space="preserve">ure M1: </w:t>
      </w:r>
      <w:r w:rsidRPr="00C85C34">
        <w:rPr>
          <w:bCs/>
        </w:rPr>
        <w:t>Coupled Ex Situ and In Situ Characterization of Oxide Film Formation on HEA Surface</w:t>
      </w:r>
      <w:r>
        <w:rPr>
          <w:bCs/>
        </w:rPr>
        <w:t>s</w:t>
      </w:r>
      <w:r w:rsidRPr="00C85C34">
        <w:rPr>
          <w:bCs/>
        </w:rPr>
        <w:t>: Illustrative Procedure. The process involves the oxidation of a bulk sample in the form of a flat specimen for ex situ TEM and XANES analys</w:t>
      </w:r>
      <w:r>
        <w:rPr>
          <w:bCs/>
        </w:rPr>
        <w:t>e</w:t>
      </w:r>
      <w:r w:rsidRPr="00C85C34">
        <w:rPr>
          <w:bCs/>
        </w:rPr>
        <w:t xml:space="preserve">s, as well as </w:t>
      </w:r>
      <w:r>
        <w:rPr>
          <w:bCs/>
        </w:rPr>
        <w:t>preparing</w:t>
      </w:r>
      <w:r w:rsidRPr="00C85C34">
        <w:rPr>
          <w:bCs/>
        </w:rPr>
        <w:t xml:space="preserve"> APT needles for in situ investigations. </w:t>
      </w:r>
      <w:r>
        <w:rPr>
          <w:bCs/>
        </w:rPr>
        <w:t>All o</w:t>
      </w:r>
      <w:r w:rsidRPr="00C85C34">
        <w:rPr>
          <w:bCs/>
        </w:rPr>
        <w:t xml:space="preserve">xidation experiments were conducted within the same </w:t>
      </w:r>
      <w:r>
        <w:rPr>
          <w:bCs/>
        </w:rPr>
        <w:t>chemical</w:t>
      </w:r>
      <w:r w:rsidRPr="00C85C34">
        <w:rPr>
          <w:bCs/>
        </w:rPr>
        <w:t xml:space="preserve"> reactor chamber environment.</w:t>
      </w:r>
    </w:p>
    <w:p w14:paraId="1EEB7425" w14:textId="77777777" w:rsidR="00ED464E" w:rsidRPr="00ED464E" w:rsidRDefault="00ED464E" w:rsidP="00ED464E">
      <w:pPr>
        <w:spacing w:after="0" w:line="240" w:lineRule="auto"/>
        <w:rPr>
          <w:b/>
          <w:iCs/>
        </w:rPr>
      </w:pPr>
      <w:r w:rsidRPr="00ED464E">
        <w:rPr>
          <w:b/>
          <w:iCs/>
        </w:rPr>
        <w:t>Materials and Experimental Approach</w:t>
      </w:r>
    </w:p>
    <w:p w14:paraId="49D36E02" w14:textId="77777777" w:rsidR="00ED464E" w:rsidRDefault="00ED464E" w:rsidP="00ED464E">
      <w:pPr>
        <w:spacing w:after="0" w:line="240" w:lineRule="auto"/>
      </w:pPr>
      <w:r>
        <w:t>The two alloy compositions (</w:t>
      </w:r>
      <w:proofErr w:type="spellStart"/>
      <w:r>
        <w:t>CoCrFeNiMn</w:t>
      </w:r>
      <w:proofErr w:type="spellEnd"/>
      <w:r>
        <w:t xml:space="preserve"> and </w:t>
      </w:r>
      <w:proofErr w:type="spellStart"/>
      <w:r>
        <w:t>CoCrFeNiMn+Al</w:t>
      </w:r>
      <w:proofErr w:type="spellEnd"/>
      <w:r>
        <w:t>) (measured in atomic ratios) were synthesized using arc melting and casting techniques. Afterward, a homogenization annealing process was carried out at 1200°C for a duration of 10 hours. The alloys were then cold rolled to a 50% reduction in the cross-sectional area. Subsequently, recrystallization was induced via annealing at 1100°C for 10 minutes, resulting in the formation of 3 mm thick sheets with refined microstructures. The alloy sheets were then precisely sectioned, mounted, and subjected to metallographic polishing.</w:t>
      </w:r>
    </w:p>
    <w:p w14:paraId="4F300FE7" w14:textId="77777777" w:rsidR="00ED464E" w:rsidRPr="00C85C34" w:rsidRDefault="00ED464E" w:rsidP="00ED464E">
      <w:pPr>
        <w:spacing w:after="0" w:line="240" w:lineRule="auto"/>
      </w:pPr>
    </w:p>
    <w:p w14:paraId="01DEEE35" w14:textId="77777777" w:rsidR="00ED464E" w:rsidRPr="00ED464E" w:rsidRDefault="00ED464E" w:rsidP="00ED464E">
      <w:pPr>
        <w:spacing w:after="0" w:line="240" w:lineRule="auto"/>
        <w:rPr>
          <w:b/>
          <w:bCs/>
        </w:rPr>
      </w:pPr>
      <w:r w:rsidRPr="00ED464E">
        <w:rPr>
          <w:b/>
          <w:bCs/>
        </w:rPr>
        <w:t>Microstructural Characterization of the Alloy Before Oxidation</w:t>
      </w:r>
    </w:p>
    <w:p w14:paraId="60652033" w14:textId="77777777" w:rsidR="00ED464E" w:rsidRDefault="00ED464E" w:rsidP="00ED464E">
      <w:pPr>
        <w:spacing w:after="0" w:line="240" w:lineRule="auto"/>
      </w:pPr>
      <w:r>
        <w:t xml:space="preserve">For the initial microstructural analysis of the alloys, an Oxford Symmetry electron backscatter diffraction (EBSD) detector was employed. This EBSD system was integrated into a </w:t>
      </w:r>
      <w:proofErr w:type="spellStart"/>
      <w:r>
        <w:t>ThermoFisher</w:t>
      </w:r>
      <w:proofErr w:type="spellEnd"/>
      <w:r>
        <w:t xml:space="preserve"> Scientific plasma-focused ion beam (PFIB). The obtained EBSD data were subsequently analyzed using the integrated </w:t>
      </w:r>
      <w:proofErr w:type="spellStart"/>
      <w:r>
        <w:t>AZtecHKL</w:t>
      </w:r>
      <w:proofErr w:type="spellEnd"/>
      <w:r>
        <w:t xml:space="preserve"> software.</w:t>
      </w:r>
    </w:p>
    <w:p w14:paraId="62B28C75" w14:textId="77777777" w:rsidR="00ED464E" w:rsidRDefault="00ED464E" w:rsidP="00ED464E">
      <w:pPr>
        <w:spacing w:after="0" w:line="240" w:lineRule="auto"/>
      </w:pPr>
    </w:p>
    <w:p w14:paraId="348BE1B8" w14:textId="790F801B" w:rsidR="00ED464E" w:rsidRPr="00C85C34" w:rsidRDefault="00ED464E" w:rsidP="00ED464E">
      <w:pPr>
        <w:spacing w:after="0" w:line="240" w:lineRule="auto"/>
        <w:rPr>
          <w:b/>
          <w:bCs/>
        </w:rPr>
      </w:pPr>
      <w:r w:rsidRPr="00C85C34">
        <w:rPr>
          <w:b/>
          <w:bCs/>
        </w:rPr>
        <w:t>Ex-situ Oxidation and Characterization</w:t>
      </w:r>
    </w:p>
    <w:p w14:paraId="755F3059" w14:textId="77777777" w:rsidR="00ED464E" w:rsidRDefault="00ED464E" w:rsidP="00ED464E">
      <w:pPr>
        <w:spacing w:after="0" w:line="240" w:lineRule="auto"/>
        <w:jc w:val="both"/>
      </w:pPr>
      <w:r>
        <w:t xml:space="preserve">Mirror-polished samples of the two alloys underwent oxidation within the chemical reactor chamber attached to the atom probe instrument. The flat specimens were securely held in place by a custom-made clip situated within the reactor chamber. </w:t>
      </w:r>
      <w:proofErr w:type="gramStart"/>
      <w:r>
        <w:t>In order to</w:t>
      </w:r>
      <w:proofErr w:type="gramEnd"/>
      <w:r>
        <w:t xml:space="preserve"> validate the oxide layer structures formed within the bulk samples, a metallographically polished bulk sample was subjected to an oxidation process at 10 mbar O</w:t>
      </w:r>
      <w:r w:rsidRPr="00AE5F79">
        <w:rPr>
          <w:vertAlign w:val="subscript"/>
        </w:rPr>
        <w:t>2</w:t>
      </w:r>
      <w:r>
        <w:t xml:space="preserve"> for a duration of 120 minutes at 400 °C. This procedure ensured consistency with the oxidation conditions applied to the in-situ samples. Subsequently, cross-sectional TEM samples were extracted from the oxidized surfaces using a site-specific focused ion beam (FIB) lift-out technique. The manuscript contains scanning transmission electron microscopy - energy dispersive spectroscopy (STEM-EDS) maps derived from the cross-sectional TEM sample of the bulk alloy oxidized for 120 minutes.</w:t>
      </w:r>
    </w:p>
    <w:p w14:paraId="5FCEC4BC" w14:textId="77777777" w:rsidR="00ED464E" w:rsidRPr="00ED464E" w:rsidRDefault="00ED464E" w:rsidP="00ED464E">
      <w:pPr>
        <w:spacing w:after="0" w:line="240" w:lineRule="auto"/>
        <w:jc w:val="both"/>
      </w:pPr>
    </w:p>
    <w:p w14:paraId="1A5E4A9F" w14:textId="77777777" w:rsidR="00ED464E" w:rsidRPr="00ED464E" w:rsidRDefault="00ED464E" w:rsidP="00ED464E">
      <w:pPr>
        <w:spacing w:after="0" w:line="240" w:lineRule="auto"/>
        <w:jc w:val="both"/>
        <w:rPr>
          <w:b/>
          <w:bCs/>
        </w:rPr>
      </w:pPr>
      <w:r w:rsidRPr="00ED464E">
        <w:rPr>
          <w:b/>
          <w:bCs/>
        </w:rPr>
        <w:t>Cross-Sectional STEM-EDS</w:t>
      </w:r>
    </w:p>
    <w:p w14:paraId="2E6185F0" w14:textId="77777777" w:rsidR="00ED464E" w:rsidRPr="00C85C34" w:rsidRDefault="00ED464E" w:rsidP="00ED464E">
      <w:pPr>
        <w:spacing w:after="0" w:line="240" w:lineRule="auto"/>
        <w:jc w:val="both"/>
      </w:pPr>
      <w:r w:rsidRPr="00C85C34">
        <w:t xml:space="preserve">TEM specimens were prepared using a </w:t>
      </w:r>
      <w:proofErr w:type="spellStart"/>
      <w:r w:rsidRPr="00C85C34">
        <w:t>Thermo</w:t>
      </w:r>
      <w:proofErr w:type="spellEnd"/>
      <w:r w:rsidRPr="00C85C34">
        <w:t xml:space="preserve"> Fisher Scientific Helios 5 Hydra </w:t>
      </w:r>
      <w:proofErr w:type="spellStart"/>
      <w:r w:rsidRPr="00C85C34">
        <w:t>DualBeam</w:t>
      </w:r>
      <w:proofErr w:type="spellEnd"/>
      <w:r w:rsidRPr="00C85C34">
        <w:t xml:space="preserve"> PFIB/SEM and an FEI Helios </w:t>
      </w:r>
      <w:proofErr w:type="spellStart"/>
      <w:r w:rsidRPr="00C85C34">
        <w:t>Nanolab</w:t>
      </w:r>
      <w:proofErr w:type="spellEnd"/>
      <w:r w:rsidRPr="00C85C34">
        <w:t xml:space="preserve"> FIB/SEM. STEM imaging and spectroscopy were performed using a </w:t>
      </w:r>
      <w:proofErr w:type="spellStart"/>
      <w:r w:rsidRPr="00C85C34">
        <w:t>Thermo</w:t>
      </w:r>
      <w:proofErr w:type="spellEnd"/>
      <w:r w:rsidRPr="00C85C34">
        <w:t xml:space="preserve"> Fisher Scientific Themis Z 60-300 S/TEM with an accelerating voltage of 300 kV and a convergence angle of 25 </w:t>
      </w:r>
      <w:proofErr w:type="spellStart"/>
      <w:r w:rsidRPr="00C85C34">
        <w:t>mrad</w:t>
      </w:r>
      <w:proofErr w:type="spellEnd"/>
      <w:r w:rsidRPr="00C85C34">
        <w:t xml:space="preserve">. The high-resolution HAADF STEM images were collected with an annular detection range of 51–200 </w:t>
      </w:r>
      <w:proofErr w:type="spellStart"/>
      <w:r w:rsidRPr="00C85C34">
        <w:t>mrad</w:t>
      </w:r>
      <w:proofErr w:type="spellEnd"/>
      <w:r w:rsidRPr="00C85C34">
        <w:t xml:space="preserve">. 25 frames of </w:t>
      </w:r>
      <w:r>
        <w:t xml:space="preserve">the </w:t>
      </w:r>
      <w:r w:rsidRPr="00C85C34">
        <w:t xml:space="preserve">image with </w:t>
      </w:r>
      <w:r>
        <w:t xml:space="preserve">a </w:t>
      </w:r>
      <w:r w:rsidRPr="00C85C34">
        <w:t xml:space="preserve">dwell time of 4 µs per pixel were </w:t>
      </w:r>
      <w:r>
        <w:t>post-processed</w:t>
      </w:r>
      <w:r w:rsidRPr="00C85C34">
        <w:t xml:space="preserve"> using a </w:t>
      </w:r>
      <w:r>
        <w:t>drift-corrected</w:t>
      </w:r>
      <w:r w:rsidRPr="00C85C34">
        <w:t xml:space="preserve"> frame integration method in Velox software to optimize the signal-to-noise </w:t>
      </w:r>
      <w:r>
        <w:t xml:space="preserve">ratio </w:t>
      </w:r>
      <w:r w:rsidRPr="00C85C34">
        <w:t>and contrast. EDS was collected to show the compositional map using Super-X G2 detector with a dwell time of 3 µs per pixel and 540 frames. EDS line profile was plotted perpendicular to metal–oxide interfaces and integrated over 50 pixels (3.5 nm).</w:t>
      </w:r>
      <w:r>
        <w:t xml:space="preserve"> A part of </w:t>
      </w:r>
      <w:r w:rsidRPr="00ED464E">
        <w:t>STEM</w:t>
      </w:r>
      <w:r>
        <w:t xml:space="preserve"> work was also</w:t>
      </w:r>
      <w:r w:rsidRPr="00ED464E">
        <w:t xml:space="preserve"> performed using an aberration (CS) corrected, JEOL ARM200CF operated at 200 keV equipped with a JEOL </w:t>
      </w:r>
      <w:proofErr w:type="spellStart"/>
      <w:r w:rsidRPr="00ED464E">
        <w:t>Centurio</w:t>
      </w:r>
      <w:proofErr w:type="spellEnd"/>
      <w:r w:rsidRPr="00ED464E">
        <w:t xml:space="preserve"> energy dispersive spectrometer (EDS) with a 0.9 </w:t>
      </w:r>
      <w:proofErr w:type="spellStart"/>
      <w:r w:rsidRPr="00ED464E">
        <w:t>sR</w:t>
      </w:r>
      <w:proofErr w:type="spellEnd"/>
      <w:r w:rsidRPr="00ED464E">
        <w:t xml:space="preserve"> collection angle. Annular dark-field (ADF) data were collected with a convergence angle of 20 </w:t>
      </w:r>
      <w:proofErr w:type="spellStart"/>
      <w:r w:rsidRPr="00ED464E">
        <w:t>mrad</w:t>
      </w:r>
      <w:proofErr w:type="spellEnd"/>
      <w:r w:rsidRPr="00ED464E">
        <w:t xml:space="preserve"> and a collection angle ranging from 79–294 </w:t>
      </w:r>
      <w:proofErr w:type="spellStart"/>
      <w:r w:rsidRPr="00ED464E">
        <w:t>mrad</w:t>
      </w:r>
      <w:proofErr w:type="spellEnd"/>
      <w:r w:rsidRPr="00ED464E">
        <w:t>. Digital imaging data collection was performed using Gatan Microscopy Suite (GMS) version 3.</w:t>
      </w:r>
    </w:p>
    <w:p w14:paraId="6E5C094C" w14:textId="77777777" w:rsidR="00ED464E" w:rsidRPr="00C85C34" w:rsidRDefault="00ED464E" w:rsidP="00ED464E">
      <w:pPr>
        <w:spacing w:after="0" w:line="240" w:lineRule="auto"/>
      </w:pPr>
    </w:p>
    <w:p w14:paraId="5BDDA2E4" w14:textId="77777777" w:rsidR="00ED464E" w:rsidRPr="00ED464E" w:rsidRDefault="00ED464E" w:rsidP="00ED464E">
      <w:pPr>
        <w:spacing w:after="0" w:line="240" w:lineRule="auto"/>
        <w:rPr>
          <w:iCs/>
        </w:rPr>
      </w:pPr>
      <w:r w:rsidRPr="00ED464E">
        <w:rPr>
          <w:b/>
          <w:iCs/>
        </w:rPr>
        <w:t>Atom probe tomography</w:t>
      </w:r>
    </w:p>
    <w:p w14:paraId="60BEEF73" w14:textId="77777777" w:rsidR="00ED464E" w:rsidRDefault="00ED464E" w:rsidP="00ED464E">
      <w:pPr>
        <w:spacing w:after="0" w:line="240" w:lineRule="auto"/>
        <w:jc w:val="both"/>
      </w:pPr>
      <w:r>
        <w:t xml:space="preserve">APT sample preparation was executed using an FEI Helios dual-beam focused ion beam-scanning electron microscope (FIB-SEM). The process began with the deposition of a protective Pt capping layer, serving to shield the material from Ga ion-induced damage during FIB milling. A cantilever was extracted from the base alloy, and segments of it were affixed onto a commercial Si </w:t>
      </w:r>
      <w:proofErr w:type="spellStart"/>
      <w:r>
        <w:t>micropost</w:t>
      </w:r>
      <w:proofErr w:type="spellEnd"/>
      <w:r>
        <w:t xml:space="preserve"> array. These segments were then shaped into APT needle specimens. </w:t>
      </w:r>
    </w:p>
    <w:p w14:paraId="17F4FAD4" w14:textId="77777777" w:rsidR="00ED464E" w:rsidRDefault="00ED464E" w:rsidP="00ED464E">
      <w:pPr>
        <w:spacing w:after="0" w:line="240" w:lineRule="auto"/>
        <w:jc w:val="both"/>
      </w:pPr>
      <w:r>
        <w:t>The in situ APT experimental methodology encompasses several steps</w:t>
      </w:r>
      <w:r>
        <w:fldChar w:fldCharType="begin"/>
      </w:r>
      <w:r>
        <w:instrText xml:space="preserve"> ADDIN EN.CITE &lt;EndNote&gt;&lt;Cite&gt;&lt;Author&gt;Kautz&lt;/Author&gt;&lt;Year&gt;2020&lt;/Year&gt;&lt;RecNum&gt;16&lt;/RecNum&gt;&lt;DisplayText&gt;&lt;style face="superscript"&gt;1&lt;/style&gt;&lt;/DisplayText&gt;&lt;record&gt;&lt;rec-number&gt;16&lt;/rec-number&gt;&lt;foreign-keys&gt;&lt;key app="EN" db-id="etr2sfpx8wss2cesrervwe0o2epfzf2tdwva" timestamp="1697643239"&gt;16&lt;/key&gt;&lt;/foreign-keys&gt;&lt;ref-type name="Journal Article"&gt;17&lt;/ref-type&gt;&lt;contributors&gt;&lt;authors&gt;&lt;author&gt;Kautz, Elizabeth J&lt;/author&gt;&lt;author&gt;Gwalani, Bharat&lt;/author&gt;&lt;author&gt;Lambeets, Sten VM&lt;/author&gt;&lt;author&gt;Kovarik, Libor&lt;/author&gt;&lt;author&gt;Schreiber, Daniel K&lt;/author&gt;&lt;author&gt;Perea, Daniel E&lt;/author&gt;&lt;author&gt;Senor, David&lt;/author&gt;&lt;author&gt;Liu, Yi-Sheng&lt;/author&gt;&lt;author&gt;Battu, Anil K&lt;/author&gt;&lt;author&gt;Tseng, Kuo-Pin&lt;/author&gt;&lt;/authors&gt;&lt;/contributors&gt;&lt;titles&gt;&lt;title&gt;Rapid assessment of structural and compositional changes during early stages of zirconium alloy oxidation&lt;/title&gt;&lt;secondary-title&gt;npj Materials Degradation&lt;/secondary-title&gt;&lt;/titles&gt;&lt;periodical&gt;&lt;full-title&gt;npj Materials Degradation&lt;/full-title&gt;&lt;/periodical&gt;&lt;pages&gt;29&lt;/pages&gt;&lt;volume&gt;4&lt;/volume&gt;&lt;number&gt;1&lt;/number&gt;&lt;dates&gt;&lt;year&gt;2020&lt;/year&gt;&lt;/dates&gt;&lt;isbn&gt;2397-2106&lt;/isbn&gt;&lt;urls&gt;&lt;/urls&gt;&lt;/record&gt;&lt;/Cite&gt;&lt;/EndNote&gt;</w:instrText>
      </w:r>
      <w:r>
        <w:fldChar w:fldCharType="separate"/>
      </w:r>
      <w:r w:rsidRPr="00ED464E">
        <w:rPr>
          <w:noProof/>
          <w:vertAlign w:val="superscript"/>
        </w:rPr>
        <w:t>1</w:t>
      </w:r>
      <w:r>
        <w:fldChar w:fldCharType="end"/>
      </w:r>
      <w:r>
        <w:t>. Initially, native oxide layers are analyzed and removed via APT field evaporation. Subsequently, the specimens are transferred under ultra-high vacuum (UHV) conditions ranging from 10</w:t>
      </w:r>
      <w:r w:rsidRPr="00521C7C">
        <w:rPr>
          <w:vertAlign w:val="superscript"/>
        </w:rPr>
        <w:t>−7</w:t>
      </w:r>
      <w:r>
        <w:t xml:space="preserve"> to 10</w:t>
      </w:r>
      <w:r w:rsidRPr="00521C7C">
        <w:rPr>
          <w:vertAlign w:val="superscript"/>
        </w:rPr>
        <w:t>−8</w:t>
      </w:r>
      <w:r>
        <w:t xml:space="preserve"> mbar to a gas-phase chemical reactor chamber preheated to the designated temperature of 400 °C. Within this chamber, the specimens are exposed to O</w:t>
      </w:r>
      <w:r w:rsidRPr="00521C7C">
        <w:rPr>
          <w:vertAlign w:val="subscript"/>
        </w:rPr>
        <w:t>2</w:t>
      </w:r>
      <w:r>
        <w:t xml:space="preserve"> gas (99.993% purity) at 10 mbar for select time steps. Following the oxidation exposure, the APT specimens are transferred back to the analysis chamber under UHV conditions. The newly formed oxide and underlying base metal are then analyzed via APT. The oxidation process for the needle specimens is carried out at 400°C for varying durations of 2, 5, 30, and 120 minutes. These parameters are </w:t>
      </w:r>
      <w:r>
        <w:lastRenderedPageBreak/>
        <w:t>chosen to induce the development of nanoscale oxide layers with thicknesses ranging from approximately 5 to 50 nm.</w:t>
      </w:r>
    </w:p>
    <w:p w14:paraId="2C4747A5" w14:textId="77777777" w:rsidR="00ED464E" w:rsidRDefault="00ED464E" w:rsidP="00ED464E">
      <w:pPr>
        <w:spacing w:after="0" w:line="240" w:lineRule="auto"/>
        <w:jc w:val="both"/>
      </w:pPr>
      <w:r>
        <w:t xml:space="preserve">For APT data collection, a CAMECA Local Electrode Atom Probe (LEAP) 4000X HR system equipped with a 355 nm wavelength ultraviolet (UV) laser was employed. The user-defined settings included a laser energy of 200 </w:t>
      </w:r>
      <w:proofErr w:type="spellStart"/>
      <w:r>
        <w:t>pJ</w:t>
      </w:r>
      <w:proofErr w:type="spellEnd"/>
      <w:r>
        <w:t>/pulse, a pulse repetition rate of 200 kHz, a specimen base temperature of 45 K, and a detection rate of 0.003 ions/pulse. The analysis chamber was maintained at a pressure below 2×10</w:t>
      </w:r>
      <w:r w:rsidRPr="00521C7C">
        <w:rPr>
          <w:vertAlign w:val="superscript"/>
        </w:rPr>
        <w:t>-11</w:t>
      </w:r>
      <w:r>
        <w:t xml:space="preserve"> Torr. The detector efficiency of the LEAP utilized in this study is estimated to be around 36 %. The collected data underwent reconstruction and analysis using IVAS version 3.8.2 by CAMECA.</w:t>
      </w:r>
    </w:p>
    <w:p w14:paraId="45945A5C" w14:textId="77777777" w:rsidR="00ED464E" w:rsidRPr="00C85C34" w:rsidRDefault="00ED464E" w:rsidP="00ED464E">
      <w:pPr>
        <w:spacing w:after="0" w:line="240" w:lineRule="auto"/>
        <w:jc w:val="both"/>
      </w:pPr>
    </w:p>
    <w:p w14:paraId="675B57F5" w14:textId="77777777" w:rsidR="00ED464E" w:rsidRPr="00ED464E" w:rsidRDefault="00ED464E" w:rsidP="00ED464E">
      <w:pPr>
        <w:spacing w:after="0" w:line="240" w:lineRule="auto"/>
        <w:jc w:val="both"/>
        <w:rPr>
          <w:b/>
          <w:iCs/>
        </w:rPr>
      </w:pPr>
      <w:r w:rsidRPr="00ED464E">
        <w:rPr>
          <w:b/>
          <w:iCs/>
        </w:rPr>
        <w:t>STEM of needle specimen after in situ oxidation</w:t>
      </w:r>
    </w:p>
    <w:p w14:paraId="364A385B" w14:textId="77777777" w:rsidR="00ED464E" w:rsidRPr="00C85C34" w:rsidRDefault="00ED464E" w:rsidP="00ED464E">
      <w:pPr>
        <w:spacing w:after="0" w:line="240" w:lineRule="auto"/>
        <w:jc w:val="both"/>
        <w:rPr>
          <w:highlight w:val="white"/>
        </w:rPr>
      </w:pPr>
      <w:r w:rsidRPr="00C85C34">
        <w:rPr>
          <w:highlight w:val="white"/>
        </w:rPr>
        <w:t xml:space="preserve">Crystallographic and compositional examination of </w:t>
      </w:r>
      <w:r>
        <w:rPr>
          <w:highlight w:val="white"/>
        </w:rPr>
        <w:t xml:space="preserve">oxidized </w:t>
      </w:r>
      <w:r w:rsidRPr="00C85C34">
        <w:rPr>
          <w:highlight w:val="white"/>
        </w:rPr>
        <w:t>needle samples was done with a probe-corrected FEI Titan 80–300 STEM instrument operated at 300 kV. The observations were performed using STEM with a high-angle annular dark-field (HAADF) detector. The probe convergence angle was 18 </w:t>
      </w:r>
      <w:proofErr w:type="spellStart"/>
      <w:r w:rsidRPr="00C85C34">
        <w:rPr>
          <w:highlight w:val="white"/>
        </w:rPr>
        <w:t>mrad</w:t>
      </w:r>
      <w:proofErr w:type="spellEnd"/>
      <w:r w:rsidRPr="00C85C34">
        <w:rPr>
          <w:highlight w:val="white"/>
        </w:rPr>
        <w:t xml:space="preserve">, and the inner detection angle on the HAADF detector was three times larger than the probe convergence angle. </w:t>
      </w:r>
      <w:proofErr w:type="spellStart"/>
      <w:r w:rsidRPr="00C85C34">
        <w:rPr>
          <w:highlight w:val="white"/>
        </w:rPr>
        <w:t>AZtec</w:t>
      </w:r>
      <w:proofErr w:type="spellEnd"/>
      <w:r w:rsidRPr="00C85C34">
        <w:rPr>
          <w:highlight w:val="white"/>
        </w:rPr>
        <w:t xml:space="preserve"> energy dispersive spectroscopy (EDS) software was used to </w:t>
      </w:r>
      <w:r>
        <w:rPr>
          <w:highlight w:val="white"/>
        </w:rPr>
        <w:t>analyze</w:t>
      </w:r>
      <w:r w:rsidRPr="00C85C34">
        <w:rPr>
          <w:highlight w:val="white"/>
        </w:rPr>
        <w:t xml:space="preserve"> the composition captured by EDS in the STEM instrument.</w:t>
      </w:r>
    </w:p>
    <w:p w14:paraId="5860D98B" w14:textId="77777777" w:rsidR="00ED464E" w:rsidRPr="00C85C34" w:rsidRDefault="00ED464E" w:rsidP="00ED464E">
      <w:pPr>
        <w:spacing w:after="0" w:line="240" w:lineRule="auto"/>
        <w:jc w:val="both"/>
        <w:rPr>
          <w:highlight w:val="white"/>
        </w:rPr>
      </w:pPr>
    </w:p>
    <w:p w14:paraId="16868536" w14:textId="77777777" w:rsidR="00ED464E" w:rsidRPr="00ED464E" w:rsidRDefault="00ED464E" w:rsidP="00ED464E">
      <w:pPr>
        <w:spacing w:after="0" w:line="240" w:lineRule="auto"/>
        <w:jc w:val="both"/>
        <w:rPr>
          <w:b/>
          <w:iCs/>
          <w:highlight w:val="yellow"/>
        </w:rPr>
      </w:pPr>
      <w:r w:rsidRPr="00ED464E">
        <w:rPr>
          <w:b/>
          <w:iCs/>
        </w:rPr>
        <w:t>X-ray absorption near edge spectroscopy (XANES)</w:t>
      </w:r>
    </w:p>
    <w:p w14:paraId="41B128AE" w14:textId="77777777" w:rsidR="00ED464E" w:rsidRDefault="00ED464E" w:rsidP="00ED464E">
      <w:pPr>
        <w:spacing w:after="0" w:line="240" w:lineRule="auto"/>
        <w:jc w:val="both"/>
      </w:pPr>
      <w:r w:rsidRPr="00C85C34">
        <w:t xml:space="preserve">The electronic structure changes of unoxidized </w:t>
      </w:r>
      <w:proofErr w:type="spellStart"/>
      <w:r w:rsidRPr="00C85C34">
        <w:t>CoCrFeNiMn</w:t>
      </w:r>
      <w:proofErr w:type="spellEnd"/>
      <w:r>
        <w:t xml:space="preserve"> </w:t>
      </w:r>
      <w:r w:rsidRPr="00C85C34">
        <w:t xml:space="preserve">and </w:t>
      </w:r>
      <w:proofErr w:type="spellStart"/>
      <w:r w:rsidRPr="00C85C34">
        <w:t>CoCrFeNiMn+Al</w:t>
      </w:r>
      <w:proofErr w:type="spellEnd"/>
      <w:r>
        <w:t xml:space="preserve"> alloys</w:t>
      </w:r>
      <w:r w:rsidRPr="00C85C34">
        <w:t>, and samples of each alloy oxidized at 400 °C for 2 min, 30 min, and 120 min and Co metal, Cr</w:t>
      </w:r>
      <w:r w:rsidRPr="00C85C34">
        <w:rPr>
          <w:vertAlign w:val="subscript"/>
        </w:rPr>
        <w:t>2</w:t>
      </w:r>
      <w:r w:rsidRPr="00C85C34">
        <w:t>O</w:t>
      </w:r>
      <w:r w:rsidRPr="00C85C34">
        <w:rPr>
          <w:vertAlign w:val="subscript"/>
        </w:rPr>
        <w:t>3</w:t>
      </w:r>
      <w:r w:rsidRPr="00C85C34">
        <w:t>, Fe metal, Fe</w:t>
      </w:r>
      <w:r w:rsidRPr="00C85C34">
        <w:rPr>
          <w:vertAlign w:val="subscript"/>
        </w:rPr>
        <w:t>2</w:t>
      </w:r>
      <w:r w:rsidRPr="00C85C34">
        <w:t>O</w:t>
      </w:r>
      <w:r w:rsidRPr="00C85C34">
        <w:rPr>
          <w:vertAlign w:val="subscript"/>
        </w:rPr>
        <w:t>3</w:t>
      </w:r>
      <w:r w:rsidRPr="00C85C34">
        <w:t>, Fe</w:t>
      </w:r>
      <w:r w:rsidRPr="00C85C34">
        <w:rPr>
          <w:vertAlign w:val="subscript"/>
        </w:rPr>
        <w:t>3</w:t>
      </w:r>
      <w:r w:rsidRPr="00C85C34">
        <w:t>O</w:t>
      </w:r>
      <w:r w:rsidRPr="00C85C34">
        <w:rPr>
          <w:vertAlign w:val="subscript"/>
        </w:rPr>
        <w:t>4</w:t>
      </w:r>
      <w:r w:rsidRPr="00C85C34">
        <w:t>, and MnO</w:t>
      </w:r>
      <w:r w:rsidRPr="00C85C34">
        <w:rPr>
          <w:vertAlign w:val="subscript"/>
        </w:rPr>
        <w:t>2</w:t>
      </w:r>
      <w:r w:rsidRPr="00C85C34">
        <w:t xml:space="preserve"> standards were analyzed using synchrotron based XANES</w:t>
      </w:r>
      <w:r>
        <w:t>. XANES was performed</w:t>
      </w:r>
      <w:r w:rsidRPr="00C85C34">
        <w:t xml:space="preserve"> at</w:t>
      </w:r>
      <w:r>
        <w:t xml:space="preserve"> the</w:t>
      </w:r>
      <w:r w:rsidRPr="00C85C34">
        <w:t xml:space="preserve"> Advanced Light Source (ALS) synchrotron beamline 7.3.1 at Lawrence Berkeley National Laboratory (LBNL). Experiments were conducted in </w:t>
      </w:r>
      <w:r>
        <w:t>an</w:t>
      </w:r>
      <w:r w:rsidRPr="00C85C34">
        <w:t xml:space="preserve"> Ultra High Vacuum chamber with a background pressure of 5.0 × 10</w:t>
      </w:r>
      <w:r w:rsidRPr="00C85C34">
        <w:rPr>
          <w:vertAlign w:val="superscript"/>
        </w:rPr>
        <w:t>−8</w:t>
      </w:r>
      <w:r w:rsidRPr="00C85C34">
        <w:t> Torr with a ring current of 500</w:t>
      </w:r>
      <w:r>
        <w:t xml:space="preserve"> </w:t>
      </w:r>
      <w:r w:rsidRPr="00C85C34">
        <w:t>mA. XANES data were collected at room temperature using Total Electron Yield (TEY) mode which measures the sample drain current resulting from photo and Auger electrons leaving the sample surface. The incident beam intensity was monitored (</w:t>
      </w:r>
      <w:r w:rsidRPr="00C85C34">
        <w:rPr>
          <w:i/>
          <w:iCs/>
        </w:rPr>
        <w:t>I</w:t>
      </w:r>
      <w:r w:rsidRPr="00C85C34">
        <w:rPr>
          <w:i/>
          <w:iCs/>
          <w:vertAlign w:val="subscript"/>
        </w:rPr>
        <w:t>o</w:t>
      </w:r>
      <w:r w:rsidRPr="00C85C34">
        <w:t>) via the gold grid to normalize the total electron yield signal (</w:t>
      </w:r>
      <w:r w:rsidRPr="00C85C34">
        <w:rPr>
          <w:i/>
          <w:iCs/>
        </w:rPr>
        <w:t>I</w:t>
      </w:r>
      <w:r w:rsidRPr="00C85C34">
        <w:rPr>
          <w:i/>
          <w:iCs/>
          <w:vertAlign w:val="subscript"/>
        </w:rPr>
        <w:t>I</w:t>
      </w:r>
      <w:r w:rsidRPr="00C85C34">
        <w:t>). Each final spectrum was an average of four scans. For comparison, asymmetric least squares smoothing baseline was performed and then normalized.</w:t>
      </w:r>
      <w:r w:rsidRPr="00C85C34" w:rsidDel="00313AEA">
        <w:t xml:space="preserve"> </w:t>
      </w:r>
      <w:r w:rsidRPr="00C85C34">
        <w:t>The Co, Cr, Fe, Ni, and Mn </w:t>
      </w:r>
      <w:r w:rsidRPr="00C85C34">
        <w:rPr>
          <w:i/>
        </w:rPr>
        <w:t>L</w:t>
      </w:r>
      <w:r w:rsidRPr="00C85C34">
        <w:t xml:space="preserve">-edge TEY signals were utilized in this work to characterize the top 10 nm of all samples to complement APT and TEM studies. </w:t>
      </w:r>
    </w:p>
    <w:p w14:paraId="447280AA" w14:textId="77777777" w:rsidR="00ED464E" w:rsidRPr="00C85C34" w:rsidRDefault="00ED464E" w:rsidP="00ED464E">
      <w:pPr>
        <w:spacing w:after="0" w:line="240" w:lineRule="auto"/>
        <w:jc w:val="both"/>
      </w:pPr>
    </w:p>
    <w:p w14:paraId="77BED159" w14:textId="77777777" w:rsidR="00ED464E" w:rsidRPr="00ED464E" w:rsidRDefault="00ED464E" w:rsidP="00ED464E">
      <w:pPr>
        <w:rPr>
          <w:b/>
          <w:bCs/>
        </w:rPr>
      </w:pPr>
      <w:r w:rsidRPr="00ED464E">
        <w:rPr>
          <w:b/>
          <w:bCs/>
        </w:rPr>
        <w:t xml:space="preserve">References: </w:t>
      </w:r>
    </w:p>
    <w:p w14:paraId="5AC28D92" w14:textId="77777777" w:rsidR="00ED464E" w:rsidRPr="00ED464E" w:rsidRDefault="00ED464E" w:rsidP="00ED464E">
      <w:pPr>
        <w:pStyle w:val="EndNoteBibliography"/>
        <w:ind w:left="720" w:hanging="720"/>
      </w:pPr>
      <w:r>
        <w:fldChar w:fldCharType="begin"/>
      </w:r>
      <w:r>
        <w:instrText xml:space="preserve"> ADDIN EN.REFLIST </w:instrText>
      </w:r>
      <w:r>
        <w:fldChar w:fldCharType="separate"/>
      </w:r>
      <w:r w:rsidRPr="00ED464E">
        <w:t>1</w:t>
      </w:r>
      <w:r w:rsidRPr="00ED464E">
        <w:tab/>
        <w:t>Kautz, E. J.</w:t>
      </w:r>
      <w:r w:rsidRPr="00ED464E">
        <w:rPr>
          <w:i/>
        </w:rPr>
        <w:t xml:space="preserve"> et al.</w:t>
      </w:r>
      <w:r w:rsidRPr="00ED464E">
        <w:t xml:space="preserve"> Rapid assessment of structural and compositional changes during early stages of zirconium alloy oxidation. </w:t>
      </w:r>
      <w:r w:rsidRPr="00ED464E">
        <w:rPr>
          <w:i/>
        </w:rPr>
        <w:t>npj Materials Degradation</w:t>
      </w:r>
      <w:r w:rsidRPr="00ED464E">
        <w:t xml:space="preserve"> </w:t>
      </w:r>
      <w:r w:rsidRPr="00ED464E">
        <w:rPr>
          <w:b/>
        </w:rPr>
        <w:t>4</w:t>
      </w:r>
      <w:r w:rsidRPr="00ED464E">
        <w:t xml:space="preserve">, 29 (2020). </w:t>
      </w:r>
    </w:p>
    <w:p w14:paraId="0B87C7A3" w14:textId="163D366F" w:rsidR="002015F2" w:rsidRPr="00C85C34" w:rsidRDefault="00ED464E" w:rsidP="00ED464E">
      <w:r>
        <w:fldChar w:fldCharType="end"/>
      </w:r>
      <w:r>
        <w:rPr>
          <w:noProof/>
        </w:rPr>
        <mc:AlternateContent>
          <mc:Choice Requires="wpi">
            <w:drawing>
              <wp:anchor distT="8639" distB="9359" distL="122939" distR="123659" simplePos="0" relativeHeight="251662336" behindDoc="0" locked="0" layoutInCell="1" allowOverlap="1" wp14:anchorId="5F0D4BDA" wp14:editId="7BCCA503">
                <wp:simplePos x="0" y="0"/>
                <wp:positionH relativeFrom="margin">
                  <wp:posOffset>6995794</wp:posOffset>
                </wp:positionH>
                <wp:positionV relativeFrom="paragraph">
                  <wp:posOffset>-53976</wp:posOffset>
                </wp:positionV>
                <wp:extent cx="0" cy="0"/>
                <wp:effectExtent l="38100" t="38100" r="57150" b="57150"/>
                <wp:wrapNone/>
                <wp:docPr id="156294297" name="Ink 3"/>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8">
                      <w14:nvContentPartPr>
                        <w14:cNvContentPartPr>
                          <a14:cpLocks xmlns:a14="http://schemas.microsoft.com/office/drawing/2010/main" noChangeAspect="1"/>
                        </w14:cNvContentPartPr>
                      </w14:nvContentPartPr>
                      <w14:xfrm>
                        <a:off x="0" y="0"/>
                        <a:ext cx="0" cy="0"/>
                      </w14:xfrm>
                    </w14:contentPart>
                  </a:graphicData>
                </a:graphic>
                <wp14:sizeRelH relativeFrom="margin">
                  <wp14:pctWidth>0</wp14:pctWidth>
                </wp14:sizeRelH>
                <wp14:sizeRelV relativeFrom="margin">
                  <wp14:pctHeight>0</wp14:pctHeight>
                </wp14:sizeRelV>
              </wp:anchor>
            </w:drawing>
          </mc:Choice>
          <mc:Fallback>
            <w:pict>
              <v:shape w14:anchorId="730BB4E8" id="Ink 3" o:spid="_x0000_s1026" type="#_x0000_t75" style="position:absolute;margin-left:550.85pt;margin-top:-4.25pt;width:0;height:0;z-index:251662336;visibility:visible;mso-wrap-style:square;mso-width-percent:0;mso-height-percent:0;mso-wrap-distance-left:3.41497mm;mso-wrap-distance-top:.23997mm;mso-wrap-distance-right:3.43497mm;mso-wrap-distance-bottom:.25997mm;mso-position-horizontal:absolute;mso-position-horizontal-relative:margin;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">
                <v:imagedata r:id="rId9" o:title=""/>
                <w10:wrap anchorx="margin"/>
              </v:shape>
            </w:pict>
          </mc:Fallback>
        </mc:AlternateContent>
      </w:r>
      <w:r>
        <w:rPr>
          <w:noProof/>
        </w:rPr>
        <mc:AlternateContent>
          <mc:Choice Requires="wpi">
            <w:drawing>
              <wp:anchor distT="8999" distB="8999" distL="123299" distR="123299" simplePos="0" relativeHeight="251660288" behindDoc="0" locked="0" layoutInCell="1" allowOverlap="1" wp14:anchorId="1C23C862" wp14:editId="2B3A4C9D">
                <wp:simplePos x="0" y="0"/>
                <wp:positionH relativeFrom="margin">
                  <wp:posOffset>9813289</wp:posOffset>
                </wp:positionH>
                <wp:positionV relativeFrom="paragraph">
                  <wp:posOffset>-6351</wp:posOffset>
                </wp:positionV>
                <wp:extent cx="0" cy="0"/>
                <wp:effectExtent l="38100" t="38100" r="57150" b="57150"/>
                <wp:wrapNone/>
                <wp:docPr id="384035147" name="Ink 2"/>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0">
                      <w14:nvContentPartPr>
                        <w14:cNvContentPartPr>
                          <a14:cpLocks xmlns:a14="http://schemas.microsoft.com/office/drawing/2010/main" noChangeAspect="1"/>
                        </w14:cNvContentPartPr>
                      </w14:nvContentPartPr>
                      <w14:xfrm>
                        <a:off x="0" y="0"/>
                        <a:ext cx="0" cy="0"/>
                      </w14:xfrm>
                    </w14:contentPart>
                  </a:graphicData>
                </a:graphic>
                <wp14:sizeRelH relativeFrom="margin">
                  <wp14:pctWidth>0</wp14:pctWidth>
                </wp14:sizeRelH>
                <wp14:sizeRelV relativeFrom="margin">
                  <wp14:pctHeight>0</wp14:pctHeight>
                </wp14:sizeRelV>
              </wp:anchor>
            </w:drawing>
          </mc:Choice>
          <mc:Fallback>
            <w:pict>
              <v:shape w14:anchorId="081CDEF3" id="Ink 2" o:spid="_x0000_s1026" type="#_x0000_t75" style="position:absolute;margin-left:772.7pt;margin-top:-.5pt;width:0;height:0;z-index:251660288;visibility:visible;mso-wrap-style:square;mso-width-percent:0;mso-height-percent:0;mso-wrap-distance-left:3.42497mm;mso-wrap-distance-top:.24997mm;mso-wrap-distance-right:3.42497mm;mso-wrap-distance-bottom:.24997mm;mso-position-horizontal:absolute;mso-position-horizontal-relative:margin;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">
                <v:imagedata r:id="rId9" o:title=""/>
                <w10:wrap anchorx="margin"/>
              </v:shape>
            </w:pict>
          </mc:Fallback>
        </mc:AlternateContent>
      </w:r>
      <w:r>
        <w:rPr>
          <w:noProof/>
        </w:rPr>
        <mc:AlternateContent>
          <mc:Choice Requires="wpi">
            <w:drawing>
              <wp:anchor distT="8999" distB="8999" distL="123299" distR="123299" simplePos="0" relativeHeight="251659264" behindDoc="0" locked="0" layoutInCell="1" allowOverlap="1" wp14:anchorId="23CB1771" wp14:editId="32AD9CE3">
                <wp:simplePos x="0" y="0"/>
                <wp:positionH relativeFrom="margin">
                  <wp:posOffset>9813289</wp:posOffset>
                </wp:positionH>
                <wp:positionV relativeFrom="paragraph">
                  <wp:posOffset>-6351</wp:posOffset>
                </wp:positionV>
                <wp:extent cx="0" cy="0"/>
                <wp:effectExtent l="38100" t="38100" r="57150" b="57150"/>
                <wp:wrapNone/>
                <wp:docPr id="1042192846" name="Ink 1"/>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1">
                      <w14:nvContentPartPr>
                        <w14:cNvContentPartPr>
                          <a14:cpLocks xmlns:a14="http://schemas.microsoft.com/office/drawing/2010/main" noChangeAspect="1"/>
                        </w14:cNvContentPartPr>
                      </w14:nvContentPartPr>
                      <w14:xfrm>
                        <a:off x="0" y="0"/>
                        <a:ext cx="0" cy="0"/>
                      </w14:xfrm>
                    </w14:contentPart>
                  </a:graphicData>
                </a:graphic>
                <wp14:sizeRelH relativeFrom="margin">
                  <wp14:pctWidth>0</wp14:pctWidth>
                </wp14:sizeRelH>
                <wp14:sizeRelV relativeFrom="margin">
                  <wp14:pctHeight>0</wp14:pctHeight>
                </wp14:sizeRelV>
              </wp:anchor>
            </w:drawing>
          </mc:Choice>
          <mc:Fallback>
            <w:pict>
              <v:shape w14:anchorId="49224C91" id="Ink 1" o:spid="_x0000_s1026" type="#_x0000_t75" style="position:absolute;margin-left:772.7pt;margin-top:-.5pt;width:0;height:0;z-index:251659264;visibility:visible;mso-wrap-style:square;mso-width-percent:0;mso-height-percent:0;mso-wrap-distance-left:3.42497mm;mso-wrap-distance-top:.24997mm;mso-wrap-distance-right:3.42497mm;mso-wrap-distance-bottom:.24997mm;mso-position-horizontal:absolute;mso-position-horizontal-relative:margin;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">
                <v:imagedata r:id="rId9" o:title=""/>
                <w10:wrap anchorx="margin"/>
              </v:shape>
            </w:pict>
          </mc:Fallback>
        </mc:AlternateContent>
      </w:r>
    </w:p>
    <w:sectPr w:rsidR="002015F2" w:rsidRPr="00C85C34">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11F73" w14:textId="77777777" w:rsidR="00675D76" w:rsidRDefault="00675D76">
      <w:pPr>
        <w:spacing w:after="0" w:line="240" w:lineRule="auto"/>
      </w:pPr>
      <w:r>
        <w:separator/>
      </w:r>
    </w:p>
  </w:endnote>
  <w:endnote w:type="continuationSeparator" w:id="0">
    <w:p w14:paraId="29572548" w14:textId="77777777" w:rsidR="00675D76" w:rsidRDefault="00675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D67E3" w14:textId="77777777" w:rsidR="00472AB6" w:rsidRDefault="00000000">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6A67300D" w14:textId="77777777" w:rsidR="00472AB6" w:rsidRDefault="00472A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16623" w14:textId="77777777" w:rsidR="00675D76" w:rsidRDefault="00675D76">
      <w:pPr>
        <w:spacing w:after="0" w:line="240" w:lineRule="auto"/>
      </w:pPr>
      <w:r>
        <w:separator/>
      </w:r>
    </w:p>
  </w:footnote>
  <w:footnote w:type="continuationSeparator" w:id="0">
    <w:p w14:paraId="062D30E3" w14:textId="77777777" w:rsidR="00675D76" w:rsidRDefault="00675D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UxMzExNjIxNjM3NrdQ0lEKTi0uzszPAykwrQUABija/ywAAAA="/>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tr2sfpx8wss2cesrervwe0o2epfzf2tdwva&quot;&gt;HEC&lt;record-ids&gt;&lt;item&gt;16&lt;/item&gt;&lt;/record-ids&gt;&lt;/item&gt;&lt;/Libraries&gt;"/>
  </w:docVars>
  <w:rsids>
    <w:rsidRoot w:val="004E3FC0"/>
    <w:rsid w:val="00065FC7"/>
    <w:rsid w:val="000F136B"/>
    <w:rsid w:val="001A5F61"/>
    <w:rsid w:val="001F39BA"/>
    <w:rsid w:val="002015F2"/>
    <w:rsid w:val="00215954"/>
    <w:rsid w:val="00236E56"/>
    <w:rsid w:val="002429FF"/>
    <w:rsid w:val="002E2CBA"/>
    <w:rsid w:val="002F7055"/>
    <w:rsid w:val="00313AEA"/>
    <w:rsid w:val="00351BF0"/>
    <w:rsid w:val="00377793"/>
    <w:rsid w:val="003D4EAD"/>
    <w:rsid w:val="00412A84"/>
    <w:rsid w:val="00420D9E"/>
    <w:rsid w:val="00472AB6"/>
    <w:rsid w:val="004E3FC0"/>
    <w:rsid w:val="00521C7C"/>
    <w:rsid w:val="00552198"/>
    <w:rsid w:val="00577153"/>
    <w:rsid w:val="005C2220"/>
    <w:rsid w:val="006634F2"/>
    <w:rsid w:val="00675D76"/>
    <w:rsid w:val="00746EC7"/>
    <w:rsid w:val="008222F4"/>
    <w:rsid w:val="0091546A"/>
    <w:rsid w:val="009377C7"/>
    <w:rsid w:val="009F169F"/>
    <w:rsid w:val="00A31214"/>
    <w:rsid w:val="00A9163F"/>
    <w:rsid w:val="00AE5F79"/>
    <w:rsid w:val="00B1225D"/>
    <w:rsid w:val="00BE0F92"/>
    <w:rsid w:val="00C85C34"/>
    <w:rsid w:val="00C92D22"/>
    <w:rsid w:val="00DF08A4"/>
    <w:rsid w:val="00E03621"/>
    <w:rsid w:val="00E85C7F"/>
    <w:rsid w:val="00ED464E"/>
    <w:rsid w:val="00F45C09"/>
    <w:rsid w:val="00FB0C6D"/>
    <w:rsid w:val="00FC2D41"/>
    <w:rsid w:val="00FC57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93A3D5"/>
  <w15:chartTrackingRefBased/>
  <w15:docId w15:val="{74C123F0-EEF4-4D36-8CD2-E8EA179D2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FC0"/>
    <w:rPr>
      <w:rFonts w:ascii="Calibri" w:eastAsia="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Calibri" w:eastAsia="Calibri" w:hAnsi="Calibri" w:cs="Calibri"/>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F08A4"/>
    <w:pPr>
      <w:spacing w:after="0" w:line="240" w:lineRule="auto"/>
    </w:pPr>
    <w:rPr>
      <w:rFonts w:ascii="Calibri" w:eastAsia="Calibri" w:hAnsi="Calibri" w:cs="Calibri"/>
      <w:kern w:val="0"/>
      <w14:ligatures w14:val="none"/>
    </w:rPr>
  </w:style>
  <w:style w:type="paragraph" w:styleId="CommentSubject">
    <w:name w:val="annotation subject"/>
    <w:basedOn w:val="CommentText"/>
    <w:next w:val="CommentText"/>
    <w:link w:val="CommentSubjectChar"/>
    <w:uiPriority w:val="99"/>
    <w:semiHidden/>
    <w:unhideWhenUsed/>
    <w:rsid w:val="00412A84"/>
    <w:rPr>
      <w:b/>
      <w:bCs/>
    </w:rPr>
  </w:style>
  <w:style w:type="character" w:customStyle="1" w:styleId="CommentSubjectChar">
    <w:name w:val="Comment Subject Char"/>
    <w:basedOn w:val="CommentTextChar"/>
    <w:link w:val="CommentSubject"/>
    <w:uiPriority w:val="99"/>
    <w:semiHidden/>
    <w:rsid w:val="00412A84"/>
    <w:rPr>
      <w:rFonts w:ascii="Calibri" w:eastAsia="Calibri" w:hAnsi="Calibri" w:cs="Calibri"/>
      <w:b/>
      <w:bCs/>
      <w:kern w:val="0"/>
      <w:sz w:val="20"/>
      <w:szCs w:val="20"/>
      <w14:ligatures w14:val="none"/>
    </w:rPr>
  </w:style>
  <w:style w:type="character" w:styleId="Hyperlink">
    <w:name w:val="Hyperlink"/>
    <w:basedOn w:val="DefaultParagraphFont"/>
    <w:uiPriority w:val="99"/>
    <w:unhideWhenUsed/>
    <w:rsid w:val="00A31214"/>
    <w:rPr>
      <w:color w:val="0563C1" w:themeColor="hyperlink"/>
      <w:u w:val="single"/>
    </w:rPr>
  </w:style>
  <w:style w:type="character" w:styleId="UnresolvedMention">
    <w:name w:val="Unresolved Mention"/>
    <w:basedOn w:val="DefaultParagraphFont"/>
    <w:uiPriority w:val="99"/>
    <w:semiHidden/>
    <w:unhideWhenUsed/>
    <w:rsid w:val="00A31214"/>
    <w:rPr>
      <w:color w:val="605E5C"/>
      <w:shd w:val="clear" w:color="auto" w:fill="E1DFDD"/>
    </w:rPr>
  </w:style>
  <w:style w:type="paragraph" w:styleId="Footer">
    <w:name w:val="footer"/>
    <w:basedOn w:val="Normal"/>
    <w:link w:val="FooterChar"/>
    <w:uiPriority w:val="99"/>
    <w:unhideWhenUsed/>
    <w:rsid w:val="00ED46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464E"/>
    <w:rPr>
      <w:rFonts w:ascii="Calibri" w:eastAsia="Calibri" w:hAnsi="Calibri" w:cs="Calibri"/>
      <w:kern w:val="0"/>
      <w14:ligatures w14:val="none"/>
    </w:rPr>
  </w:style>
  <w:style w:type="paragraph" w:customStyle="1" w:styleId="EndNoteBibliographyTitle">
    <w:name w:val="EndNote Bibliography Title"/>
    <w:basedOn w:val="Normal"/>
    <w:link w:val="EndNoteBibliographyTitleChar"/>
    <w:rsid w:val="00ED464E"/>
    <w:pPr>
      <w:spacing w:after="0"/>
      <w:jc w:val="center"/>
    </w:pPr>
    <w:rPr>
      <w:noProof/>
    </w:rPr>
  </w:style>
  <w:style w:type="character" w:customStyle="1" w:styleId="EndNoteBibliographyTitleChar">
    <w:name w:val="EndNote Bibliography Title Char"/>
    <w:basedOn w:val="DefaultParagraphFont"/>
    <w:link w:val="EndNoteBibliographyTitle"/>
    <w:rsid w:val="00ED464E"/>
    <w:rPr>
      <w:rFonts w:ascii="Calibri" w:eastAsia="Calibri" w:hAnsi="Calibri" w:cs="Calibri"/>
      <w:noProof/>
      <w:kern w:val="0"/>
      <w14:ligatures w14:val="none"/>
    </w:rPr>
  </w:style>
  <w:style w:type="paragraph" w:customStyle="1" w:styleId="EndNoteBibliography">
    <w:name w:val="EndNote Bibliography"/>
    <w:basedOn w:val="Normal"/>
    <w:link w:val="EndNoteBibliographyChar"/>
    <w:rsid w:val="00ED464E"/>
    <w:pPr>
      <w:spacing w:line="240" w:lineRule="auto"/>
    </w:pPr>
    <w:rPr>
      <w:noProof/>
    </w:rPr>
  </w:style>
  <w:style w:type="character" w:customStyle="1" w:styleId="EndNoteBibliographyChar">
    <w:name w:val="EndNote Bibliography Char"/>
    <w:basedOn w:val="DefaultParagraphFont"/>
    <w:link w:val="EndNoteBibliography"/>
    <w:rsid w:val="00ED464E"/>
    <w:rPr>
      <w:rFonts w:ascii="Calibri" w:eastAsia="Calibri" w:hAnsi="Calibri" w:cs="Calibri"/>
      <w:noProo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5649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arun.devaraj@pnnl.go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ink/ink3.xml"/><Relationship Id="rId5" Type="http://schemas.openxmlformats.org/officeDocument/2006/relationships/endnotes" Target="endnotes.xml"/><Relationship Id="rId10" Type="http://schemas.openxmlformats.org/officeDocument/2006/relationships/customXml" Target="ink/ink2.xml"/><Relationship Id="rId4" Type="http://schemas.openxmlformats.org/officeDocument/2006/relationships/footnotes" Target="footnotes.xml"/><Relationship Id="rId9" Type="http://schemas.openxmlformats.org/officeDocument/2006/relationships/image" Target="media/image10.png"/><Relationship Id="rId14"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26T15:03:55.867"/>
    </inkml:context>
    <inkml:brush xml:id="br0">
      <inkml:brushProperty name="width" value="0.05" units="cm"/>
      <inkml:brushProperty name="height" value="0.05" units="cm"/>
      <inkml:brushProperty name="color" value="#008C3A"/>
    </inkml:brush>
  </inkml:definitions>
  <inkml:trace contextRef="#ctx0" brushRef="#br0">8427 3466 5983 0 0,'0'0'5775'0'0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9-26T13:57:41.430"/>
    </inkml:context>
    <inkml:brush xml:id="br0">
      <inkml:brushProperty name="width" value="0.05" units="cm"/>
      <inkml:brushProperty name="height" value="0.05" units="cm"/>
      <inkml:brushProperty name="color" value="#008C3A"/>
    </inkml:brush>
  </inkml:definitions>
  <inkml:trace contextRef="#ctx0" brushRef="#br0">1536 215 4143 0 0,'0'0'13504'0'0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9-26T13:57:41.430"/>
    </inkml:context>
    <inkml:brush xml:id="br0">
      <inkml:brushProperty name="width" value="0.05" units="cm"/>
      <inkml:brushProperty name="height" value="0.05" units="cm"/>
      <inkml:brushProperty name="color" value="#008C3A"/>
    </inkml:brush>
  </inkml:definitions>
  <inkml:trace contextRef="#ctx0" brushRef="#br0">1536 215 4143 0 0,'0'0'13504'0'0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1458</Words>
  <Characters>8311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NC State University</Company>
  <LinksUpToDate>false</LinksUpToDate>
  <CharactersWithSpaces>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Bharat Gwalani</dc:creator>
  <cp:keywords/>
  <dc:description/>
  <cp:lastModifiedBy>Bharat Gwalani</cp:lastModifiedBy>
  <cp:revision>8</cp:revision>
  <dcterms:created xsi:type="dcterms:W3CDTF">2023-09-05T00:08:00Z</dcterms:created>
  <dcterms:modified xsi:type="dcterms:W3CDTF">2023-10-24T03:26:00Z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7d304d0f-9ede-434a-a487-adfa4ab219fc</vt:lpwstr>
  </property>
</Properties>
</file>