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83B6FF" w14:textId="77777777" w:rsidR="00EF7B31" w:rsidRPr="005D376B" w:rsidRDefault="00EF7B31" w:rsidP="00EF7B3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noProof/>
        </w:rPr>
        <w:drawing>
          <wp:inline distT="0" distB="0" distL="0" distR="0" wp14:anchorId="2C1B2718" wp14:editId="28B78848">
            <wp:extent cx="5844540" cy="3093720"/>
            <wp:effectExtent l="0" t="0" r="3810" b="11430"/>
            <wp:docPr id="1" name="Diagramm 1">
              <a:extLst xmlns:a="http://schemas.openxmlformats.org/drawingml/2006/main">
                <a:ext uri="{FF2B5EF4-FFF2-40B4-BE49-F238E27FC236}">
                  <a16:creationId xmlns:a16="http://schemas.microsoft.com/office/drawing/2014/main" id="{553267D4-879D-C1F3-8E72-97AEE38E202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45103BE3" w14:textId="77777777" w:rsidR="00EF7B31" w:rsidRDefault="00EF7B31" w:rsidP="00EF7B31">
      <w:pPr>
        <w:spacing w:after="100" w:afterAutospacing="1" w:line="276" w:lineRule="auto"/>
        <w:rPr>
          <w:rFonts w:ascii="Helvetica" w:eastAsia="Times New Roman" w:hAnsi="Helvetica" w:cs="Helvetica"/>
          <w:color w:val="000000"/>
          <w:sz w:val="24"/>
          <w:szCs w:val="24"/>
          <w:lang w:eastAsia="de-DE"/>
        </w:rPr>
      </w:pPr>
    </w:p>
    <w:p w14:paraId="1AD658D8" w14:textId="77777777" w:rsidR="00EF7B31" w:rsidRPr="003F0157" w:rsidRDefault="00EF7B31" w:rsidP="00EF7B31">
      <w:pPr>
        <w:spacing w:after="100" w:afterAutospacing="1" w:line="276" w:lineRule="auto"/>
        <w:rPr>
          <w:rFonts w:eastAsia="Times New Roman" w:cstheme="minorHAnsi"/>
          <w:sz w:val="24"/>
          <w:szCs w:val="24"/>
          <w:lang w:eastAsia="de-DE"/>
        </w:rPr>
      </w:pPr>
      <w:r>
        <w:rPr>
          <w:rFonts w:eastAsia="Times New Roman" w:cstheme="minorHAnsi"/>
          <w:b/>
          <w:bCs/>
          <w:sz w:val="24"/>
          <w:szCs w:val="24"/>
          <w:lang w:eastAsia="de-DE"/>
        </w:rPr>
        <w:t>Graph 1</w:t>
      </w:r>
      <w:r w:rsidRPr="005D376B">
        <w:rPr>
          <w:rFonts w:eastAsia="Times New Roman" w:cstheme="minorHAnsi"/>
          <w:b/>
          <w:bCs/>
          <w:sz w:val="24"/>
          <w:szCs w:val="24"/>
          <w:lang w:eastAsia="de-DE"/>
        </w:rPr>
        <w:t>.</w:t>
      </w:r>
      <w:r w:rsidRPr="005D376B">
        <w:rPr>
          <w:rFonts w:eastAsia="Times New Roman" w:cstheme="minorHAnsi"/>
          <w:sz w:val="24"/>
          <w:szCs w:val="24"/>
          <w:lang w:eastAsia="de-DE"/>
        </w:rPr>
        <w:t> </w:t>
      </w:r>
      <w:r w:rsidRPr="005D376B">
        <w:rPr>
          <w:rFonts w:eastAsia="Times New Roman" w:cstheme="minorHAnsi"/>
          <w:b/>
          <w:bCs/>
          <w:sz w:val="24"/>
          <w:szCs w:val="24"/>
          <w:lang w:eastAsia="de-DE"/>
        </w:rPr>
        <w:t>Recurrent arrhythmias before re</w:t>
      </w:r>
      <w:r>
        <w:rPr>
          <w:rFonts w:eastAsia="Times New Roman" w:cstheme="minorHAnsi"/>
          <w:b/>
          <w:bCs/>
          <w:sz w:val="24"/>
          <w:szCs w:val="24"/>
          <w:lang w:eastAsia="de-DE"/>
        </w:rPr>
        <w:t>do-</w:t>
      </w:r>
      <w:r w:rsidRPr="005D376B">
        <w:rPr>
          <w:rFonts w:eastAsia="Times New Roman" w:cstheme="minorHAnsi"/>
          <w:b/>
          <w:bCs/>
          <w:sz w:val="24"/>
          <w:szCs w:val="24"/>
          <w:lang w:eastAsia="de-DE"/>
        </w:rPr>
        <w:t>ablation</w:t>
      </w:r>
      <w:r w:rsidRPr="00C83522">
        <w:rPr>
          <w:rFonts w:eastAsia="Times New Roman" w:cstheme="minorHAnsi"/>
          <w:b/>
          <w:bCs/>
          <w:sz w:val="24"/>
          <w:szCs w:val="24"/>
          <w:lang w:eastAsia="de-DE"/>
        </w:rPr>
        <w:t>:</w:t>
      </w:r>
      <w:r w:rsidRPr="005D376B">
        <w:rPr>
          <w:rFonts w:eastAsia="Times New Roman" w:cstheme="minorHAnsi"/>
          <w:sz w:val="24"/>
          <w:szCs w:val="24"/>
          <w:lang w:eastAsia="de-DE"/>
        </w:rPr>
        <w:t xml:space="preserve"> Paroxysmal atrial fibrillation (AF) was the most prevalent recurrent arrhythmia</w:t>
      </w:r>
      <w:r w:rsidRPr="003F0157">
        <w:rPr>
          <w:rFonts w:eastAsia="Times New Roman" w:cstheme="minorHAnsi"/>
          <w:sz w:val="24"/>
          <w:szCs w:val="24"/>
          <w:lang w:eastAsia="de-DE"/>
        </w:rPr>
        <w:t xml:space="preserve"> (</w:t>
      </w:r>
      <w:r>
        <w:rPr>
          <w:rFonts w:eastAsia="Times New Roman" w:cstheme="minorHAnsi"/>
          <w:sz w:val="24"/>
          <w:szCs w:val="24"/>
          <w:lang w:eastAsia="de-DE"/>
        </w:rPr>
        <w:t>6</w:t>
      </w:r>
      <w:r w:rsidRPr="003F0157">
        <w:rPr>
          <w:rFonts w:eastAsia="Times New Roman" w:cstheme="minorHAnsi"/>
          <w:sz w:val="24"/>
          <w:szCs w:val="24"/>
          <w:lang w:eastAsia="de-DE"/>
        </w:rPr>
        <w:t xml:space="preserve">0%, </w:t>
      </w:r>
      <w:r>
        <w:rPr>
          <w:rFonts w:eastAsia="Times New Roman" w:cstheme="minorHAnsi"/>
          <w:sz w:val="24"/>
          <w:szCs w:val="24"/>
          <w:lang w:eastAsia="de-DE"/>
        </w:rPr>
        <w:t>36</w:t>
      </w:r>
      <w:r w:rsidRPr="003F0157">
        <w:rPr>
          <w:rFonts w:eastAsia="Times New Roman" w:cstheme="minorHAnsi"/>
          <w:sz w:val="24"/>
          <w:szCs w:val="24"/>
          <w:lang w:eastAsia="de-DE"/>
        </w:rPr>
        <w:t xml:space="preserve"> patients)</w:t>
      </w:r>
      <w:r w:rsidRPr="005D376B">
        <w:rPr>
          <w:rFonts w:eastAsia="Times New Roman" w:cstheme="minorHAnsi"/>
          <w:sz w:val="24"/>
          <w:szCs w:val="24"/>
          <w:lang w:eastAsia="de-DE"/>
        </w:rPr>
        <w:t xml:space="preserve"> in </w:t>
      </w:r>
      <w:r w:rsidRPr="003F0157">
        <w:rPr>
          <w:rFonts w:eastAsia="Times New Roman" w:cstheme="minorHAnsi"/>
          <w:sz w:val="24"/>
          <w:szCs w:val="24"/>
          <w:lang w:eastAsia="de-DE"/>
        </w:rPr>
        <w:t xml:space="preserve">all patients </w:t>
      </w:r>
      <w:r>
        <w:rPr>
          <w:rFonts w:eastAsia="Times New Roman" w:cstheme="minorHAnsi"/>
          <w:sz w:val="24"/>
          <w:szCs w:val="24"/>
          <w:lang w:eastAsia="de-DE"/>
        </w:rPr>
        <w:t>collective</w:t>
      </w:r>
      <w:r w:rsidRPr="005D376B">
        <w:rPr>
          <w:rFonts w:eastAsia="Times New Roman" w:cstheme="minorHAnsi"/>
          <w:sz w:val="24"/>
          <w:szCs w:val="24"/>
          <w:lang w:eastAsia="de-DE"/>
        </w:rPr>
        <w:t xml:space="preserve"> (</w:t>
      </w:r>
      <w:r w:rsidRPr="003F0157">
        <w:rPr>
          <w:rFonts w:eastAsia="Times New Roman" w:cstheme="minorHAnsi"/>
          <w:sz w:val="24"/>
          <w:szCs w:val="24"/>
          <w:lang w:eastAsia="de-DE"/>
        </w:rPr>
        <w:t>70</w:t>
      </w:r>
      <w:r w:rsidRPr="005D376B">
        <w:rPr>
          <w:rFonts w:eastAsia="Times New Roman" w:cstheme="minorHAnsi"/>
          <w:sz w:val="24"/>
          <w:szCs w:val="24"/>
          <w:lang w:eastAsia="de-DE"/>
        </w:rPr>
        <w:t xml:space="preserve">% in </w:t>
      </w:r>
      <w:r>
        <w:rPr>
          <w:rFonts w:eastAsia="Times New Roman" w:cstheme="minorHAnsi"/>
          <w:sz w:val="24"/>
          <w:szCs w:val="24"/>
          <w:lang w:eastAsia="de-DE"/>
        </w:rPr>
        <w:t xml:space="preserve">the </w:t>
      </w:r>
      <w:r w:rsidRPr="005D376B">
        <w:rPr>
          <w:rFonts w:eastAsia="Times New Roman" w:cstheme="minorHAnsi"/>
          <w:sz w:val="24"/>
          <w:szCs w:val="24"/>
          <w:lang w:eastAsia="de-DE"/>
        </w:rPr>
        <w:t xml:space="preserve">radiofrequency </w:t>
      </w:r>
      <w:r w:rsidRPr="003F0157">
        <w:rPr>
          <w:rFonts w:eastAsia="Times New Roman" w:cstheme="minorHAnsi"/>
          <w:sz w:val="24"/>
          <w:szCs w:val="24"/>
          <w:lang w:eastAsia="de-DE"/>
        </w:rPr>
        <w:t>group</w:t>
      </w:r>
      <w:r w:rsidRPr="005D376B">
        <w:rPr>
          <w:rFonts w:eastAsia="Times New Roman" w:cstheme="minorHAnsi"/>
          <w:sz w:val="24"/>
          <w:szCs w:val="24"/>
          <w:lang w:eastAsia="de-DE"/>
        </w:rPr>
        <w:t xml:space="preserve"> </w:t>
      </w:r>
      <w:r w:rsidRPr="003F0157">
        <w:rPr>
          <w:rFonts w:eastAsia="Times New Roman" w:cstheme="minorHAnsi"/>
          <w:sz w:val="24"/>
          <w:szCs w:val="24"/>
          <w:lang w:eastAsia="de-DE"/>
        </w:rPr>
        <w:t>and</w:t>
      </w:r>
      <w:r w:rsidRPr="005D376B">
        <w:rPr>
          <w:rFonts w:eastAsia="Times New Roman" w:cstheme="minorHAnsi"/>
          <w:sz w:val="24"/>
          <w:szCs w:val="24"/>
          <w:lang w:eastAsia="de-DE"/>
        </w:rPr>
        <w:t xml:space="preserve"> </w:t>
      </w:r>
      <w:r w:rsidRPr="003F0157">
        <w:rPr>
          <w:rFonts w:eastAsia="Times New Roman" w:cstheme="minorHAnsi"/>
          <w:sz w:val="24"/>
          <w:szCs w:val="24"/>
          <w:lang w:eastAsia="de-DE"/>
        </w:rPr>
        <w:t>50</w:t>
      </w:r>
      <w:r w:rsidRPr="005D376B">
        <w:rPr>
          <w:rFonts w:eastAsia="Times New Roman" w:cstheme="minorHAnsi"/>
          <w:sz w:val="24"/>
          <w:szCs w:val="24"/>
          <w:lang w:eastAsia="de-DE"/>
        </w:rPr>
        <w:t xml:space="preserve">% in </w:t>
      </w:r>
      <w:r>
        <w:rPr>
          <w:rFonts w:eastAsia="Times New Roman" w:cstheme="minorHAnsi"/>
          <w:sz w:val="24"/>
          <w:szCs w:val="24"/>
          <w:lang w:eastAsia="de-DE"/>
        </w:rPr>
        <w:t xml:space="preserve">the </w:t>
      </w:r>
      <w:r w:rsidRPr="005D376B">
        <w:rPr>
          <w:rFonts w:eastAsia="Times New Roman" w:cstheme="minorHAnsi"/>
          <w:sz w:val="24"/>
          <w:szCs w:val="24"/>
          <w:lang w:eastAsia="de-DE"/>
        </w:rPr>
        <w:t xml:space="preserve">cryoballoon </w:t>
      </w:r>
      <w:r>
        <w:rPr>
          <w:rFonts w:eastAsia="Times New Roman" w:cstheme="minorHAnsi"/>
          <w:sz w:val="24"/>
          <w:szCs w:val="24"/>
          <w:lang w:eastAsia="de-DE"/>
        </w:rPr>
        <w:t>group</w:t>
      </w:r>
      <w:r w:rsidRPr="005D376B">
        <w:rPr>
          <w:rFonts w:eastAsia="Times New Roman" w:cstheme="minorHAnsi"/>
          <w:sz w:val="24"/>
          <w:szCs w:val="24"/>
          <w:lang w:eastAsia="de-DE"/>
        </w:rPr>
        <w:t xml:space="preserve">). </w:t>
      </w:r>
      <w:r>
        <w:rPr>
          <w:rFonts w:eastAsia="Times New Roman" w:cstheme="minorHAnsi"/>
          <w:sz w:val="24"/>
          <w:szCs w:val="24"/>
          <w:lang w:eastAsia="de-DE"/>
        </w:rPr>
        <w:t>9 patients with persistent atrial fibrillation (30%)in the RFC group and 15 in the CB group. 3</w:t>
      </w:r>
      <w:r w:rsidRPr="005D376B">
        <w:rPr>
          <w:rFonts w:eastAsia="Times New Roman" w:cstheme="minorHAnsi"/>
          <w:sz w:val="24"/>
          <w:szCs w:val="24"/>
          <w:lang w:eastAsia="de-DE"/>
        </w:rPr>
        <w:t xml:space="preserve"> patient (</w:t>
      </w:r>
      <w:r>
        <w:rPr>
          <w:rFonts w:eastAsia="Times New Roman" w:cstheme="minorHAnsi"/>
          <w:sz w:val="24"/>
          <w:szCs w:val="24"/>
          <w:lang w:eastAsia="de-DE"/>
        </w:rPr>
        <w:t>5</w:t>
      </w:r>
      <w:r w:rsidRPr="005D376B">
        <w:rPr>
          <w:rFonts w:eastAsia="Times New Roman" w:cstheme="minorHAnsi"/>
          <w:sz w:val="24"/>
          <w:szCs w:val="24"/>
          <w:lang w:eastAsia="de-DE"/>
        </w:rPr>
        <w:t xml:space="preserve">%) in the RFC group and </w:t>
      </w:r>
      <w:r>
        <w:rPr>
          <w:rFonts w:eastAsia="Times New Roman" w:cstheme="minorHAnsi"/>
          <w:sz w:val="24"/>
          <w:szCs w:val="24"/>
          <w:lang w:eastAsia="de-DE"/>
        </w:rPr>
        <w:t>3</w:t>
      </w:r>
      <w:r w:rsidRPr="005D376B">
        <w:rPr>
          <w:rFonts w:eastAsia="Times New Roman" w:cstheme="minorHAnsi"/>
          <w:sz w:val="24"/>
          <w:szCs w:val="24"/>
          <w:lang w:eastAsia="de-DE"/>
        </w:rPr>
        <w:t xml:space="preserve"> (</w:t>
      </w:r>
      <w:r>
        <w:rPr>
          <w:rFonts w:eastAsia="Times New Roman" w:cstheme="minorHAnsi"/>
          <w:sz w:val="24"/>
          <w:szCs w:val="24"/>
          <w:lang w:eastAsia="de-DE"/>
        </w:rPr>
        <w:t>5</w:t>
      </w:r>
      <w:r w:rsidRPr="005D376B">
        <w:rPr>
          <w:rFonts w:eastAsia="Times New Roman" w:cstheme="minorHAnsi"/>
          <w:sz w:val="24"/>
          <w:szCs w:val="24"/>
          <w:lang w:eastAsia="de-DE"/>
        </w:rPr>
        <w:t xml:space="preserve">%) in the CB group </w:t>
      </w:r>
      <w:r>
        <w:rPr>
          <w:rFonts w:eastAsia="Times New Roman" w:cstheme="minorHAnsi"/>
          <w:sz w:val="24"/>
          <w:szCs w:val="24"/>
          <w:lang w:eastAsia="de-DE"/>
        </w:rPr>
        <w:t>have atrial flutter</w:t>
      </w:r>
      <w:r w:rsidRPr="005D376B">
        <w:rPr>
          <w:rFonts w:eastAsia="Times New Roman" w:cstheme="minorHAnsi"/>
          <w:sz w:val="24"/>
          <w:szCs w:val="24"/>
          <w:lang w:eastAsia="de-DE"/>
        </w:rPr>
        <w:t>. There w</w:t>
      </w:r>
      <w:r>
        <w:rPr>
          <w:rFonts w:eastAsia="Times New Roman" w:cstheme="minorHAnsi"/>
          <w:sz w:val="24"/>
          <w:szCs w:val="24"/>
          <w:lang w:eastAsia="de-DE"/>
        </w:rPr>
        <w:t>ere</w:t>
      </w:r>
      <w:r w:rsidRPr="005D376B">
        <w:rPr>
          <w:rFonts w:eastAsia="Times New Roman" w:cstheme="minorHAnsi"/>
          <w:sz w:val="24"/>
          <w:szCs w:val="24"/>
          <w:lang w:eastAsia="de-DE"/>
        </w:rPr>
        <w:t xml:space="preserve"> </w:t>
      </w:r>
      <w:r>
        <w:rPr>
          <w:rFonts w:eastAsia="Times New Roman" w:cstheme="minorHAnsi"/>
          <w:sz w:val="24"/>
          <w:szCs w:val="24"/>
          <w:lang w:eastAsia="de-DE"/>
        </w:rPr>
        <w:t xml:space="preserve">5 (8%) </w:t>
      </w:r>
      <w:r w:rsidRPr="00DE5E27">
        <w:rPr>
          <w:rFonts w:eastAsia="Times New Roman" w:cstheme="minorHAnsi"/>
          <w:sz w:val="24"/>
          <w:szCs w:val="24"/>
          <w:lang w:eastAsia="de-DE"/>
        </w:rPr>
        <w:t>other atrial tachycardi</w:t>
      </w:r>
      <w:r>
        <w:rPr>
          <w:rFonts w:eastAsia="Times New Roman" w:cstheme="minorHAnsi"/>
          <w:sz w:val="24"/>
          <w:szCs w:val="24"/>
          <w:lang w:eastAsia="de-DE"/>
        </w:rPr>
        <w:t>as</w:t>
      </w:r>
      <w:r w:rsidRPr="00DE5E27">
        <w:rPr>
          <w:rFonts w:eastAsia="Times New Roman" w:cstheme="minorHAnsi"/>
          <w:sz w:val="24"/>
          <w:szCs w:val="24"/>
          <w:lang w:eastAsia="de-DE"/>
        </w:rPr>
        <w:t xml:space="preserve"> </w:t>
      </w:r>
      <w:r>
        <w:rPr>
          <w:rFonts w:eastAsia="Times New Roman" w:cstheme="minorHAnsi"/>
          <w:sz w:val="24"/>
          <w:szCs w:val="24"/>
          <w:lang w:eastAsia="de-DE"/>
        </w:rPr>
        <w:t>in the</w:t>
      </w:r>
      <w:r w:rsidRPr="00DE5E27">
        <w:rPr>
          <w:rFonts w:eastAsia="Times New Roman" w:cstheme="minorHAnsi"/>
          <w:sz w:val="24"/>
          <w:szCs w:val="24"/>
          <w:lang w:eastAsia="de-DE"/>
        </w:rPr>
        <w:t xml:space="preserve"> </w:t>
      </w:r>
      <w:r>
        <w:rPr>
          <w:rFonts w:eastAsia="Times New Roman" w:cstheme="minorHAnsi"/>
          <w:sz w:val="24"/>
          <w:szCs w:val="24"/>
          <w:lang w:eastAsia="de-DE"/>
        </w:rPr>
        <w:t xml:space="preserve">CB </w:t>
      </w:r>
      <w:r w:rsidRPr="00DE5E27">
        <w:rPr>
          <w:rFonts w:eastAsia="Times New Roman" w:cstheme="minorHAnsi"/>
          <w:sz w:val="24"/>
          <w:szCs w:val="24"/>
          <w:lang w:eastAsia="de-DE"/>
        </w:rPr>
        <w:t>cohort</w:t>
      </w:r>
      <w:r w:rsidRPr="005D376B">
        <w:rPr>
          <w:rFonts w:eastAsia="Times New Roman" w:cstheme="minorHAnsi"/>
          <w:sz w:val="24"/>
          <w:szCs w:val="24"/>
          <w:lang w:eastAsia="de-DE"/>
        </w:rPr>
        <w:t>.</w:t>
      </w:r>
    </w:p>
    <w:p w14:paraId="12D47ECF" w14:textId="77777777" w:rsidR="00EF7B31" w:rsidRDefault="00EF7B31" w:rsidP="00EF7B31">
      <w:pPr>
        <w:shd w:val="clear" w:color="auto" w:fill="FFFFFF"/>
        <w:spacing w:after="100" w:afterAutospacing="1" w:line="276" w:lineRule="auto"/>
        <w:rPr>
          <w:rFonts w:ascii="Helvetica" w:eastAsia="Times New Roman" w:hAnsi="Helvetica" w:cs="Helvetica"/>
          <w:color w:val="000000"/>
          <w:sz w:val="24"/>
          <w:szCs w:val="24"/>
          <w:lang w:eastAsia="de-DE"/>
        </w:rPr>
      </w:pPr>
      <w:r>
        <w:rPr>
          <w:noProof/>
        </w:rPr>
        <w:drawing>
          <wp:inline distT="0" distB="0" distL="0" distR="0" wp14:anchorId="26715F47" wp14:editId="6660DC5D">
            <wp:extent cx="5829300" cy="2979420"/>
            <wp:effectExtent l="0" t="0" r="0" b="11430"/>
            <wp:docPr id="7" name="Diagramm 7">
              <a:extLst xmlns:a="http://schemas.openxmlformats.org/drawingml/2006/main">
                <a:ext uri="{FF2B5EF4-FFF2-40B4-BE49-F238E27FC236}">
                  <a16:creationId xmlns:a16="http://schemas.microsoft.com/office/drawing/2014/main" id="{5CF6A2B5-59A5-1241-0C29-D904B74087B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7D119440" w14:textId="77777777" w:rsidR="00EF7B31" w:rsidRDefault="00EF7B31" w:rsidP="00EF7B31">
      <w:pPr>
        <w:shd w:val="clear" w:color="auto" w:fill="FFFFFF"/>
        <w:spacing w:after="100" w:afterAutospacing="1" w:line="276" w:lineRule="auto"/>
        <w:rPr>
          <w:rFonts w:eastAsia="Times New Roman" w:cstheme="minorHAnsi"/>
          <w:color w:val="000000"/>
          <w:sz w:val="24"/>
          <w:szCs w:val="24"/>
          <w:lang w:eastAsia="de-DE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de-DE"/>
        </w:rPr>
        <w:lastRenderedPageBreak/>
        <w:t>Graph 2A</w:t>
      </w:r>
      <w:r w:rsidRPr="00CE69C7">
        <w:rPr>
          <w:rFonts w:eastAsia="Times New Roman" w:cstheme="minorHAnsi"/>
          <w:b/>
          <w:bCs/>
          <w:color w:val="000000"/>
          <w:sz w:val="24"/>
          <w:szCs w:val="24"/>
          <w:lang w:eastAsia="de-DE"/>
        </w:rPr>
        <w:t>: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de-DE"/>
        </w:rPr>
        <w:t xml:space="preserve"> </w:t>
      </w:r>
      <w:r w:rsidRPr="0064652D">
        <w:rPr>
          <w:rFonts w:eastAsia="Times New Roman" w:cstheme="minorHAnsi"/>
          <w:color w:val="000000"/>
          <w:sz w:val="24"/>
          <w:szCs w:val="24"/>
          <w:lang w:eastAsia="de-DE"/>
        </w:rPr>
        <w:t>The mean time between redo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 </w:t>
      </w:r>
      <w:r w:rsidRPr="0064652D">
        <w:rPr>
          <w:rFonts w:eastAsia="Times New Roman" w:cstheme="minorHAnsi"/>
          <w:color w:val="000000"/>
          <w:sz w:val="24"/>
          <w:szCs w:val="24"/>
          <w:lang w:eastAsia="de-DE"/>
        </w:rPr>
        <w:t>ablation and randomization was significantly different between the cryoballoon redo group and the radio frequency redo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 </w:t>
      </w:r>
      <w:r w:rsidRPr="0064652D">
        <w:rPr>
          <w:rFonts w:eastAsia="Times New Roman" w:cstheme="minorHAnsi"/>
          <w:color w:val="000000"/>
          <w:sz w:val="24"/>
          <w:szCs w:val="24"/>
          <w:lang w:eastAsia="de-DE"/>
        </w:rPr>
        <w:t>group for the benefit of the cryoba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lloon group (323 and 238 days, </w:t>
      </w:r>
      <w:r w:rsidRPr="0064652D">
        <w:rPr>
          <w:rFonts w:eastAsia="Times New Roman" w:cstheme="minorHAnsi"/>
          <w:i/>
          <w:iCs/>
          <w:color w:val="000000"/>
          <w:sz w:val="24"/>
          <w:szCs w:val="24"/>
          <w:lang w:eastAsia="de-DE"/>
        </w:rPr>
        <w:t>P</w:t>
      </w:r>
      <w:r w:rsidRPr="0064652D">
        <w:rPr>
          <w:rFonts w:eastAsia="Times New Roman" w:cstheme="minorHAnsi"/>
          <w:color w:val="000000"/>
          <w:sz w:val="24"/>
          <w:szCs w:val="24"/>
          <w:lang w:eastAsia="de-DE"/>
        </w:rPr>
        <w:t>=0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  <w:t>,</w:t>
      </w:r>
      <w:r w:rsidRPr="0064652D">
        <w:rPr>
          <w:rFonts w:eastAsia="Times New Roman" w:cstheme="minorHAnsi"/>
          <w:color w:val="000000"/>
          <w:sz w:val="24"/>
          <w:szCs w:val="24"/>
          <w:lang w:eastAsia="de-DE"/>
        </w:rPr>
        <w:t>008).</w:t>
      </w:r>
    </w:p>
    <w:p w14:paraId="5356B33B" w14:textId="77777777" w:rsidR="00EF7B31" w:rsidRDefault="00EF7B31" w:rsidP="00EF7B31">
      <w:pPr>
        <w:spacing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noProof/>
        </w:rPr>
        <w:drawing>
          <wp:inline distT="0" distB="0" distL="0" distR="0" wp14:anchorId="2AB14D7F" wp14:editId="6EF6D02F">
            <wp:extent cx="5806440" cy="3276600"/>
            <wp:effectExtent l="0" t="0" r="3810" b="0"/>
            <wp:docPr id="11" name="Diagramm 11">
              <a:extLst xmlns:a="http://schemas.openxmlformats.org/drawingml/2006/main">
                <a:ext uri="{FF2B5EF4-FFF2-40B4-BE49-F238E27FC236}">
                  <a16:creationId xmlns:a16="http://schemas.microsoft.com/office/drawing/2014/main" id="{21F29444-1FDC-FCE9-6C6E-FCB1E68710B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026C71C" w14:textId="77777777" w:rsidR="00EF7B31" w:rsidRDefault="00EF7B31" w:rsidP="00EF7B31">
      <w:pPr>
        <w:spacing w:after="100" w:afterAutospacing="1" w:line="276" w:lineRule="auto"/>
        <w:rPr>
          <w:rFonts w:ascii="Helvetica" w:eastAsia="Times New Roman" w:hAnsi="Helvetica" w:cs="Helvetica"/>
          <w:color w:val="000000"/>
          <w:sz w:val="24"/>
          <w:szCs w:val="24"/>
          <w:lang w:eastAsia="de-DE"/>
        </w:rPr>
      </w:pPr>
      <w:r>
        <w:rPr>
          <w:rFonts w:eastAsia="Times New Roman" w:cstheme="minorHAnsi"/>
          <w:b/>
          <w:bCs/>
          <w:sz w:val="24"/>
          <w:szCs w:val="24"/>
          <w:lang w:eastAsia="de-DE"/>
        </w:rPr>
        <w:t>Graph 2B</w:t>
      </w:r>
      <w:r w:rsidRPr="00400E52">
        <w:rPr>
          <w:rFonts w:eastAsia="Times New Roman" w:cstheme="minorHAnsi"/>
          <w:b/>
          <w:bCs/>
          <w:sz w:val="24"/>
          <w:szCs w:val="24"/>
          <w:lang w:eastAsia="de-DE"/>
        </w:rPr>
        <w:t>:</w:t>
      </w:r>
      <w:r w:rsidRPr="00400E52">
        <w:rPr>
          <w:rFonts w:eastAsia="Times New Roman" w:cstheme="minorHAnsi"/>
          <w:sz w:val="24"/>
          <w:szCs w:val="24"/>
          <w:lang w:eastAsia="de-DE"/>
        </w:rPr>
        <w:t> </w:t>
      </w:r>
      <w:r w:rsidRPr="00400E52">
        <w:rPr>
          <w:rFonts w:eastAsia="Times New Roman" w:cstheme="minorHAnsi"/>
          <w:b/>
          <w:bCs/>
          <w:sz w:val="24"/>
          <w:szCs w:val="24"/>
          <w:lang w:eastAsia="de-DE"/>
        </w:rPr>
        <w:t>Number of</w:t>
      </w:r>
      <w:r w:rsidRPr="00400E52">
        <w:rPr>
          <w:rFonts w:eastAsia="Times New Roman" w:cstheme="minorHAnsi"/>
          <w:sz w:val="24"/>
          <w:szCs w:val="24"/>
          <w:lang w:eastAsia="de-DE"/>
        </w:rPr>
        <w:t xml:space="preserve"> </w:t>
      </w:r>
      <w:r w:rsidRPr="00400E52">
        <w:rPr>
          <w:rFonts w:eastAsia="Times New Roman" w:cstheme="minorHAnsi"/>
          <w:b/>
          <w:bCs/>
          <w:sz w:val="24"/>
          <w:szCs w:val="24"/>
          <w:lang w:eastAsia="de-DE"/>
        </w:rPr>
        <w:t>Pulmonary vein (PV) reconnections during repeat ablation</w:t>
      </w:r>
      <w:r w:rsidRPr="005D376B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 xml:space="preserve">. </w:t>
      </w:r>
      <w:r w:rsidRPr="00400E52">
        <w:rPr>
          <w:rFonts w:eastAsia="Times New Roman" w:cstheme="minorHAnsi"/>
          <w:sz w:val="24"/>
          <w:szCs w:val="24"/>
          <w:lang w:eastAsia="de-DE"/>
        </w:rPr>
        <w:t>In the cryoballon (CB) group</w:t>
      </w:r>
      <w:r>
        <w:rPr>
          <w:rFonts w:eastAsia="Times New Roman" w:cstheme="minorHAnsi"/>
          <w:sz w:val="24"/>
          <w:szCs w:val="24"/>
          <w:lang w:eastAsia="de-DE"/>
        </w:rPr>
        <w:t>, the number of reconnected PVs wa</w:t>
      </w:r>
      <w:r w:rsidRPr="00400E52">
        <w:rPr>
          <w:rFonts w:eastAsia="Times New Roman" w:cstheme="minorHAnsi"/>
          <w:sz w:val="24"/>
          <w:szCs w:val="24"/>
          <w:lang w:eastAsia="de-DE"/>
        </w:rPr>
        <w:t>s significantly higher than in the radiofrequency group</w:t>
      </w:r>
      <w:r>
        <w:rPr>
          <w:rFonts w:eastAsia="Times New Roman" w:cstheme="minorHAnsi"/>
          <w:sz w:val="24"/>
          <w:szCs w:val="24"/>
          <w:lang w:eastAsia="de-DE"/>
        </w:rPr>
        <w:t xml:space="preserve">. </w:t>
      </w:r>
      <w:r w:rsidRPr="00400E52">
        <w:rPr>
          <w:rFonts w:eastAsia="Times New Roman" w:cstheme="minorHAnsi"/>
          <w:color w:val="000000"/>
          <w:sz w:val="24"/>
          <w:szCs w:val="24"/>
          <w:lang w:eastAsia="de-DE"/>
        </w:rPr>
        <w:t>Specifically, in the cryoballoon group, there was significantly more reconnection in the LSPV (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  <w:t>81,2</w:t>
      </w:r>
      <w:r w:rsidRPr="00400E52">
        <w:rPr>
          <w:rFonts w:eastAsia="Times New Roman" w:cstheme="minorHAnsi"/>
          <w:color w:val="000000"/>
          <w:sz w:val="24"/>
          <w:szCs w:val="24"/>
          <w:lang w:eastAsia="de-DE"/>
        </w:rPr>
        <w:t>% versus 50%; </w:t>
      </w:r>
      <w:r w:rsidRPr="00400E52">
        <w:rPr>
          <w:rFonts w:eastAsia="Times New Roman" w:cstheme="minorHAnsi"/>
          <w:i/>
          <w:iCs/>
          <w:sz w:val="24"/>
          <w:szCs w:val="24"/>
          <w:lang w:eastAsia="de-DE"/>
        </w:rPr>
        <w:t>P</w:t>
      </w:r>
      <w:r w:rsidRPr="00400E52">
        <w:rPr>
          <w:rFonts w:eastAsia="Times New Roman" w:cstheme="minorHAnsi"/>
          <w:sz w:val="24"/>
          <w:szCs w:val="24"/>
          <w:lang w:eastAsia="de-DE"/>
        </w:rPr>
        <w:t>=0,028)</w:t>
      </w:r>
      <w:r w:rsidRPr="00400E52">
        <w:rPr>
          <w:rFonts w:eastAsia="Times New Roman" w:cstheme="minorHAnsi"/>
          <w:color w:val="000000"/>
          <w:sz w:val="24"/>
          <w:szCs w:val="24"/>
          <w:lang w:eastAsia="de-DE"/>
        </w:rPr>
        <w:t xml:space="preserve"> and a light trend towards fewer Reconnection in LIPV (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  <w:t>75</w:t>
      </w:r>
      <w:r w:rsidRPr="00400E52">
        <w:rPr>
          <w:rFonts w:eastAsia="Times New Roman" w:cstheme="minorHAnsi"/>
          <w:color w:val="000000"/>
          <w:sz w:val="24"/>
          <w:szCs w:val="24"/>
          <w:lang w:eastAsia="de-DE"/>
        </w:rPr>
        <w:t>% versus 50%; </w:t>
      </w:r>
      <w:r w:rsidRPr="00400E52">
        <w:rPr>
          <w:rFonts w:eastAsia="Times New Roman" w:cstheme="minorHAnsi"/>
          <w:i/>
          <w:iCs/>
          <w:sz w:val="24"/>
          <w:szCs w:val="24"/>
          <w:lang w:eastAsia="de-DE"/>
        </w:rPr>
        <w:t>P</w:t>
      </w:r>
      <w:r w:rsidRPr="00400E52">
        <w:rPr>
          <w:rFonts w:eastAsia="Times New Roman" w:cstheme="minorHAnsi"/>
          <w:sz w:val="24"/>
          <w:szCs w:val="24"/>
          <w:lang w:eastAsia="de-DE"/>
        </w:rPr>
        <w:t>=0,1)</w:t>
      </w:r>
      <w:r w:rsidRPr="00400E52">
        <w:rPr>
          <w:rFonts w:eastAsia="Times New Roman" w:cstheme="minorHAnsi"/>
          <w:color w:val="000000"/>
          <w:sz w:val="24"/>
          <w:szCs w:val="24"/>
          <w:lang w:eastAsia="de-DE"/>
        </w:rPr>
        <w:t xml:space="preserve"> than in the RFC group (Figure </w:t>
      </w:r>
      <w:r w:rsidRPr="00400E52">
        <w:rPr>
          <w:rFonts w:eastAsia="Times New Roman" w:cstheme="minorHAnsi"/>
          <w:sz w:val="24"/>
          <w:szCs w:val="24"/>
          <w:lang w:eastAsia="de-DE"/>
        </w:rPr>
        <w:t>2B).</w:t>
      </w:r>
      <w:r w:rsidRPr="00400E52">
        <w:rPr>
          <w:rFonts w:eastAsia="Times New Roman" w:cstheme="minorHAnsi"/>
          <w:color w:val="000000"/>
          <w:sz w:val="24"/>
          <w:szCs w:val="24"/>
          <w:lang w:eastAsia="de-DE"/>
        </w:rPr>
        <w:t xml:space="preserve"> RSPV was significa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  <w:t>n</w:t>
      </w:r>
      <w:r w:rsidRPr="00400E52">
        <w:rPr>
          <w:rFonts w:eastAsia="Times New Roman" w:cstheme="minorHAnsi"/>
          <w:color w:val="000000"/>
          <w:sz w:val="24"/>
          <w:szCs w:val="24"/>
          <w:lang w:eastAsia="de-DE"/>
        </w:rPr>
        <w:t>tly more reconnect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  <w:t>ed</w:t>
      </w:r>
      <w:r w:rsidRPr="00400E52">
        <w:rPr>
          <w:rFonts w:eastAsia="Times New Roman" w:cstheme="minorHAnsi"/>
          <w:color w:val="000000"/>
          <w:sz w:val="24"/>
          <w:szCs w:val="24"/>
          <w:lang w:eastAsia="de-DE"/>
        </w:rPr>
        <w:t xml:space="preserve"> in the cryoballoon ablation group than in the RFC ablation group (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  <w:t>75</w:t>
      </w:r>
      <w:r w:rsidRPr="00400E52">
        <w:rPr>
          <w:rFonts w:eastAsia="Times New Roman" w:cstheme="minorHAnsi"/>
          <w:color w:val="000000"/>
          <w:sz w:val="24"/>
          <w:szCs w:val="24"/>
          <w:lang w:eastAsia="de-DE"/>
        </w:rPr>
        <w:t>% versus 3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  <w:t>3</w:t>
      </w:r>
      <w:r w:rsidRPr="00400E52">
        <w:rPr>
          <w:rFonts w:eastAsia="Times New Roman" w:cstheme="minorHAnsi"/>
          <w:color w:val="000000"/>
          <w:sz w:val="24"/>
          <w:szCs w:val="24"/>
          <w:lang w:eastAsia="de-DE"/>
        </w:rPr>
        <w:t>%, respectively; </w:t>
      </w:r>
      <w:r w:rsidRPr="00400E52">
        <w:rPr>
          <w:rFonts w:eastAsia="Times New Roman" w:cstheme="minorHAnsi"/>
          <w:i/>
          <w:iCs/>
          <w:sz w:val="24"/>
          <w:szCs w:val="24"/>
          <w:lang w:eastAsia="de-DE"/>
        </w:rPr>
        <w:t>P</w:t>
      </w:r>
      <w:r w:rsidRPr="00400E52">
        <w:rPr>
          <w:rFonts w:eastAsia="Times New Roman" w:cstheme="minorHAnsi"/>
          <w:sz w:val="24"/>
          <w:szCs w:val="24"/>
          <w:lang w:eastAsia="de-DE"/>
        </w:rPr>
        <w:t>=0</w:t>
      </w:r>
      <w:r>
        <w:rPr>
          <w:rFonts w:eastAsia="Times New Roman" w:cstheme="minorHAnsi"/>
          <w:sz w:val="24"/>
          <w:szCs w:val="24"/>
          <w:lang w:eastAsia="de-DE"/>
        </w:rPr>
        <w:t>,</w:t>
      </w:r>
      <w:r w:rsidRPr="00400E52">
        <w:rPr>
          <w:rFonts w:eastAsia="Times New Roman" w:cstheme="minorHAnsi"/>
          <w:sz w:val="24"/>
          <w:szCs w:val="24"/>
          <w:lang w:eastAsia="de-DE"/>
        </w:rPr>
        <w:t>035</w:t>
      </w:r>
      <w:r w:rsidRPr="00400E52">
        <w:rPr>
          <w:rFonts w:eastAsia="Times New Roman" w:cstheme="minorHAnsi"/>
          <w:color w:val="000000"/>
          <w:sz w:val="24"/>
          <w:szCs w:val="24"/>
          <w:lang w:eastAsia="de-DE"/>
        </w:rPr>
        <w:t xml:space="preserve">). 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  <w:t>T</w:t>
      </w:r>
      <w:r w:rsidRPr="00400E52">
        <w:rPr>
          <w:rFonts w:eastAsia="Times New Roman" w:cstheme="minorHAnsi"/>
          <w:color w:val="000000"/>
          <w:sz w:val="24"/>
          <w:szCs w:val="24"/>
          <w:lang w:eastAsia="de-DE"/>
        </w:rPr>
        <w:t>he RIPV had more reconnection in the Cryo-Redo cohort (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  <w:t>78</w:t>
      </w:r>
      <w:r w:rsidRPr="00400E52">
        <w:rPr>
          <w:rFonts w:eastAsia="Times New Roman" w:cstheme="minorHAnsi"/>
          <w:color w:val="000000"/>
          <w:sz w:val="24"/>
          <w:szCs w:val="24"/>
          <w:lang w:eastAsia="de-DE"/>
        </w:rPr>
        <w:t>% versus 3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  <w:t>3</w:t>
      </w:r>
      <w:r w:rsidRPr="00400E52">
        <w:rPr>
          <w:rFonts w:eastAsia="Times New Roman" w:cstheme="minorHAnsi"/>
          <w:color w:val="000000"/>
          <w:sz w:val="24"/>
          <w:szCs w:val="24"/>
          <w:lang w:eastAsia="de-DE"/>
        </w:rPr>
        <w:t>%, p=0,009) than in the RFC-Redo cohort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de-DE"/>
        </w:rPr>
        <w:t>.</w:t>
      </w:r>
    </w:p>
    <w:p w14:paraId="4EC6A4DC" w14:textId="77777777" w:rsidR="00F964D3" w:rsidRDefault="00F964D3"/>
    <w:sectPr w:rsidR="00F964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B31"/>
    <w:rsid w:val="00EF7B31"/>
    <w:rsid w:val="00F9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04872"/>
  <w15:chartTrackingRefBased/>
  <w15:docId w15:val="{21101809-8D0E-444B-91F4-3BDA27CBC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B31"/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_sch_000\Desktop\Compare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_sch_000\Desktop\Compare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_sch_000\Desktop\Compare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00" b="1" i="1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300" b="1" i="1" baseline="0">
                <a:solidFill>
                  <a:schemeClr val="tx1"/>
                </a:solidFill>
              </a:rPr>
              <a:t>P=0,8</a:t>
            </a:r>
          </a:p>
        </c:rich>
      </c:tx>
      <c:layout>
        <c:manualLayout>
          <c:xMode val="edge"/>
          <c:yMode val="edge"/>
          <c:x val="0.38899300087489064"/>
          <c:y val="0.2083333333333333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00" b="1" i="1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Tabelle1!$A$8</c:f>
              <c:strCache>
                <c:ptCount val="1"/>
                <c:pt idx="0">
                  <c:v>PaAF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Tabelle1!$B$6:$E$7</c:f>
              <c:strCache>
                <c:ptCount val="3"/>
                <c:pt idx="0">
                  <c:v>RFC-Redo(N=29)</c:v>
                </c:pt>
                <c:pt idx="2">
                  <c:v>CB-Redo(N32)</c:v>
                </c:pt>
              </c:strCache>
            </c:strRef>
          </c:cat>
          <c:val>
            <c:numRef>
              <c:f>Tabelle1!$B$8:$E$8</c:f>
              <c:numCache>
                <c:formatCode>General</c:formatCode>
                <c:ptCount val="4"/>
                <c:pt idx="0">
                  <c:v>20</c:v>
                </c:pt>
                <c:pt idx="2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082-449C-89F1-1D431440FCA5}"/>
            </c:ext>
          </c:extLst>
        </c:ser>
        <c:ser>
          <c:idx val="1"/>
          <c:order val="1"/>
          <c:tx>
            <c:strRef>
              <c:f>Tabelle1!$A$9</c:f>
              <c:strCache>
                <c:ptCount val="1"/>
                <c:pt idx="0">
                  <c:v>PersAF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Tabelle1!$B$6:$E$7</c:f>
              <c:strCache>
                <c:ptCount val="3"/>
                <c:pt idx="0">
                  <c:v>RFC-Redo(N=29)</c:v>
                </c:pt>
                <c:pt idx="2">
                  <c:v>CB-Redo(N32)</c:v>
                </c:pt>
              </c:strCache>
            </c:strRef>
          </c:cat>
          <c:val>
            <c:numRef>
              <c:f>Tabelle1!$B$9:$E$9</c:f>
              <c:numCache>
                <c:formatCode>General</c:formatCode>
                <c:ptCount val="4"/>
                <c:pt idx="0">
                  <c:v>9</c:v>
                </c:pt>
                <c:pt idx="2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082-449C-89F1-1D431440FCA5}"/>
            </c:ext>
          </c:extLst>
        </c:ser>
        <c:ser>
          <c:idx val="2"/>
          <c:order val="2"/>
          <c:tx>
            <c:strRef>
              <c:f>Tabelle1!$A$10</c:f>
              <c:strCache>
                <c:ptCount val="1"/>
                <c:pt idx="0">
                  <c:v>Typ.AFL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Tabelle1!$B$6:$E$7</c:f>
              <c:strCache>
                <c:ptCount val="3"/>
                <c:pt idx="0">
                  <c:v>RFC-Redo(N=29)</c:v>
                </c:pt>
                <c:pt idx="2">
                  <c:v>CB-Redo(N32)</c:v>
                </c:pt>
              </c:strCache>
            </c:strRef>
          </c:cat>
          <c:val>
            <c:numRef>
              <c:f>Tabelle1!$B$10:$E$10</c:f>
              <c:numCache>
                <c:formatCode>General</c:formatCode>
                <c:ptCount val="4"/>
                <c:pt idx="0">
                  <c:v>3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082-449C-89F1-1D431440FCA5}"/>
            </c:ext>
          </c:extLst>
        </c:ser>
        <c:ser>
          <c:idx val="3"/>
          <c:order val="3"/>
          <c:tx>
            <c:strRef>
              <c:f>Tabelle1!$A$11</c:f>
              <c:strCache>
                <c:ptCount val="1"/>
                <c:pt idx="0">
                  <c:v>TEA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Tabelle1!$B$6:$E$7</c:f>
              <c:strCache>
                <c:ptCount val="3"/>
                <c:pt idx="0">
                  <c:v>RFC-Redo(N=29)</c:v>
                </c:pt>
                <c:pt idx="2">
                  <c:v>CB-Redo(N32)</c:v>
                </c:pt>
              </c:strCache>
            </c:strRef>
          </c:cat>
          <c:val>
            <c:numRef>
              <c:f>Tabelle1!$B$11:$E$11</c:f>
              <c:numCache>
                <c:formatCode>General</c:formatCode>
                <c:ptCount val="4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082-449C-89F1-1D431440FCA5}"/>
            </c:ext>
          </c:extLst>
        </c:ser>
        <c:ser>
          <c:idx val="4"/>
          <c:order val="4"/>
          <c:tx>
            <c:strRef>
              <c:f>Tabelle1!$A$12</c:f>
              <c:strCache>
                <c:ptCount val="1"/>
                <c:pt idx="0">
                  <c:v>Other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Tabelle1!$B$6:$E$7</c:f>
              <c:strCache>
                <c:ptCount val="3"/>
                <c:pt idx="0">
                  <c:v>RFC-Redo(N=29)</c:v>
                </c:pt>
                <c:pt idx="2">
                  <c:v>CB-Redo(N32)</c:v>
                </c:pt>
              </c:strCache>
            </c:strRef>
          </c:cat>
          <c:val>
            <c:numRef>
              <c:f>Tabelle1!$B$12:$E$12</c:f>
              <c:numCache>
                <c:formatCode>General</c:formatCode>
                <c:ptCount val="4"/>
                <c:pt idx="0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082-449C-89F1-1D431440FC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055739919"/>
        <c:axId val="1055740751"/>
        <c:extLst>
          <c:ext xmlns:c15="http://schemas.microsoft.com/office/drawing/2012/chart" uri="{02D57815-91ED-43cb-92C2-25804820EDAC}">
            <c15:filteredBarSeries>
              <c15:ser>
                <c:idx val="5"/>
                <c:order val="5"/>
                <c:tx>
                  <c:strRef>
                    <c:extLst>
                      <c:ext uri="{02D57815-91ED-43cb-92C2-25804820EDAC}">
                        <c15:formulaRef>
                          <c15:sqref>Tabelle1!$A$13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6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Tabelle1!$B$6:$E$7</c15:sqref>
                        </c15:formulaRef>
                      </c:ext>
                    </c:extLst>
                    <c:strCache>
                      <c:ptCount val="3"/>
                      <c:pt idx="0">
                        <c:v>RFC-Redo(N=29)</c:v>
                      </c:pt>
                      <c:pt idx="2">
                        <c:v>CB-Redo(N32)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Tabelle1!$B$13:$E$13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5-E082-449C-89F1-1D431440FCA5}"/>
                  </c:ext>
                </c:extLst>
              </c15:ser>
            </c15:filteredBarSeries>
          </c:ext>
        </c:extLst>
      </c:barChart>
      <c:catAx>
        <c:axId val="1055739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55740751"/>
        <c:crosses val="autoZero"/>
        <c:auto val="1"/>
        <c:lblAlgn val="ctr"/>
        <c:lblOffset val="100"/>
        <c:noMultiLvlLbl val="0"/>
      </c:catAx>
      <c:valAx>
        <c:axId val="105574075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55739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bg1">
                    <a:lumMod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400" b="0" i="0" baseline="0">
                <a:solidFill>
                  <a:schemeClr val="bg1">
                    <a:lumMod val="50000"/>
                  </a:schemeClr>
                </a:solidFill>
              </a:rPr>
              <a:t>Days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bg1">
                  <a:lumMod val="50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Tabelle1!$A$19:$D$20</c:f>
              <c:strCache>
                <c:ptCount val="3"/>
                <c:pt idx="0">
                  <c:v>RFC-Redo(N=29)</c:v>
                </c:pt>
                <c:pt idx="2">
                  <c:v>CB-Redo(N32)</c:v>
                </c:pt>
              </c:strCache>
            </c:strRef>
          </c:cat>
          <c:val>
            <c:numRef>
              <c:f>Tabelle1!$A$21:$D$21</c:f>
              <c:numCache>
                <c:formatCode>General</c:formatCode>
                <c:ptCount val="4"/>
                <c:pt idx="0">
                  <c:v>323</c:v>
                </c:pt>
                <c:pt idx="2">
                  <c:v>238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C68-499E-A157-E89B3D2805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059515055"/>
        <c:axId val="1059517967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spPr>
                  <a:gradFill rotWithShape="1">
                    <a:gsLst>
                      <a:gs pos="0">
                        <a:schemeClr val="accent2"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2"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2"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Tabelle1!$A$19:$D$20</c15:sqref>
                        </c15:formulaRef>
                      </c:ext>
                    </c:extLst>
                    <c:strCache>
                      <c:ptCount val="3"/>
                      <c:pt idx="0">
                        <c:v>RFC-Redo(N=29)</c:v>
                      </c:pt>
                      <c:pt idx="2">
                        <c:v>CB-Redo(N32)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Tabelle1!$A$22:$D$22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0C68-499E-A157-E89B3D2805CF}"/>
                  </c:ext>
                </c:extLst>
              </c15:ser>
            </c15:filteredBarSeries>
          </c:ext>
        </c:extLst>
      </c:barChart>
      <c:catAx>
        <c:axId val="105951505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59517967"/>
        <c:crosses val="autoZero"/>
        <c:auto val="1"/>
        <c:lblAlgn val="ctr"/>
        <c:lblOffset val="100"/>
        <c:noMultiLvlLbl val="0"/>
      </c:catAx>
      <c:valAx>
        <c:axId val="105951796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595150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00" b="0" i="1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300" b="0" i="1" baseline="0">
                <a:solidFill>
                  <a:schemeClr val="tx1"/>
                </a:solidFill>
              </a:rPr>
              <a:t>P=0,0004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00" b="0" i="1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1"/>
          <c:order val="1"/>
          <c:tx>
            <c:strRef>
              <c:f>Tabelle1!$C$24:$C$25</c:f>
              <c:strCache>
                <c:ptCount val="2"/>
                <c:pt idx="1">
                  <c:v>RFC-Redo(N=29)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Tabelle1!$A$26:$A$29</c:f>
              <c:strCache>
                <c:ptCount val="4"/>
                <c:pt idx="0">
                  <c:v>LSPV</c:v>
                </c:pt>
                <c:pt idx="1">
                  <c:v>LIPV</c:v>
                </c:pt>
                <c:pt idx="2">
                  <c:v>RSPV</c:v>
                </c:pt>
                <c:pt idx="3">
                  <c:v>RIPV</c:v>
                </c:pt>
              </c:strCache>
            </c:strRef>
          </c:cat>
          <c:val>
            <c:numRef>
              <c:f>Tabelle1!$C$26:$C$29</c:f>
              <c:numCache>
                <c:formatCode>General</c:formatCode>
                <c:ptCount val="4"/>
                <c:pt idx="0">
                  <c:v>15</c:v>
                </c:pt>
                <c:pt idx="1">
                  <c:v>15</c:v>
                </c:pt>
                <c:pt idx="2">
                  <c:v>9</c:v>
                </c:pt>
                <c:pt idx="3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700-458D-8FE3-05802B070322}"/>
            </c:ext>
          </c:extLst>
        </c:ser>
        <c:ser>
          <c:idx val="3"/>
          <c:order val="3"/>
          <c:tx>
            <c:strRef>
              <c:f>Tabelle1!$E$24:$E$25</c:f>
              <c:strCache>
                <c:ptCount val="2"/>
                <c:pt idx="1">
                  <c:v>CB-Redo(N32)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Tabelle1!$A$26:$A$29</c:f>
              <c:strCache>
                <c:ptCount val="4"/>
                <c:pt idx="0">
                  <c:v>LSPV</c:v>
                </c:pt>
                <c:pt idx="1">
                  <c:v>LIPV</c:v>
                </c:pt>
                <c:pt idx="2">
                  <c:v>RSPV</c:v>
                </c:pt>
                <c:pt idx="3">
                  <c:v>RIPV</c:v>
                </c:pt>
              </c:strCache>
            </c:strRef>
          </c:cat>
          <c:val>
            <c:numRef>
              <c:f>Tabelle1!$E$26:$E$29</c:f>
              <c:numCache>
                <c:formatCode>General</c:formatCode>
                <c:ptCount val="4"/>
                <c:pt idx="0">
                  <c:v>26</c:v>
                </c:pt>
                <c:pt idx="1">
                  <c:v>24</c:v>
                </c:pt>
                <c:pt idx="2">
                  <c:v>24</c:v>
                </c:pt>
                <c:pt idx="3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700-458D-8FE3-05802B0703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57796703"/>
        <c:axId val="1057797119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Tabelle1!$B$24:$B$25</c15:sqref>
                        </c15:formulaRef>
                      </c:ext>
                    </c:extLst>
                    <c:strCache>
                      <c:ptCount val="2"/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Tabelle1!$A$26:$A$29</c15:sqref>
                        </c15:formulaRef>
                      </c:ext>
                    </c:extLst>
                    <c:strCache>
                      <c:ptCount val="4"/>
                      <c:pt idx="0">
                        <c:v>LSPV</c:v>
                      </c:pt>
                      <c:pt idx="1">
                        <c:v>LIPV</c:v>
                      </c:pt>
                      <c:pt idx="2">
                        <c:v>RSPV</c:v>
                      </c:pt>
                      <c:pt idx="3">
                        <c:v>RIPV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Tabelle1!$B$26:$B$29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2-4700-458D-8FE3-05802B070322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Tabelle1!$D$24:$D$25</c15:sqref>
                        </c15:formulaRef>
                      </c:ext>
                    </c:extLst>
                    <c:strCache>
                      <c:ptCount val="2"/>
                      <c:pt idx="1">
                        <c:v>RFC-Redo(N=29)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Tabelle1!$A$26:$A$29</c15:sqref>
                        </c15:formulaRef>
                      </c:ext>
                    </c:extLst>
                    <c:strCache>
                      <c:ptCount val="4"/>
                      <c:pt idx="0">
                        <c:v>LSPV</c:v>
                      </c:pt>
                      <c:pt idx="1">
                        <c:v>LIPV</c:v>
                      </c:pt>
                      <c:pt idx="2">
                        <c:v>RSPV</c:v>
                      </c:pt>
                      <c:pt idx="3">
                        <c:v>RIPV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Tabelle1!$D$26:$D$29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4700-458D-8FE3-05802B070322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Tabelle1!$F$24:$F$25</c15:sqref>
                        </c15:formulaRef>
                      </c:ext>
                    </c:extLst>
                    <c:strCache>
                      <c:ptCount val="2"/>
                      <c:pt idx="1">
                        <c:v>CB-Redo(N32)</c:v>
                      </c:pt>
                    </c:strCache>
                  </c:strRef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Tabelle1!$A$26:$A$29</c15:sqref>
                        </c15:formulaRef>
                      </c:ext>
                    </c:extLst>
                    <c:strCache>
                      <c:ptCount val="4"/>
                      <c:pt idx="0">
                        <c:v>LSPV</c:v>
                      </c:pt>
                      <c:pt idx="1">
                        <c:v>LIPV</c:v>
                      </c:pt>
                      <c:pt idx="2">
                        <c:v>RSPV</c:v>
                      </c:pt>
                      <c:pt idx="3">
                        <c:v>RIPV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Tabelle1!$F$26:$F$29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4700-458D-8FE3-05802B070322}"/>
                  </c:ext>
                </c:extLst>
              </c15:ser>
            </c15:filteredBarSeries>
          </c:ext>
        </c:extLst>
      </c:barChart>
      <c:catAx>
        <c:axId val="105779670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57797119"/>
        <c:crosses val="autoZero"/>
        <c:auto val="1"/>
        <c:lblAlgn val="ctr"/>
        <c:lblOffset val="100"/>
        <c:noMultiLvlLbl val="0"/>
      </c:catAx>
      <c:valAx>
        <c:axId val="105779711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577967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0.42833</cdr:x>
      <cdr:y>0.19722</cdr:y>
    </cdr:from>
    <cdr:to>
      <cdr:x>0.61167</cdr:x>
      <cdr:y>0.28889</cdr:y>
    </cdr:to>
    <cdr:sp macro="" textlink="">
      <cdr:nvSpPr>
        <cdr:cNvPr id="2" name="Textfeld 1">
          <a:extLst xmlns:a="http://schemas.openxmlformats.org/drawingml/2006/main">
            <a:ext uri="{FF2B5EF4-FFF2-40B4-BE49-F238E27FC236}">
              <a16:creationId xmlns:a16="http://schemas.microsoft.com/office/drawing/2014/main" id="{508C7FE9-B9CD-5286-BEC4-965768B35BF5}"/>
            </a:ext>
          </a:extLst>
        </cdr:cNvPr>
        <cdr:cNvSpPr txBox="1"/>
      </cdr:nvSpPr>
      <cdr:spPr>
        <a:xfrm xmlns:a="http://schemas.openxmlformats.org/drawingml/2006/main">
          <a:off x="1958340" y="541020"/>
          <a:ext cx="838200" cy="25146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de-DE" sz="1100" b="0" i="1" baseline="0"/>
            <a:t>P</a:t>
          </a:r>
          <a:r>
            <a:rPr lang="de-DE" sz="1100"/>
            <a:t>=0,008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1199</Characters>
  <Application>Microsoft Office Word</Application>
  <DocSecurity>0</DocSecurity>
  <Lines>9</Lines>
  <Paragraphs>2</Paragraphs>
  <ScaleCrop>false</ScaleCrop>
  <Company>Springer Nature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2023-11-03T06:53:00Z</dcterms:created>
  <dcterms:modified xsi:type="dcterms:W3CDTF">2023-11-03T06:53:00Z</dcterms:modified>
</cp:coreProperties>
</file>