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2CC5FA" w14:textId="77777777" w:rsidR="00CD44B8" w:rsidRDefault="006D2F54">
      <w:pPr>
        <w:spacing w:line="360" w:lineRule="auto"/>
      </w:pPr>
      <w:r>
        <w:rPr>
          <w:sz w:val="24"/>
          <w:szCs w:val="24"/>
        </w:rPr>
        <w:t xml:space="preserve">Table S1. Questionnaires from the World Trade Center Health Program General Responder Cohort used in this study. </w:t>
      </w:r>
    </w:p>
    <w:tbl>
      <w:tblPr>
        <w:tblStyle w:val="a"/>
        <w:tblW w:w="9360" w:type="dxa"/>
        <w:tblBorders>
          <w:top w:val="nil"/>
          <w:left w:val="nil"/>
          <w:bottom w:val="nil"/>
          <w:right w:val="nil"/>
          <w:insideH w:val="nil"/>
          <w:insideV w:val="nil"/>
        </w:tblBorders>
        <w:tblLayout w:type="fixed"/>
        <w:tblLook w:val="0600" w:firstRow="0" w:lastRow="0" w:firstColumn="0" w:lastColumn="0" w:noHBand="1" w:noVBand="1"/>
      </w:tblPr>
      <w:tblGrid>
        <w:gridCol w:w="2086"/>
        <w:gridCol w:w="4135"/>
        <w:gridCol w:w="2089"/>
        <w:gridCol w:w="1050"/>
      </w:tblGrid>
      <w:tr w:rsidR="00CD44B8" w14:paraId="2BDF8316" w14:textId="77777777">
        <w:trPr>
          <w:trHeight w:val="1069"/>
        </w:trPr>
        <w:tc>
          <w:tcPr>
            <w:tcW w:w="20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B3E350" w14:textId="77777777" w:rsidR="00CD44B8" w:rsidRDefault="006D2F54">
            <w:pPr>
              <w:spacing w:before="240"/>
              <w:rPr>
                <w:sz w:val="20"/>
                <w:szCs w:val="20"/>
              </w:rPr>
            </w:pPr>
            <w:r>
              <w:rPr>
                <w:sz w:val="20"/>
                <w:szCs w:val="20"/>
              </w:rPr>
              <w:t>Instrument</w:t>
            </w:r>
          </w:p>
        </w:tc>
        <w:tc>
          <w:tcPr>
            <w:tcW w:w="413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4A241F39" w14:textId="77777777" w:rsidR="00CD44B8" w:rsidRDefault="006D2F54">
            <w:pPr>
              <w:spacing w:before="240"/>
              <w:rPr>
                <w:sz w:val="20"/>
                <w:szCs w:val="20"/>
              </w:rPr>
            </w:pPr>
            <w:r>
              <w:rPr>
                <w:sz w:val="20"/>
                <w:szCs w:val="20"/>
              </w:rPr>
              <w:t>Description</w:t>
            </w:r>
          </w:p>
        </w:tc>
        <w:tc>
          <w:tcPr>
            <w:tcW w:w="2089"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66CE9929" w14:textId="77777777" w:rsidR="00CD44B8" w:rsidRDefault="006D2F54">
            <w:pPr>
              <w:spacing w:before="240"/>
              <w:rPr>
                <w:sz w:val="20"/>
                <w:szCs w:val="20"/>
              </w:rPr>
            </w:pPr>
            <w:r>
              <w:rPr>
                <w:sz w:val="20"/>
                <w:szCs w:val="20"/>
              </w:rPr>
              <w:t>Visit</w:t>
            </w:r>
          </w:p>
        </w:tc>
        <w:tc>
          <w:tcPr>
            <w:tcW w:w="105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1ED6A75E" w14:textId="77777777" w:rsidR="00CD44B8" w:rsidRDefault="006D2F54">
            <w:pPr>
              <w:spacing w:before="240"/>
              <w:rPr>
                <w:sz w:val="20"/>
                <w:szCs w:val="20"/>
              </w:rPr>
            </w:pPr>
            <w:r>
              <w:rPr>
                <w:sz w:val="20"/>
                <w:szCs w:val="20"/>
              </w:rPr>
              <w:t>Number of Items</w:t>
            </w:r>
          </w:p>
        </w:tc>
      </w:tr>
      <w:tr w:rsidR="00CD44B8" w14:paraId="0EB8DE13" w14:textId="77777777">
        <w:trPr>
          <w:trHeight w:val="485"/>
        </w:trPr>
        <w:tc>
          <w:tcPr>
            <w:tcW w:w="208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8B4B6D6" w14:textId="77777777" w:rsidR="00CD44B8" w:rsidRDefault="006D2F54">
            <w:pPr>
              <w:spacing w:before="240"/>
              <w:rPr>
                <w:sz w:val="20"/>
                <w:szCs w:val="20"/>
              </w:rPr>
            </w:pPr>
            <w:r>
              <w:rPr>
                <w:sz w:val="20"/>
                <w:szCs w:val="20"/>
              </w:rPr>
              <w:t>Exposure assessment questionnaire (EAQ)</w:t>
            </w:r>
          </w:p>
        </w:tc>
        <w:tc>
          <w:tcPr>
            <w:tcW w:w="4135" w:type="dxa"/>
            <w:tcBorders>
              <w:top w:val="nil"/>
              <w:left w:val="nil"/>
              <w:bottom w:val="single" w:sz="8" w:space="0" w:color="000000"/>
              <w:right w:val="single" w:sz="8" w:space="0" w:color="000000"/>
            </w:tcBorders>
            <w:tcMar>
              <w:top w:w="100" w:type="dxa"/>
              <w:left w:w="100" w:type="dxa"/>
              <w:bottom w:w="100" w:type="dxa"/>
              <w:right w:w="100" w:type="dxa"/>
            </w:tcMar>
          </w:tcPr>
          <w:p w14:paraId="07D71367" w14:textId="77777777" w:rsidR="00CD44B8" w:rsidRDefault="006D2F54">
            <w:pPr>
              <w:spacing w:before="240"/>
              <w:rPr>
                <w:sz w:val="20"/>
                <w:szCs w:val="20"/>
              </w:rPr>
            </w:pPr>
            <w:r>
              <w:rPr>
                <w:sz w:val="20"/>
                <w:szCs w:val="20"/>
              </w:rPr>
              <w:t>Interviewer-administered questionnaire that assesses exposures (before 9/11, during WTC recovery efforts and current work) to hazardous and noxious substances, high noise levels, ergonomic risk factors, specific WTC-related tasks, work in confined spaces a</w:t>
            </w:r>
            <w:r>
              <w:rPr>
                <w:sz w:val="20"/>
                <w:szCs w:val="20"/>
              </w:rPr>
              <w:t xml:space="preserve">nd use of PPE and hygiene. </w:t>
            </w:r>
            <w:r>
              <w:rPr>
                <w:sz w:val="20"/>
                <w:szCs w:val="20"/>
              </w:rPr>
              <w:br/>
            </w:r>
          </w:p>
        </w:tc>
        <w:tc>
          <w:tcPr>
            <w:tcW w:w="2089" w:type="dxa"/>
            <w:tcBorders>
              <w:top w:val="nil"/>
              <w:left w:val="nil"/>
              <w:bottom w:val="single" w:sz="8" w:space="0" w:color="000000"/>
              <w:right w:val="single" w:sz="8" w:space="0" w:color="000000"/>
            </w:tcBorders>
            <w:tcMar>
              <w:top w:w="100" w:type="dxa"/>
              <w:left w:w="100" w:type="dxa"/>
              <w:bottom w:w="100" w:type="dxa"/>
              <w:right w:w="100" w:type="dxa"/>
            </w:tcMar>
          </w:tcPr>
          <w:p w14:paraId="610FF9DB" w14:textId="77777777" w:rsidR="00CD44B8" w:rsidRDefault="006D2F54">
            <w:pPr>
              <w:spacing w:before="240"/>
              <w:rPr>
                <w:sz w:val="20"/>
                <w:szCs w:val="20"/>
              </w:rPr>
            </w:pPr>
            <w:r>
              <w:rPr>
                <w:sz w:val="20"/>
                <w:szCs w:val="20"/>
              </w:rPr>
              <w:t xml:space="preserve">Collected at the first monitoring visit only. </w:t>
            </w:r>
          </w:p>
        </w:tc>
        <w:tc>
          <w:tcPr>
            <w:tcW w:w="1050" w:type="dxa"/>
            <w:tcBorders>
              <w:top w:val="nil"/>
              <w:left w:val="nil"/>
              <w:bottom w:val="single" w:sz="8" w:space="0" w:color="000000"/>
              <w:right w:val="single" w:sz="8" w:space="0" w:color="000000"/>
            </w:tcBorders>
            <w:tcMar>
              <w:top w:w="100" w:type="dxa"/>
              <w:left w:w="100" w:type="dxa"/>
              <w:bottom w:w="100" w:type="dxa"/>
              <w:right w:w="100" w:type="dxa"/>
            </w:tcMar>
          </w:tcPr>
          <w:p w14:paraId="3CF1438A" w14:textId="77777777" w:rsidR="00CD44B8" w:rsidRDefault="006D2F54">
            <w:pPr>
              <w:spacing w:before="240"/>
              <w:rPr>
                <w:sz w:val="20"/>
                <w:szCs w:val="20"/>
              </w:rPr>
            </w:pPr>
            <w:r>
              <w:rPr>
                <w:sz w:val="20"/>
                <w:szCs w:val="20"/>
              </w:rPr>
              <w:t>660</w:t>
            </w:r>
          </w:p>
        </w:tc>
      </w:tr>
      <w:tr w:rsidR="00CD44B8" w14:paraId="23B41AA6" w14:textId="77777777">
        <w:trPr>
          <w:trHeight w:val="485"/>
        </w:trPr>
        <w:tc>
          <w:tcPr>
            <w:tcW w:w="208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52C49AE" w14:textId="77777777" w:rsidR="00CD44B8" w:rsidRDefault="006D2F54">
            <w:pPr>
              <w:spacing w:before="240"/>
              <w:rPr>
                <w:sz w:val="20"/>
                <w:szCs w:val="20"/>
              </w:rPr>
            </w:pPr>
            <w:r>
              <w:rPr>
                <w:sz w:val="20"/>
                <w:szCs w:val="20"/>
              </w:rPr>
              <w:t>Self-administered medical questionnaire (SAMQ)*</w:t>
            </w:r>
          </w:p>
        </w:tc>
        <w:tc>
          <w:tcPr>
            <w:tcW w:w="4135" w:type="dxa"/>
            <w:tcBorders>
              <w:top w:val="nil"/>
              <w:left w:val="nil"/>
              <w:bottom w:val="single" w:sz="8" w:space="0" w:color="000000"/>
              <w:right w:val="single" w:sz="8" w:space="0" w:color="000000"/>
            </w:tcBorders>
            <w:tcMar>
              <w:top w:w="100" w:type="dxa"/>
              <w:left w:w="100" w:type="dxa"/>
              <w:bottom w:w="100" w:type="dxa"/>
              <w:right w:w="100" w:type="dxa"/>
            </w:tcMar>
          </w:tcPr>
          <w:p w14:paraId="6F137CB0" w14:textId="77777777" w:rsidR="00CD44B8" w:rsidRDefault="006D2F54">
            <w:pPr>
              <w:spacing w:before="240"/>
              <w:rPr>
                <w:sz w:val="20"/>
                <w:szCs w:val="20"/>
              </w:rPr>
            </w:pPr>
            <w:r>
              <w:rPr>
                <w:sz w:val="20"/>
                <w:szCs w:val="20"/>
              </w:rPr>
              <w:t>Self-report on illnesses and injuries while involved in WTC effort, claims filed for any injuries or illnesses resulting from WTC work (e.g., Workers’ Compensation, Unemployment Insurance), demographics, and reproductive and sexual health. Also collects de</w:t>
            </w:r>
            <w:r>
              <w:rPr>
                <w:sz w:val="20"/>
                <w:szCs w:val="20"/>
              </w:rPr>
              <w:t xml:space="preserve">mographic information. </w:t>
            </w:r>
          </w:p>
        </w:tc>
        <w:tc>
          <w:tcPr>
            <w:tcW w:w="2089" w:type="dxa"/>
            <w:tcBorders>
              <w:top w:val="nil"/>
              <w:left w:val="nil"/>
              <w:bottom w:val="single" w:sz="8" w:space="0" w:color="000000"/>
              <w:right w:val="single" w:sz="8" w:space="0" w:color="000000"/>
            </w:tcBorders>
            <w:tcMar>
              <w:top w:w="100" w:type="dxa"/>
              <w:left w:w="100" w:type="dxa"/>
              <w:bottom w:w="100" w:type="dxa"/>
              <w:right w:w="100" w:type="dxa"/>
            </w:tcMar>
          </w:tcPr>
          <w:p w14:paraId="59A35C07" w14:textId="77777777" w:rsidR="00CD44B8" w:rsidRDefault="006D2F54">
            <w:pPr>
              <w:spacing w:before="240"/>
              <w:rPr>
                <w:sz w:val="20"/>
                <w:szCs w:val="20"/>
              </w:rPr>
            </w:pPr>
            <w:r>
              <w:rPr>
                <w:sz w:val="20"/>
                <w:szCs w:val="20"/>
              </w:rPr>
              <w:t xml:space="preserve">Collected at first monitoring visit only. </w:t>
            </w:r>
          </w:p>
        </w:tc>
        <w:tc>
          <w:tcPr>
            <w:tcW w:w="1050" w:type="dxa"/>
            <w:tcBorders>
              <w:top w:val="nil"/>
              <w:left w:val="nil"/>
              <w:bottom w:val="single" w:sz="8" w:space="0" w:color="000000"/>
              <w:right w:val="single" w:sz="8" w:space="0" w:color="000000"/>
            </w:tcBorders>
            <w:tcMar>
              <w:top w:w="100" w:type="dxa"/>
              <w:left w:w="100" w:type="dxa"/>
              <w:bottom w:w="100" w:type="dxa"/>
              <w:right w:w="100" w:type="dxa"/>
            </w:tcMar>
          </w:tcPr>
          <w:p w14:paraId="6B0E6E8D" w14:textId="77777777" w:rsidR="00CD44B8" w:rsidRDefault="006D2F54">
            <w:pPr>
              <w:spacing w:before="240"/>
              <w:rPr>
                <w:sz w:val="20"/>
                <w:szCs w:val="20"/>
              </w:rPr>
            </w:pPr>
            <w:r>
              <w:rPr>
                <w:sz w:val="20"/>
                <w:szCs w:val="20"/>
              </w:rPr>
              <w:t>260</w:t>
            </w:r>
          </w:p>
        </w:tc>
      </w:tr>
      <w:tr w:rsidR="00CD44B8" w14:paraId="7BD17C7F" w14:textId="77777777">
        <w:trPr>
          <w:trHeight w:val="755"/>
        </w:trPr>
        <w:tc>
          <w:tcPr>
            <w:tcW w:w="208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F6F1CDC" w14:textId="77777777" w:rsidR="00CD44B8" w:rsidRDefault="006D2F54">
            <w:pPr>
              <w:spacing w:before="240"/>
              <w:rPr>
                <w:sz w:val="20"/>
                <w:szCs w:val="20"/>
              </w:rPr>
            </w:pPr>
            <w:r>
              <w:rPr>
                <w:sz w:val="20"/>
                <w:szCs w:val="20"/>
              </w:rPr>
              <w:t>Interviewer-administered medical questionnaire (IAMQ)</w:t>
            </w:r>
          </w:p>
        </w:tc>
        <w:tc>
          <w:tcPr>
            <w:tcW w:w="4135" w:type="dxa"/>
            <w:tcBorders>
              <w:top w:val="nil"/>
              <w:left w:val="nil"/>
              <w:bottom w:val="single" w:sz="8" w:space="0" w:color="000000"/>
              <w:right w:val="single" w:sz="8" w:space="0" w:color="000000"/>
            </w:tcBorders>
            <w:tcMar>
              <w:top w:w="100" w:type="dxa"/>
              <w:left w:w="100" w:type="dxa"/>
              <w:bottom w:w="100" w:type="dxa"/>
              <w:right w:w="100" w:type="dxa"/>
            </w:tcMar>
          </w:tcPr>
          <w:p w14:paraId="74B2F37E" w14:textId="77777777" w:rsidR="00CD44B8" w:rsidRDefault="006D2F54">
            <w:pPr>
              <w:spacing w:before="240"/>
              <w:rPr>
                <w:sz w:val="20"/>
                <w:szCs w:val="20"/>
              </w:rPr>
            </w:pPr>
            <w:r>
              <w:rPr>
                <w:sz w:val="20"/>
                <w:szCs w:val="20"/>
              </w:rPr>
              <w:t>Administered by a medical professional, collecting information on medical conditions (e.g., self-reported symptoms, diagnosed medi</w:t>
            </w:r>
            <w:r>
              <w:rPr>
                <w:sz w:val="20"/>
                <w:szCs w:val="20"/>
              </w:rPr>
              <w:t xml:space="preserve">cal conditions), family medical history and alcohol and tobacco histories. Also collects demographic information. </w:t>
            </w:r>
          </w:p>
        </w:tc>
        <w:tc>
          <w:tcPr>
            <w:tcW w:w="2089" w:type="dxa"/>
            <w:tcBorders>
              <w:top w:val="nil"/>
              <w:left w:val="nil"/>
              <w:bottom w:val="single" w:sz="8" w:space="0" w:color="000000"/>
              <w:right w:val="single" w:sz="8" w:space="0" w:color="000000"/>
            </w:tcBorders>
            <w:tcMar>
              <w:top w:w="100" w:type="dxa"/>
              <w:left w:w="100" w:type="dxa"/>
              <w:bottom w:w="100" w:type="dxa"/>
              <w:right w:w="100" w:type="dxa"/>
            </w:tcMar>
          </w:tcPr>
          <w:p w14:paraId="1034253C" w14:textId="77777777" w:rsidR="00CD44B8" w:rsidRDefault="006D2F54">
            <w:pPr>
              <w:spacing w:before="240"/>
              <w:rPr>
                <w:sz w:val="20"/>
                <w:szCs w:val="20"/>
              </w:rPr>
            </w:pPr>
            <w:r>
              <w:rPr>
                <w:sz w:val="20"/>
                <w:szCs w:val="20"/>
              </w:rPr>
              <w:t xml:space="preserve">Collected at each monitoring visit. </w:t>
            </w:r>
          </w:p>
        </w:tc>
        <w:tc>
          <w:tcPr>
            <w:tcW w:w="1050" w:type="dxa"/>
            <w:tcBorders>
              <w:top w:val="nil"/>
              <w:left w:val="nil"/>
              <w:bottom w:val="single" w:sz="8" w:space="0" w:color="000000"/>
              <w:right w:val="single" w:sz="8" w:space="0" w:color="000000"/>
            </w:tcBorders>
            <w:tcMar>
              <w:top w:w="100" w:type="dxa"/>
              <w:left w:w="100" w:type="dxa"/>
              <w:bottom w:w="100" w:type="dxa"/>
              <w:right w:w="100" w:type="dxa"/>
            </w:tcMar>
          </w:tcPr>
          <w:p w14:paraId="3B851709" w14:textId="77777777" w:rsidR="00CD44B8" w:rsidRDefault="006D2F54">
            <w:pPr>
              <w:spacing w:before="240"/>
              <w:rPr>
                <w:sz w:val="20"/>
                <w:szCs w:val="20"/>
              </w:rPr>
            </w:pPr>
            <w:r>
              <w:rPr>
                <w:sz w:val="20"/>
                <w:szCs w:val="20"/>
              </w:rPr>
              <w:t>1600</w:t>
            </w:r>
          </w:p>
        </w:tc>
      </w:tr>
      <w:tr w:rsidR="00CD44B8" w14:paraId="232DFA1E" w14:textId="77777777">
        <w:trPr>
          <w:trHeight w:val="755"/>
        </w:trPr>
        <w:tc>
          <w:tcPr>
            <w:tcW w:w="208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EA2183D" w14:textId="77777777" w:rsidR="00CD44B8" w:rsidRDefault="006D2F54">
            <w:pPr>
              <w:spacing w:before="240"/>
              <w:rPr>
                <w:sz w:val="20"/>
                <w:szCs w:val="20"/>
              </w:rPr>
            </w:pPr>
            <w:r>
              <w:rPr>
                <w:sz w:val="20"/>
                <w:szCs w:val="20"/>
              </w:rPr>
              <w:t>Mental health screening questionnaire (MHSQ)</w:t>
            </w:r>
          </w:p>
        </w:tc>
        <w:tc>
          <w:tcPr>
            <w:tcW w:w="4135" w:type="dxa"/>
            <w:tcBorders>
              <w:top w:val="nil"/>
              <w:left w:val="nil"/>
              <w:bottom w:val="single" w:sz="8" w:space="0" w:color="000000"/>
              <w:right w:val="single" w:sz="8" w:space="0" w:color="000000"/>
            </w:tcBorders>
            <w:tcMar>
              <w:top w:w="100" w:type="dxa"/>
              <w:left w:w="100" w:type="dxa"/>
              <w:bottom w:w="100" w:type="dxa"/>
              <w:right w:w="100" w:type="dxa"/>
            </w:tcMar>
          </w:tcPr>
          <w:p w14:paraId="1B8898A1" w14:textId="77777777" w:rsidR="00CD44B8" w:rsidRDefault="006D2F54">
            <w:pPr>
              <w:spacing w:before="240"/>
              <w:rPr>
                <w:sz w:val="20"/>
                <w:szCs w:val="20"/>
              </w:rPr>
            </w:pPr>
            <w:r>
              <w:rPr>
                <w:sz w:val="20"/>
                <w:szCs w:val="20"/>
              </w:rPr>
              <w:t>Administered by WHOM. Addresses PTSD, generalized anxiety disorder, major depression, panic disorder, daily activities in the last month, alcohol use and distressing events experienced other than 9/11. A life impact survey collects information on life even</w:t>
            </w:r>
            <w:r>
              <w:rPr>
                <w:sz w:val="20"/>
                <w:szCs w:val="20"/>
              </w:rPr>
              <w:t>ts and stressors.</w:t>
            </w:r>
          </w:p>
        </w:tc>
        <w:tc>
          <w:tcPr>
            <w:tcW w:w="2089" w:type="dxa"/>
            <w:tcBorders>
              <w:top w:val="nil"/>
              <w:left w:val="nil"/>
              <w:bottom w:val="single" w:sz="8" w:space="0" w:color="000000"/>
              <w:right w:val="single" w:sz="8" w:space="0" w:color="000000"/>
            </w:tcBorders>
            <w:tcMar>
              <w:top w:w="100" w:type="dxa"/>
              <w:left w:w="100" w:type="dxa"/>
              <w:bottom w:w="100" w:type="dxa"/>
              <w:right w:w="100" w:type="dxa"/>
            </w:tcMar>
          </w:tcPr>
          <w:p w14:paraId="6254225E" w14:textId="77777777" w:rsidR="00CD44B8" w:rsidRDefault="006D2F54">
            <w:pPr>
              <w:spacing w:before="240"/>
              <w:rPr>
                <w:sz w:val="20"/>
                <w:szCs w:val="20"/>
              </w:rPr>
            </w:pPr>
            <w:r>
              <w:rPr>
                <w:sz w:val="20"/>
                <w:szCs w:val="20"/>
              </w:rPr>
              <w:t xml:space="preserve">Collected at the first monitoring visit only. </w:t>
            </w:r>
          </w:p>
        </w:tc>
        <w:tc>
          <w:tcPr>
            <w:tcW w:w="1050" w:type="dxa"/>
            <w:tcBorders>
              <w:top w:val="nil"/>
              <w:left w:val="nil"/>
              <w:bottom w:val="single" w:sz="8" w:space="0" w:color="000000"/>
              <w:right w:val="single" w:sz="8" w:space="0" w:color="000000"/>
            </w:tcBorders>
            <w:tcMar>
              <w:top w:w="100" w:type="dxa"/>
              <w:left w:w="100" w:type="dxa"/>
              <w:bottom w:w="100" w:type="dxa"/>
              <w:right w:w="100" w:type="dxa"/>
            </w:tcMar>
          </w:tcPr>
          <w:p w14:paraId="50B74DBC" w14:textId="77777777" w:rsidR="00CD44B8" w:rsidRDefault="006D2F54">
            <w:pPr>
              <w:spacing w:before="240"/>
              <w:rPr>
                <w:sz w:val="20"/>
                <w:szCs w:val="20"/>
              </w:rPr>
            </w:pPr>
            <w:r>
              <w:rPr>
                <w:sz w:val="20"/>
                <w:szCs w:val="20"/>
              </w:rPr>
              <w:t>370</w:t>
            </w:r>
          </w:p>
        </w:tc>
      </w:tr>
      <w:tr w:rsidR="00CD44B8" w14:paraId="105559AE" w14:textId="77777777">
        <w:trPr>
          <w:trHeight w:val="755"/>
        </w:trPr>
        <w:tc>
          <w:tcPr>
            <w:tcW w:w="208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5E11C0D" w14:textId="77777777" w:rsidR="00CD44B8" w:rsidRDefault="006D2F54">
            <w:pPr>
              <w:spacing w:before="240"/>
              <w:rPr>
                <w:sz w:val="20"/>
                <w:szCs w:val="20"/>
              </w:rPr>
            </w:pPr>
            <w:r>
              <w:rPr>
                <w:sz w:val="20"/>
                <w:szCs w:val="20"/>
              </w:rPr>
              <w:t>Self-administered mental health questionnaire (SAMHQ)</w:t>
            </w:r>
          </w:p>
        </w:tc>
        <w:tc>
          <w:tcPr>
            <w:tcW w:w="4135" w:type="dxa"/>
            <w:tcBorders>
              <w:top w:val="nil"/>
              <w:left w:val="nil"/>
              <w:bottom w:val="single" w:sz="8" w:space="0" w:color="000000"/>
              <w:right w:val="single" w:sz="8" w:space="0" w:color="000000"/>
            </w:tcBorders>
            <w:tcMar>
              <w:top w:w="100" w:type="dxa"/>
              <w:left w:w="100" w:type="dxa"/>
              <w:bottom w:w="100" w:type="dxa"/>
              <w:right w:w="100" w:type="dxa"/>
            </w:tcMar>
          </w:tcPr>
          <w:p w14:paraId="17FDFFAF" w14:textId="77777777" w:rsidR="00CD44B8" w:rsidRDefault="006D2F54">
            <w:pPr>
              <w:spacing w:before="240"/>
              <w:rPr>
                <w:sz w:val="20"/>
                <w:szCs w:val="20"/>
              </w:rPr>
            </w:pPr>
            <w:r>
              <w:rPr>
                <w:sz w:val="20"/>
                <w:szCs w:val="20"/>
              </w:rPr>
              <w:t>Similar to MHSQ. Address mental health symptoms of general health, PTSD, generalized anxiety disorder, major depression, and panic d</w:t>
            </w:r>
            <w:r>
              <w:rPr>
                <w:sz w:val="20"/>
                <w:szCs w:val="20"/>
              </w:rPr>
              <w:t xml:space="preserve">isorder, and alcohol </w:t>
            </w:r>
            <w:r>
              <w:rPr>
                <w:sz w:val="20"/>
                <w:szCs w:val="20"/>
              </w:rPr>
              <w:lastRenderedPageBreak/>
              <w:t xml:space="preserve">use, daily activities in the last month and distressing events experienced other than 9/11. A life impact survey collects information on life events and stressors. </w:t>
            </w:r>
          </w:p>
        </w:tc>
        <w:tc>
          <w:tcPr>
            <w:tcW w:w="2089" w:type="dxa"/>
            <w:tcBorders>
              <w:top w:val="nil"/>
              <w:left w:val="nil"/>
              <w:bottom w:val="single" w:sz="8" w:space="0" w:color="000000"/>
              <w:right w:val="single" w:sz="8" w:space="0" w:color="000000"/>
            </w:tcBorders>
            <w:tcMar>
              <w:top w:w="100" w:type="dxa"/>
              <w:left w:w="100" w:type="dxa"/>
              <w:bottom w:w="100" w:type="dxa"/>
              <w:right w:w="100" w:type="dxa"/>
            </w:tcMar>
          </w:tcPr>
          <w:p w14:paraId="064691B4" w14:textId="77777777" w:rsidR="00CD44B8" w:rsidRDefault="006D2F54">
            <w:pPr>
              <w:spacing w:before="240"/>
              <w:rPr>
                <w:sz w:val="20"/>
                <w:szCs w:val="20"/>
              </w:rPr>
            </w:pPr>
            <w:r>
              <w:rPr>
                <w:sz w:val="20"/>
                <w:szCs w:val="20"/>
              </w:rPr>
              <w:lastRenderedPageBreak/>
              <w:t xml:space="preserve">Collection starts at the second monitoring visit and </w:t>
            </w:r>
            <w:r>
              <w:rPr>
                <w:sz w:val="20"/>
                <w:szCs w:val="20"/>
              </w:rPr>
              <w:lastRenderedPageBreak/>
              <w:t>continues at subs</w:t>
            </w:r>
            <w:r>
              <w:rPr>
                <w:sz w:val="20"/>
                <w:szCs w:val="20"/>
              </w:rPr>
              <w:t xml:space="preserve">equent visits. </w:t>
            </w:r>
          </w:p>
        </w:tc>
        <w:tc>
          <w:tcPr>
            <w:tcW w:w="1050" w:type="dxa"/>
            <w:tcBorders>
              <w:top w:val="nil"/>
              <w:left w:val="nil"/>
              <w:bottom w:val="single" w:sz="8" w:space="0" w:color="000000"/>
              <w:right w:val="single" w:sz="8" w:space="0" w:color="000000"/>
            </w:tcBorders>
            <w:tcMar>
              <w:top w:w="100" w:type="dxa"/>
              <w:left w:w="100" w:type="dxa"/>
              <w:bottom w:w="100" w:type="dxa"/>
              <w:right w:w="100" w:type="dxa"/>
            </w:tcMar>
          </w:tcPr>
          <w:p w14:paraId="5C50518C" w14:textId="77777777" w:rsidR="00CD44B8" w:rsidRDefault="006D2F54">
            <w:pPr>
              <w:spacing w:before="240"/>
              <w:rPr>
                <w:sz w:val="20"/>
                <w:szCs w:val="20"/>
              </w:rPr>
            </w:pPr>
            <w:r>
              <w:rPr>
                <w:sz w:val="20"/>
                <w:szCs w:val="20"/>
              </w:rPr>
              <w:lastRenderedPageBreak/>
              <w:t>260</w:t>
            </w:r>
          </w:p>
        </w:tc>
      </w:tr>
    </w:tbl>
    <w:p w14:paraId="355E1851" w14:textId="77777777" w:rsidR="00CD44B8" w:rsidRDefault="006D2F54">
      <w:pPr>
        <w:spacing w:line="360" w:lineRule="auto"/>
      </w:pPr>
      <w:r>
        <w:t>*Instrument was discontinued in 2010.</w:t>
      </w:r>
    </w:p>
    <w:p w14:paraId="75D7A66D" w14:textId="77777777" w:rsidR="00CD44B8" w:rsidRDefault="00CD44B8">
      <w:pPr>
        <w:spacing w:line="360" w:lineRule="auto"/>
      </w:pPr>
    </w:p>
    <w:p w14:paraId="6D189CFB" w14:textId="77777777" w:rsidR="00CD44B8" w:rsidRDefault="006D2F54">
      <w:pPr>
        <w:spacing w:line="360" w:lineRule="auto"/>
      </w:pPr>
      <w:r>
        <w:br w:type="page"/>
      </w:r>
    </w:p>
    <w:p w14:paraId="3306DDDB" w14:textId="28E50570" w:rsidR="00CD44B8" w:rsidRPr="006D2F54" w:rsidRDefault="006D2F54">
      <w:pPr>
        <w:spacing w:line="360" w:lineRule="auto"/>
        <w:rPr>
          <w:sz w:val="24"/>
          <w:szCs w:val="24"/>
        </w:rPr>
      </w:pPr>
      <w:r>
        <w:rPr>
          <w:sz w:val="24"/>
          <w:szCs w:val="24"/>
        </w:rPr>
        <w:lastRenderedPageBreak/>
        <w:t xml:space="preserve">Figure S1. Weights from </w:t>
      </w:r>
      <w:proofErr w:type="spellStart"/>
      <w:r>
        <w:rPr>
          <w:sz w:val="24"/>
          <w:szCs w:val="24"/>
        </w:rPr>
        <w:t>gWQS</w:t>
      </w:r>
      <w:proofErr w:type="spellEnd"/>
      <w:r>
        <w:rPr>
          <w:sz w:val="24"/>
          <w:szCs w:val="24"/>
        </w:rPr>
        <w:t xml:space="preserve"> analyses among 34,096 responders included in this study. Bar plots represent estimated weights for each mixture component in the WQS regressions. Weights are color-c</w:t>
      </w:r>
      <w:r>
        <w:rPr>
          <w:sz w:val="24"/>
          <w:szCs w:val="24"/>
        </w:rPr>
        <w:t xml:space="preserve">oded to indicate models constrained to the positive direction (risk) and the negative direction (protective).  </w:t>
      </w:r>
      <w:r>
        <w:rPr>
          <w:noProof/>
        </w:rPr>
        <w:drawing>
          <wp:anchor distT="114300" distB="114300" distL="114300" distR="114300" simplePos="0" relativeHeight="251658240" behindDoc="0" locked="0" layoutInCell="1" hidden="0" allowOverlap="1" wp14:anchorId="2979F406" wp14:editId="46935F60">
            <wp:simplePos x="0" y="0"/>
            <wp:positionH relativeFrom="column">
              <wp:posOffset>38101</wp:posOffset>
            </wp:positionH>
            <wp:positionV relativeFrom="paragraph">
              <wp:posOffset>1090021</wp:posOffset>
            </wp:positionV>
            <wp:extent cx="6710954" cy="5081587"/>
            <wp:effectExtent l="0" t="0" r="0" b="0"/>
            <wp:wrapTopAndBottom distT="114300" distB="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rot="5400000">
                      <a:off x="0" y="0"/>
                      <a:ext cx="6710954" cy="5081587"/>
                    </a:xfrm>
                    <a:prstGeom prst="rect">
                      <a:avLst/>
                    </a:prstGeom>
                    <a:ln/>
                  </pic:spPr>
                </pic:pic>
              </a:graphicData>
            </a:graphic>
          </wp:anchor>
        </w:drawing>
      </w:r>
      <w:bookmarkStart w:id="0" w:name="_GoBack"/>
      <w:bookmarkEnd w:id="0"/>
    </w:p>
    <w:sectPr w:rsidR="00CD44B8" w:rsidRPr="006D2F5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44B8"/>
    <w:rsid w:val="006D2F54"/>
    <w:rsid w:val="00CD44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4132095"/>
  <w15:docId w15:val="{77D9D540-823C-6A4D-BEFB-C4D30CF7E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363</Words>
  <Characters>2074</Characters>
  <Application>Microsoft Office Word</Application>
  <DocSecurity>0</DocSecurity>
  <Lines>17</Lines>
  <Paragraphs>4</Paragraphs>
  <ScaleCrop>false</ScaleCrop>
  <Company/>
  <LinksUpToDate>false</LinksUpToDate>
  <CharactersWithSpaces>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Rechtman, Elza</cp:lastModifiedBy>
  <cp:revision>2</cp:revision>
  <dcterms:created xsi:type="dcterms:W3CDTF">2023-09-28T20:22:00Z</dcterms:created>
  <dcterms:modified xsi:type="dcterms:W3CDTF">2023-09-28T20:22:00Z</dcterms:modified>
</cp:coreProperties>
</file>