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0FAE7" w14:textId="0A99CA0E" w:rsidR="00FC1D00" w:rsidRPr="008C18EB" w:rsidRDefault="00FC1D00" w:rsidP="00FC1D00">
      <w:pPr>
        <w:jc w:val="center"/>
        <w:rPr>
          <w:b/>
          <w:bCs/>
        </w:rPr>
      </w:pPr>
      <w:r w:rsidRPr="008C18EB">
        <w:rPr>
          <w:b/>
          <w:bCs/>
        </w:rPr>
        <w:t>Table 1: Included academic studies</w:t>
      </w:r>
    </w:p>
    <w:tbl>
      <w:tblPr>
        <w:tblStyle w:val="PlainTable1"/>
        <w:tblW w:w="0" w:type="auto"/>
        <w:tblLook w:val="04A0" w:firstRow="1" w:lastRow="0" w:firstColumn="1" w:lastColumn="0" w:noHBand="0" w:noVBand="1"/>
      </w:tblPr>
      <w:tblGrid>
        <w:gridCol w:w="1348"/>
        <w:gridCol w:w="1116"/>
        <w:gridCol w:w="1129"/>
        <w:gridCol w:w="5423"/>
      </w:tblGrid>
      <w:tr w:rsidR="00FC1D00" w:rsidRPr="008C18EB" w14:paraId="3812B0BF" w14:textId="77777777" w:rsidTr="00392026">
        <w:trPr>
          <w:cnfStyle w:val="100000000000" w:firstRow="1" w:lastRow="0" w:firstColumn="0" w:lastColumn="0" w:oddVBand="0" w:evenVBand="0" w:oddHBand="0"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305" w:type="dxa"/>
          </w:tcPr>
          <w:p w14:paraId="06864DF5" w14:textId="77777777" w:rsidR="00FC1D00" w:rsidRPr="008C18EB" w:rsidRDefault="00FC1D00" w:rsidP="00392026">
            <w:r w:rsidRPr="008C18EB">
              <w:t>Author</w:t>
            </w:r>
          </w:p>
        </w:tc>
        <w:tc>
          <w:tcPr>
            <w:tcW w:w="1120" w:type="dxa"/>
          </w:tcPr>
          <w:p w14:paraId="696961E7" w14:textId="77777777" w:rsidR="00FC1D00" w:rsidRPr="008C18EB" w:rsidRDefault="00FC1D00" w:rsidP="00392026">
            <w:pPr>
              <w:cnfStyle w:val="100000000000" w:firstRow="1" w:lastRow="0" w:firstColumn="0" w:lastColumn="0" w:oddVBand="0" w:evenVBand="0" w:oddHBand="0" w:evenHBand="0" w:firstRowFirstColumn="0" w:firstRowLastColumn="0" w:lastRowFirstColumn="0" w:lastRowLastColumn="0"/>
            </w:pPr>
            <w:r w:rsidRPr="008C18EB">
              <w:t>Year</w:t>
            </w:r>
          </w:p>
        </w:tc>
        <w:tc>
          <w:tcPr>
            <w:tcW w:w="1130" w:type="dxa"/>
          </w:tcPr>
          <w:p w14:paraId="0ADDDA13" w14:textId="77777777" w:rsidR="00FC1D00" w:rsidRPr="008C18EB" w:rsidRDefault="00FC1D00" w:rsidP="00392026">
            <w:pPr>
              <w:cnfStyle w:val="100000000000" w:firstRow="1" w:lastRow="0" w:firstColumn="0" w:lastColumn="0" w:oddVBand="0" w:evenVBand="0" w:oddHBand="0" w:evenHBand="0" w:firstRowFirstColumn="0" w:firstRowLastColumn="0" w:lastRowFirstColumn="0" w:lastRowLastColumn="0"/>
            </w:pPr>
            <w:r w:rsidRPr="008C18EB">
              <w:t>Country</w:t>
            </w:r>
          </w:p>
        </w:tc>
        <w:tc>
          <w:tcPr>
            <w:tcW w:w="5461" w:type="dxa"/>
          </w:tcPr>
          <w:p w14:paraId="7C03C7BE" w14:textId="77777777" w:rsidR="00FC1D00" w:rsidRPr="008C18EB" w:rsidRDefault="00FC1D00" w:rsidP="00392026">
            <w:pPr>
              <w:cnfStyle w:val="100000000000" w:firstRow="1" w:lastRow="0" w:firstColumn="0" w:lastColumn="0" w:oddVBand="0" w:evenVBand="0" w:oddHBand="0" w:evenHBand="0" w:firstRowFirstColumn="0" w:firstRowLastColumn="0" w:lastRowFirstColumn="0" w:lastRowLastColumn="0"/>
            </w:pPr>
            <w:r w:rsidRPr="008C18EB">
              <w:t>Purpose  Statement</w:t>
            </w:r>
          </w:p>
        </w:tc>
      </w:tr>
      <w:tr w:rsidR="00FC1D00" w:rsidRPr="008C18EB" w14:paraId="27071A65" w14:textId="77777777" w:rsidTr="00392026">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305" w:type="dxa"/>
          </w:tcPr>
          <w:p w14:paraId="40135871" w14:textId="77777777" w:rsidR="00FC1D00" w:rsidRPr="008C18EB" w:rsidRDefault="00FC1D00" w:rsidP="00392026">
            <w:r w:rsidRPr="008C18EB">
              <w:t>Kulwicki et al.</w:t>
            </w:r>
          </w:p>
        </w:tc>
        <w:tc>
          <w:tcPr>
            <w:tcW w:w="1120" w:type="dxa"/>
          </w:tcPr>
          <w:p w14:paraId="4134C4B6"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2000</w:t>
            </w:r>
          </w:p>
        </w:tc>
        <w:tc>
          <w:tcPr>
            <w:tcW w:w="1130" w:type="dxa"/>
          </w:tcPr>
          <w:p w14:paraId="206B55E8"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USA</w:t>
            </w:r>
          </w:p>
        </w:tc>
        <w:tc>
          <w:tcPr>
            <w:tcW w:w="5461" w:type="dxa"/>
          </w:tcPr>
          <w:p w14:paraId="50CB6C50"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Explores the perceptions, experiences, and patterns of health care behaviour among Arab Americans in an urban Midwestern area of the United States and the perceptions and experiences of health care providers related to culturally competent care.</w:t>
            </w:r>
          </w:p>
        </w:tc>
      </w:tr>
      <w:tr w:rsidR="00FC1D00" w:rsidRPr="008C18EB" w14:paraId="78BE3B80" w14:textId="77777777" w:rsidTr="00392026">
        <w:trPr>
          <w:trHeight w:val="277"/>
        </w:trPr>
        <w:tc>
          <w:tcPr>
            <w:cnfStyle w:val="001000000000" w:firstRow="0" w:lastRow="0" w:firstColumn="1" w:lastColumn="0" w:oddVBand="0" w:evenVBand="0" w:oddHBand="0" w:evenHBand="0" w:firstRowFirstColumn="0" w:firstRowLastColumn="0" w:lastRowFirstColumn="0" w:lastRowLastColumn="0"/>
            <w:tcW w:w="1305" w:type="dxa"/>
          </w:tcPr>
          <w:p w14:paraId="568C6CA8" w14:textId="77777777" w:rsidR="00FC1D00" w:rsidRPr="008C18EB" w:rsidRDefault="00FC1D00" w:rsidP="00392026">
            <w:r w:rsidRPr="008C18EB">
              <w:t>Burman et al.</w:t>
            </w:r>
          </w:p>
        </w:tc>
        <w:tc>
          <w:tcPr>
            <w:tcW w:w="1120" w:type="dxa"/>
          </w:tcPr>
          <w:p w14:paraId="64314C4F" w14:textId="77777777" w:rsidR="00FC1D00" w:rsidRPr="008C18EB" w:rsidRDefault="00FC1D00" w:rsidP="00392026">
            <w:pPr>
              <w:cnfStyle w:val="000000000000" w:firstRow="0" w:lastRow="0" w:firstColumn="0" w:lastColumn="0" w:oddVBand="0" w:evenVBand="0" w:oddHBand="0" w:evenHBand="0" w:firstRowFirstColumn="0" w:firstRowLastColumn="0" w:lastRowFirstColumn="0" w:lastRowLastColumn="0"/>
            </w:pPr>
            <w:r w:rsidRPr="008C18EB">
              <w:t>2004</w:t>
            </w:r>
          </w:p>
        </w:tc>
        <w:tc>
          <w:tcPr>
            <w:tcW w:w="1130" w:type="dxa"/>
          </w:tcPr>
          <w:p w14:paraId="52496663" w14:textId="77777777" w:rsidR="00FC1D00" w:rsidRPr="008C18EB" w:rsidRDefault="00FC1D00" w:rsidP="00392026">
            <w:pPr>
              <w:cnfStyle w:val="000000000000" w:firstRow="0" w:lastRow="0" w:firstColumn="0" w:lastColumn="0" w:oddVBand="0" w:evenVBand="0" w:oddHBand="0" w:evenHBand="0" w:firstRowFirstColumn="0" w:firstRowLastColumn="0" w:lastRowFirstColumn="0" w:lastRowLastColumn="0"/>
            </w:pPr>
            <w:r w:rsidRPr="008C18EB">
              <w:t xml:space="preserve">England </w:t>
            </w:r>
          </w:p>
        </w:tc>
        <w:tc>
          <w:tcPr>
            <w:tcW w:w="5461" w:type="dxa"/>
          </w:tcPr>
          <w:p w14:paraId="64E9CF2F" w14:textId="77777777" w:rsidR="00FC1D00" w:rsidRPr="008C18EB" w:rsidRDefault="00FC1D00" w:rsidP="00392026">
            <w:pPr>
              <w:cnfStyle w:val="000000000000" w:firstRow="0" w:lastRow="0" w:firstColumn="0" w:lastColumn="0" w:oddVBand="0" w:evenVBand="0" w:oddHBand="0" w:evenHBand="0" w:firstRowFirstColumn="0" w:firstRowLastColumn="0" w:lastRowFirstColumn="0" w:lastRowLastColumn="0"/>
            </w:pPr>
            <w:r w:rsidRPr="008C18EB">
              <w:t>Addresses how DVA services to women of African, African-Caribbean, South Asian, Jewish and Irish backgrounds are structured by assumptions about ‘culture’ which produce barriers to the delivery of domestic violence services.</w:t>
            </w:r>
          </w:p>
        </w:tc>
      </w:tr>
      <w:tr w:rsidR="00FC1D00" w:rsidRPr="008C18EB" w14:paraId="42FE70E6" w14:textId="77777777" w:rsidTr="00392026">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305" w:type="dxa"/>
          </w:tcPr>
          <w:p w14:paraId="34FDA040" w14:textId="77777777" w:rsidR="00FC1D00" w:rsidRPr="008C18EB" w:rsidRDefault="00FC1D00" w:rsidP="00392026">
            <w:r w:rsidRPr="008C18EB">
              <w:t>Hodge</w:t>
            </w:r>
          </w:p>
        </w:tc>
        <w:tc>
          <w:tcPr>
            <w:tcW w:w="1120" w:type="dxa"/>
          </w:tcPr>
          <w:p w14:paraId="00F98FBF"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2004</w:t>
            </w:r>
          </w:p>
        </w:tc>
        <w:tc>
          <w:tcPr>
            <w:tcW w:w="1130" w:type="dxa"/>
          </w:tcPr>
          <w:p w14:paraId="010C335C"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USA</w:t>
            </w:r>
          </w:p>
        </w:tc>
        <w:tc>
          <w:tcPr>
            <w:tcW w:w="5461" w:type="dxa"/>
          </w:tcPr>
          <w:p w14:paraId="4C1B00E7"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Reviews Evangelical cultural narratives to develop cultural competency with evangelical Christians, the nation's largest spiritual minority, providing context for a discussion of various practice interventions.</w:t>
            </w:r>
          </w:p>
        </w:tc>
      </w:tr>
      <w:tr w:rsidR="00FC1D00" w:rsidRPr="008C18EB" w14:paraId="1AA08713" w14:textId="77777777" w:rsidTr="00392026">
        <w:trPr>
          <w:trHeight w:val="266"/>
        </w:trPr>
        <w:tc>
          <w:tcPr>
            <w:cnfStyle w:val="001000000000" w:firstRow="0" w:lastRow="0" w:firstColumn="1" w:lastColumn="0" w:oddVBand="0" w:evenVBand="0" w:oddHBand="0" w:evenHBand="0" w:firstRowFirstColumn="0" w:firstRowLastColumn="0" w:lastRowFirstColumn="0" w:lastRowLastColumn="0"/>
            <w:tcW w:w="1305" w:type="dxa"/>
          </w:tcPr>
          <w:p w14:paraId="363E0404" w14:textId="77777777" w:rsidR="00FC1D00" w:rsidRPr="008C18EB" w:rsidRDefault="00FC1D00" w:rsidP="00392026">
            <w:r w:rsidRPr="008C18EB">
              <w:t>Latta and Goodman</w:t>
            </w:r>
          </w:p>
        </w:tc>
        <w:tc>
          <w:tcPr>
            <w:tcW w:w="1120" w:type="dxa"/>
          </w:tcPr>
          <w:p w14:paraId="042CECD7" w14:textId="77777777" w:rsidR="00FC1D00" w:rsidRPr="008C18EB" w:rsidRDefault="00FC1D00" w:rsidP="00392026">
            <w:pPr>
              <w:cnfStyle w:val="000000000000" w:firstRow="0" w:lastRow="0" w:firstColumn="0" w:lastColumn="0" w:oddVBand="0" w:evenVBand="0" w:oddHBand="0" w:evenHBand="0" w:firstRowFirstColumn="0" w:firstRowLastColumn="0" w:lastRowFirstColumn="0" w:lastRowLastColumn="0"/>
            </w:pPr>
            <w:r w:rsidRPr="008C18EB">
              <w:t>2005</w:t>
            </w:r>
          </w:p>
        </w:tc>
        <w:tc>
          <w:tcPr>
            <w:tcW w:w="1130" w:type="dxa"/>
          </w:tcPr>
          <w:p w14:paraId="4A86B059" w14:textId="77777777" w:rsidR="00FC1D00" w:rsidRPr="008C18EB" w:rsidRDefault="00FC1D00" w:rsidP="00392026">
            <w:pPr>
              <w:cnfStyle w:val="000000000000" w:firstRow="0" w:lastRow="0" w:firstColumn="0" w:lastColumn="0" w:oddVBand="0" w:evenVBand="0" w:oddHBand="0" w:evenHBand="0" w:firstRowFirstColumn="0" w:firstRowLastColumn="0" w:lastRowFirstColumn="0" w:lastRowLastColumn="0"/>
            </w:pPr>
            <w:r w:rsidRPr="008C18EB">
              <w:t>USA</w:t>
            </w:r>
          </w:p>
        </w:tc>
        <w:tc>
          <w:tcPr>
            <w:tcW w:w="5461" w:type="dxa"/>
          </w:tcPr>
          <w:p w14:paraId="2C2821AC" w14:textId="77777777" w:rsidR="00FC1D00" w:rsidRPr="008C18EB" w:rsidRDefault="00FC1D00" w:rsidP="00392026">
            <w:pPr>
              <w:cnfStyle w:val="000000000000" w:firstRow="0" w:lastRow="0" w:firstColumn="0" w:lastColumn="0" w:oddVBand="0" w:evenVBand="0" w:oddHBand="0" w:evenHBand="0" w:firstRowFirstColumn="0" w:firstRowLastColumn="0" w:lastRowFirstColumn="0" w:lastRowLastColumn="0"/>
            </w:pPr>
            <w:r w:rsidRPr="008C18EB">
              <w:t xml:space="preserve">Explores how the cultural context of IPV affected accessibility to </w:t>
            </w:r>
            <w:r>
              <w:t>DVA</w:t>
            </w:r>
            <w:r w:rsidRPr="008C18EB">
              <w:t xml:space="preserve"> services for Haitian women, as one immigrant group in the USA.</w:t>
            </w:r>
          </w:p>
        </w:tc>
      </w:tr>
      <w:tr w:rsidR="00FC1D00" w:rsidRPr="008C18EB" w14:paraId="7A5CEFA1" w14:textId="77777777" w:rsidTr="00392026">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1305" w:type="dxa"/>
          </w:tcPr>
          <w:p w14:paraId="1B6A913D" w14:textId="77777777" w:rsidR="00FC1D00" w:rsidRPr="008C18EB" w:rsidRDefault="00FC1D00" w:rsidP="00392026">
            <w:r w:rsidRPr="008C18EB">
              <w:t>Pan et al.</w:t>
            </w:r>
          </w:p>
        </w:tc>
        <w:tc>
          <w:tcPr>
            <w:tcW w:w="1120" w:type="dxa"/>
          </w:tcPr>
          <w:p w14:paraId="62528083"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2006</w:t>
            </w:r>
          </w:p>
        </w:tc>
        <w:tc>
          <w:tcPr>
            <w:tcW w:w="1130" w:type="dxa"/>
          </w:tcPr>
          <w:p w14:paraId="12191A01"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USA</w:t>
            </w:r>
          </w:p>
        </w:tc>
        <w:tc>
          <w:tcPr>
            <w:tcW w:w="5461" w:type="dxa"/>
          </w:tcPr>
          <w:p w14:paraId="680747DE"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Describes the Ahimsa for Safe Families Project, an innovative collaborative project that addresses DVA in immigrant and refugee communities in San Diego and presents the deign and culturally specific prevention strategies utilised by the project.</w:t>
            </w:r>
          </w:p>
        </w:tc>
      </w:tr>
      <w:tr w:rsidR="00FC1D00" w:rsidRPr="008C18EB" w14:paraId="019517CD" w14:textId="77777777" w:rsidTr="00392026">
        <w:trPr>
          <w:trHeight w:val="277"/>
        </w:trPr>
        <w:tc>
          <w:tcPr>
            <w:cnfStyle w:val="001000000000" w:firstRow="0" w:lastRow="0" w:firstColumn="1" w:lastColumn="0" w:oddVBand="0" w:evenVBand="0" w:oddHBand="0" w:evenHBand="0" w:firstRowFirstColumn="0" w:firstRowLastColumn="0" w:lastRowFirstColumn="0" w:lastRowLastColumn="0"/>
            <w:tcW w:w="1305" w:type="dxa"/>
          </w:tcPr>
          <w:p w14:paraId="5A61E77A" w14:textId="77777777" w:rsidR="00FC1D00" w:rsidRPr="008C18EB" w:rsidRDefault="00FC1D00" w:rsidP="00392026">
            <w:r w:rsidRPr="008C18EB">
              <w:t>Arnette et al.</w:t>
            </w:r>
          </w:p>
        </w:tc>
        <w:tc>
          <w:tcPr>
            <w:tcW w:w="1120" w:type="dxa"/>
          </w:tcPr>
          <w:p w14:paraId="78FA140D" w14:textId="77777777" w:rsidR="00FC1D00" w:rsidRPr="008C18EB" w:rsidRDefault="00FC1D00" w:rsidP="00392026">
            <w:pPr>
              <w:cnfStyle w:val="000000000000" w:firstRow="0" w:lastRow="0" w:firstColumn="0" w:lastColumn="0" w:oddVBand="0" w:evenVBand="0" w:oddHBand="0" w:evenHBand="0" w:firstRowFirstColumn="0" w:firstRowLastColumn="0" w:lastRowFirstColumn="0" w:lastRowLastColumn="0"/>
            </w:pPr>
            <w:r w:rsidRPr="008C18EB">
              <w:t>2007</w:t>
            </w:r>
          </w:p>
        </w:tc>
        <w:tc>
          <w:tcPr>
            <w:tcW w:w="1130" w:type="dxa"/>
          </w:tcPr>
          <w:p w14:paraId="2CE023AB" w14:textId="77777777" w:rsidR="00FC1D00" w:rsidRPr="008C18EB" w:rsidRDefault="00FC1D00" w:rsidP="00392026">
            <w:pPr>
              <w:cnfStyle w:val="000000000000" w:firstRow="0" w:lastRow="0" w:firstColumn="0" w:lastColumn="0" w:oddVBand="0" w:evenVBand="0" w:oddHBand="0" w:evenHBand="0" w:firstRowFirstColumn="0" w:firstRowLastColumn="0" w:lastRowFirstColumn="0" w:lastRowLastColumn="0"/>
            </w:pPr>
            <w:r w:rsidRPr="008C18EB">
              <w:t>USA</w:t>
            </w:r>
          </w:p>
        </w:tc>
        <w:tc>
          <w:tcPr>
            <w:tcW w:w="5461" w:type="dxa"/>
          </w:tcPr>
          <w:p w14:paraId="2DC53528" w14:textId="77777777" w:rsidR="00FC1D00" w:rsidRPr="008C18EB" w:rsidRDefault="00FC1D00" w:rsidP="00392026">
            <w:pPr>
              <w:cnfStyle w:val="000000000000" w:firstRow="0" w:lastRow="0" w:firstColumn="0" w:lastColumn="0" w:oddVBand="0" w:evenVBand="0" w:oddHBand="0" w:evenHBand="0" w:firstRowFirstColumn="0" w:firstRowLastColumn="0" w:lastRowFirstColumn="0" w:lastRowLastColumn="0"/>
            </w:pPr>
            <w:r w:rsidRPr="008C18EB">
              <w:t>Investigates the ability of factors, such as level of hopelessness and the use of positive religious coping strategies, to predict spiritual well-being over time.</w:t>
            </w:r>
          </w:p>
        </w:tc>
      </w:tr>
      <w:tr w:rsidR="00FC1D00" w:rsidRPr="008C18EB" w14:paraId="284A0244" w14:textId="77777777" w:rsidTr="00392026">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305" w:type="dxa"/>
          </w:tcPr>
          <w:p w14:paraId="4FBEC5E6" w14:textId="77777777" w:rsidR="00FC1D00" w:rsidRPr="008C18EB" w:rsidRDefault="00FC1D00" w:rsidP="00392026">
            <w:r w:rsidRPr="008C18EB">
              <w:t>Pyles</w:t>
            </w:r>
          </w:p>
        </w:tc>
        <w:tc>
          <w:tcPr>
            <w:tcW w:w="1120" w:type="dxa"/>
          </w:tcPr>
          <w:p w14:paraId="64BAEBC2"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2007</w:t>
            </w:r>
          </w:p>
        </w:tc>
        <w:tc>
          <w:tcPr>
            <w:tcW w:w="1130" w:type="dxa"/>
          </w:tcPr>
          <w:p w14:paraId="71F369A9"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USA</w:t>
            </w:r>
          </w:p>
        </w:tc>
        <w:tc>
          <w:tcPr>
            <w:tcW w:w="5461" w:type="dxa"/>
          </w:tcPr>
          <w:p w14:paraId="22295FB9"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 xml:space="preserve">Draws on data from a study conducted in Wyoming about the community response to domestic violence to evidence how religion is paradoxically both a source of assistance and a barrier to women surviving DVA . </w:t>
            </w:r>
          </w:p>
        </w:tc>
      </w:tr>
      <w:tr w:rsidR="00FC1D00" w:rsidRPr="008C18EB" w14:paraId="70D62ED0" w14:textId="77777777" w:rsidTr="00392026">
        <w:trPr>
          <w:trHeight w:val="277"/>
        </w:trPr>
        <w:tc>
          <w:tcPr>
            <w:cnfStyle w:val="001000000000" w:firstRow="0" w:lastRow="0" w:firstColumn="1" w:lastColumn="0" w:oddVBand="0" w:evenVBand="0" w:oddHBand="0" w:evenHBand="0" w:firstRowFirstColumn="0" w:firstRowLastColumn="0" w:lastRowFirstColumn="0" w:lastRowLastColumn="0"/>
            <w:tcW w:w="1305" w:type="dxa"/>
          </w:tcPr>
          <w:p w14:paraId="3A45BE2D" w14:textId="77777777" w:rsidR="00FC1D00" w:rsidRPr="008C18EB" w:rsidRDefault="00FC1D00" w:rsidP="00392026">
            <w:r w:rsidRPr="008C18EB">
              <w:t>Yick</w:t>
            </w:r>
          </w:p>
        </w:tc>
        <w:tc>
          <w:tcPr>
            <w:tcW w:w="1120" w:type="dxa"/>
          </w:tcPr>
          <w:p w14:paraId="209D852A" w14:textId="77777777" w:rsidR="00FC1D00" w:rsidRPr="008C18EB" w:rsidRDefault="00FC1D00" w:rsidP="00392026">
            <w:pPr>
              <w:cnfStyle w:val="000000000000" w:firstRow="0" w:lastRow="0" w:firstColumn="0" w:lastColumn="0" w:oddVBand="0" w:evenVBand="0" w:oddHBand="0" w:evenHBand="0" w:firstRowFirstColumn="0" w:firstRowLastColumn="0" w:lastRowFirstColumn="0" w:lastRowLastColumn="0"/>
            </w:pPr>
            <w:r w:rsidRPr="008C18EB">
              <w:t>2008</w:t>
            </w:r>
          </w:p>
        </w:tc>
        <w:tc>
          <w:tcPr>
            <w:tcW w:w="1130" w:type="dxa"/>
          </w:tcPr>
          <w:p w14:paraId="560A544E" w14:textId="77777777" w:rsidR="00FC1D00" w:rsidRPr="008C18EB" w:rsidRDefault="00FC1D00" w:rsidP="00392026">
            <w:pPr>
              <w:cnfStyle w:val="000000000000" w:firstRow="0" w:lastRow="0" w:firstColumn="0" w:lastColumn="0" w:oddVBand="0" w:evenVBand="0" w:oddHBand="0" w:evenHBand="0" w:firstRowFirstColumn="0" w:firstRowLastColumn="0" w:lastRowFirstColumn="0" w:lastRowLastColumn="0"/>
            </w:pPr>
            <w:r w:rsidRPr="008C18EB">
              <w:t>USA</w:t>
            </w:r>
          </w:p>
        </w:tc>
        <w:tc>
          <w:tcPr>
            <w:tcW w:w="5461" w:type="dxa"/>
          </w:tcPr>
          <w:p w14:paraId="65510914" w14:textId="77777777" w:rsidR="00FC1D00" w:rsidRPr="008C18EB" w:rsidRDefault="00FC1D00" w:rsidP="00392026">
            <w:pPr>
              <w:cnfStyle w:val="000000000000" w:firstRow="0" w:lastRow="0" w:firstColumn="0" w:lastColumn="0" w:oddVBand="0" w:evenVBand="0" w:oddHBand="0" w:evenHBand="0" w:firstRowFirstColumn="0" w:firstRowLastColumn="0" w:lastRowFirstColumn="0" w:lastRowLastColumn="0"/>
            </w:pPr>
            <w:r w:rsidRPr="008C18EB">
              <w:t>Explores, extracts, and synthesizes themes from related qualitative studies on the role of spirituality and religiosity with culturally diverse DVA survivors.</w:t>
            </w:r>
          </w:p>
        </w:tc>
      </w:tr>
      <w:tr w:rsidR="00FC1D00" w:rsidRPr="008C18EB" w14:paraId="776C4056" w14:textId="77777777" w:rsidTr="00392026">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305" w:type="dxa"/>
          </w:tcPr>
          <w:p w14:paraId="63CEC6A4" w14:textId="77777777" w:rsidR="00FC1D00" w:rsidRPr="008C18EB" w:rsidRDefault="00FC1D00" w:rsidP="00392026">
            <w:r w:rsidRPr="008C18EB">
              <w:t>Gillum</w:t>
            </w:r>
          </w:p>
        </w:tc>
        <w:tc>
          <w:tcPr>
            <w:tcW w:w="1120" w:type="dxa"/>
          </w:tcPr>
          <w:p w14:paraId="0EA75CC5"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2008</w:t>
            </w:r>
          </w:p>
        </w:tc>
        <w:tc>
          <w:tcPr>
            <w:tcW w:w="1130" w:type="dxa"/>
          </w:tcPr>
          <w:p w14:paraId="459EA737"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USA</w:t>
            </w:r>
          </w:p>
        </w:tc>
        <w:tc>
          <w:tcPr>
            <w:tcW w:w="5461" w:type="dxa"/>
          </w:tcPr>
          <w:p w14:paraId="7281C4EA"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Investigates how helpful a culturally specific IPV program, which targets the African American community, has been to African American female survivors.</w:t>
            </w:r>
          </w:p>
        </w:tc>
      </w:tr>
      <w:tr w:rsidR="00FC1D00" w:rsidRPr="008C18EB" w14:paraId="5EB6B204" w14:textId="77777777" w:rsidTr="00392026">
        <w:trPr>
          <w:trHeight w:val="277"/>
        </w:trPr>
        <w:tc>
          <w:tcPr>
            <w:cnfStyle w:val="001000000000" w:firstRow="0" w:lastRow="0" w:firstColumn="1" w:lastColumn="0" w:oddVBand="0" w:evenVBand="0" w:oddHBand="0" w:evenHBand="0" w:firstRowFirstColumn="0" w:firstRowLastColumn="0" w:lastRowFirstColumn="0" w:lastRowLastColumn="0"/>
            <w:tcW w:w="1305" w:type="dxa"/>
          </w:tcPr>
          <w:p w14:paraId="0EED22D9" w14:textId="77777777" w:rsidR="00FC1D00" w:rsidRPr="008C18EB" w:rsidRDefault="00FC1D00" w:rsidP="00392026">
            <w:r w:rsidRPr="008C18EB">
              <w:t>Gillum</w:t>
            </w:r>
          </w:p>
        </w:tc>
        <w:tc>
          <w:tcPr>
            <w:tcW w:w="1120" w:type="dxa"/>
          </w:tcPr>
          <w:p w14:paraId="3A5E9F32" w14:textId="77777777" w:rsidR="00FC1D00" w:rsidRPr="008C18EB" w:rsidRDefault="00FC1D00" w:rsidP="00392026">
            <w:pPr>
              <w:cnfStyle w:val="000000000000" w:firstRow="0" w:lastRow="0" w:firstColumn="0" w:lastColumn="0" w:oddVBand="0" w:evenVBand="0" w:oddHBand="0" w:evenHBand="0" w:firstRowFirstColumn="0" w:firstRowLastColumn="0" w:lastRowFirstColumn="0" w:lastRowLastColumn="0"/>
            </w:pPr>
            <w:r w:rsidRPr="008C18EB">
              <w:t>2008</w:t>
            </w:r>
          </w:p>
        </w:tc>
        <w:tc>
          <w:tcPr>
            <w:tcW w:w="1130" w:type="dxa"/>
          </w:tcPr>
          <w:p w14:paraId="5B0E1C20" w14:textId="77777777" w:rsidR="00FC1D00" w:rsidRPr="008C18EB" w:rsidRDefault="00FC1D00" w:rsidP="00392026">
            <w:pPr>
              <w:cnfStyle w:val="000000000000" w:firstRow="0" w:lastRow="0" w:firstColumn="0" w:lastColumn="0" w:oddVBand="0" w:evenVBand="0" w:oddHBand="0" w:evenHBand="0" w:firstRowFirstColumn="0" w:firstRowLastColumn="0" w:lastRowFirstColumn="0" w:lastRowLastColumn="0"/>
            </w:pPr>
            <w:r w:rsidRPr="008C18EB">
              <w:t>USA</w:t>
            </w:r>
          </w:p>
        </w:tc>
        <w:tc>
          <w:tcPr>
            <w:tcW w:w="5461" w:type="dxa"/>
          </w:tcPr>
          <w:p w14:paraId="4759E518" w14:textId="77777777" w:rsidR="00FC1D00" w:rsidRPr="008C18EB" w:rsidRDefault="00FC1D00" w:rsidP="00392026">
            <w:pPr>
              <w:cnfStyle w:val="000000000000" w:firstRow="0" w:lastRow="0" w:firstColumn="0" w:lastColumn="0" w:oddVBand="0" w:evenVBand="0" w:oddHBand="0" w:evenHBand="0" w:firstRowFirstColumn="0" w:firstRowLastColumn="0" w:lastRowFirstColumn="0" w:lastRowLastColumn="0"/>
            </w:pPr>
            <w:r w:rsidRPr="008C18EB">
              <w:t>Presents a study with African American survivors to explore (a) what their experience was with various community entities and (b) how they feel race may have affected these experiences.</w:t>
            </w:r>
          </w:p>
        </w:tc>
      </w:tr>
      <w:tr w:rsidR="00FC1D00" w:rsidRPr="008C18EB" w14:paraId="3BDBB535" w14:textId="77777777" w:rsidTr="00392026">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305" w:type="dxa"/>
          </w:tcPr>
          <w:p w14:paraId="21D83DAA" w14:textId="77777777" w:rsidR="00FC1D00" w:rsidRPr="008C18EB" w:rsidRDefault="00FC1D00" w:rsidP="00392026">
            <w:r w:rsidRPr="008C18EB">
              <w:t>Gillum</w:t>
            </w:r>
          </w:p>
        </w:tc>
        <w:tc>
          <w:tcPr>
            <w:tcW w:w="1120" w:type="dxa"/>
          </w:tcPr>
          <w:p w14:paraId="7FC2600C"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2009</w:t>
            </w:r>
          </w:p>
        </w:tc>
        <w:tc>
          <w:tcPr>
            <w:tcW w:w="1130" w:type="dxa"/>
          </w:tcPr>
          <w:p w14:paraId="5EEB9C87"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USA</w:t>
            </w:r>
          </w:p>
        </w:tc>
        <w:tc>
          <w:tcPr>
            <w:tcW w:w="5461" w:type="dxa"/>
          </w:tcPr>
          <w:p w14:paraId="0FE0BDBD"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Presents a study that was designed to ascertain, from African American survivors, what their experiences were with mainstream IPV interventions and how their experience with a culturally specific DVA agency was different from those experiences.</w:t>
            </w:r>
          </w:p>
        </w:tc>
      </w:tr>
      <w:tr w:rsidR="00FC1D00" w:rsidRPr="008C18EB" w14:paraId="4E0CCB9C" w14:textId="77777777" w:rsidTr="00392026">
        <w:trPr>
          <w:trHeight w:val="277"/>
        </w:trPr>
        <w:tc>
          <w:tcPr>
            <w:cnfStyle w:val="001000000000" w:firstRow="0" w:lastRow="0" w:firstColumn="1" w:lastColumn="0" w:oddVBand="0" w:evenVBand="0" w:oddHBand="0" w:evenHBand="0" w:firstRowFirstColumn="0" w:firstRowLastColumn="0" w:lastRowFirstColumn="0" w:lastRowLastColumn="0"/>
            <w:tcW w:w="1305" w:type="dxa"/>
          </w:tcPr>
          <w:p w14:paraId="76C378E9" w14:textId="77777777" w:rsidR="00FC1D00" w:rsidRPr="008C18EB" w:rsidRDefault="00FC1D00" w:rsidP="00392026">
            <w:r w:rsidRPr="008C18EB">
              <w:t>Fowler et al.</w:t>
            </w:r>
          </w:p>
        </w:tc>
        <w:tc>
          <w:tcPr>
            <w:tcW w:w="1120" w:type="dxa"/>
          </w:tcPr>
          <w:p w14:paraId="44026780" w14:textId="77777777" w:rsidR="00FC1D00" w:rsidRPr="008C18EB" w:rsidRDefault="00FC1D00" w:rsidP="00392026">
            <w:pPr>
              <w:cnfStyle w:val="000000000000" w:firstRow="0" w:lastRow="0" w:firstColumn="0" w:lastColumn="0" w:oddVBand="0" w:evenVBand="0" w:oddHBand="0" w:evenHBand="0" w:firstRowFirstColumn="0" w:firstRowLastColumn="0" w:lastRowFirstColumn="0" w:lastRowLastColumn="0"/>
            </w:pPr>
            <w:r w:rsidRPr="008C18EB">
              <w:t>2011</w:t>
            </w:r>
          </w:p>
        </w:tc>
        <w:tc>
          <w:tcPr>
            <w:tcW w:w="1130" w:type="dxa"/>
          </w:tcPr>
          <w:p w14:paraId="2B495FDC" w14:textId="77777777" w:rsidR="00FC1D00" w:rsidRPr="008C18EB" w:rsidRDefault="00FC1D00" w:rsidP="00392026">
            <w:pPr>
              <w:cnfStyle w:val="000000000000" w:firstRow="0" w:lastRow="0" w:firstColumn="0" w:lastColumn="0" w:oddVBand="0" w:evenVBand="0" w:oddHBand="0" w:evenHBand="0" w:firstRowFirstColumn="0" w:firstRowLastColumn="0" w:lastRowFirstColumn="0" w:lastRowLastColumn="0"/>
            </w:pPr>
            <w:r w:rsidRPr="008C18EB">
              <w:t>USA</w:t>
            </w:r>
          </w:p>
        </w:tc>
        <w:tc>
          <w:tcPr>
            <w:tcW w:w="5461" w:type="dxa"/>
          </w:tcPr>
          <w:p w14:paraId="38EF43E7" w14:textId="77777777" w:rsidR="00FC1D00" w:rsidRPr="008C18EB" w:rsidRDefault="00FC1D00" w:rsidP="00392026">
            <w:pPr>
              <w:cnfStyle w:val="000000000000" w:firstRow="0" w:lastRow="0" w:firstColumn="0" w:lastColumn="0" w:oddVBand="0" w:evenVBand="0" w:oddHBand="0" w:evenHBand="0" w:firstRowFirstColumn="0" w:firstRowLastColumn="0" w:lastRowFirstColumn="0" w:lastRowLastColumn="0"/>
            </w:pPr>
            <w:r w:rsidRPr="008C18EB">
              <w:t>Presents a study that examined differences between shelter and faith-based service utilisation and satisfaction in a shelter sample.</w:t>
            </w:r>
          </w:p>
        </w:tc>
      </w:tr>
      <w:tr w:rsidR="00FC1D00" w:rsidRPr="008C18EB" w14:paraId="7022DC88" w14:textId="77777777" w:rsidTr="00392026">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305" w:type="dxa"/>
          </w:tcPr>
          <w:p w14:paraId="5BEBFF94" w14:textId="77777777" w:rsidR="00FC1D00" w:rsidRPr="008C18EB" w:rsidRDefault="00FC1D00" w:rsidP="00392026">
            <w:r w:rsidRPr="008C18EB">
              <w:lastRenderedPageBreak/>
              <w:t>Bent-Goodley</w:t>
            </w:r>
          </w:p>
        </w:tc>
        <w:tc>
          <w:tcPr>
            <w:tcW w:w="1120" w:type="dxa"/>
          </w:tcPr>
          <w:p w14:paraId="07B8BDCA"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2013</w:t>
            </w:r>
          </w:p>
        </w:tc>
        <w:tc>
          <w:tcPr>
            <w:tcW w:w="1130" w:type="dxa"/>
          </w:tcPr>
          <w:p w14:paraId="5555ACDF"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USA</w:t>
            </w:r>
          </w:p>
        </w:tc>
        <w:tc>
          <w:tcPr>
            <w:tcW w:w="5461" w:type="dxa"/>
          </w:tcPr>
          <w:p w14:paraId="52D5D395"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Reviews current knowledge about cultural competence for Black women abused by men in the United States, with suggested implications for domestic violence fatality review teams (DVFRTs).</w:t>
            </w:r>
          </w:p>
        </w:tc>
      </w:tr>
      <w:tr w:rsidR="00FC1D00" w:rsidRPr="008C18EB" w14:paraId="0E35F45B" w14:textId="77777777" w:rsidTr="00392026">
        <w:trPr>
          <w:trHeight w:val="266"/>
        </w:trPr>
        <w:tc>
          <w:tcPr>
            <w:cnfStyle w:val="001000000000" w:firstRow="0" w:lastRow="0" w:firstColumn="1" w:lastColumn="0" w:oddVBand="0" w:evenVBand="0" w:oddHBand="0" w:evenHBand="0" w:firstRowFirstColumn="0" w:firstRowLastColumn="0" w:lastRowFirstColumn="0" w:lastRowLastColumn="0"/>
            <w:tcW w:w="1305" w:type="dxa"/>
          </w:tcPr>
          <w:p w14:paraId="047352B5" w14:textId="77777777" w:rsidR="00FC1D00" w:rsidRPr="008C18EB" w:rsidRDefault="00FC1D00" w:rsidP="00392026">
            <w:r w:rsidRPr="008C18EB">
              <w:t>Stennis et al.</w:t>
            </w:r>
          </w:p>
        </w:tc>
        <w:tc>
          <w:tcPr>
            <w:tcW w:w="1120" w:type="dxa"/>
          </w:tcPr>
          <w:p w14:paraId="5738A2A0" w14:textId="77777777" w:rsidR="00FC1D00" w:rsidRPr="008C18EB" w:rsidRDefault="00FC1D00" w:rsidP="00392026">
            <w:pPr>
              <w:cnfStyle w:val="000000000000" w:firstRow="0" w:lastRow="0" w:firstColumn="0" w:lastColumn="0" w:oddVBand="0" w:evenVBand="0" w:oddHBand="0" w:evenHBand="0" w:firstRowFirstColumn="0" w:firstRowLastColumn="0" w:lastRowFirstColumn="0" w:lastRowLastColumn="0"/>
            </w:pPr>
            <w:r w:rsidRPr="008C18EB">
              <w:t>2017</w:t>
            </w:r>
          </w:p>
        </w:tc>
        <w:tc>
          <w:tcPr>
            <w:tcW w:w="1130" w:type="dxa"/>
          </w:tcPr>
          <w:p w14:paraId="32C3A8CC" w14:textId="77777777" w:rsidR="00FC1D00" w:rsidRPr="008C18EB" w:rsidRDefault="00FC1D00" w:rsidP="00392026">
            <w:pPr>
              <w:cnfStyle w:val="000000000000" w:firstRow="0" w:lastRow="0" w:firstColumn="0" w:lastColumn="0" w:oddVBand="0" w:evenVBand="0" w:oddHBand="0" w:evenHBand="0" w:firstRowFirstColumn="0" w:firstRowLastColumn="0" w:lastRowFirstColumn="0" w:lastRowLastColumn="0"/>
            </w:pPr>
            <w:r w:rsidRPr="008C18EB">
              <w:t>USA</w:t>
            </w:r>
          </w:p>
        </w:tc>
        <w:tc>
          <w:tcPr>
            <w:tcW w:w="5461" w:type="dxa"/>
          </w:tcPr>
          <w:p w14:paraId="172F5754" w14:textId="77777777" w:rsidR="00FC1D00" w:rsidRPr="008C18EB" w:rsidRDefault="00FC1D00" w:rsidP="00392026">
            <w:pPr>
              <w:cnfStyle w:val="000000000000" w:firstRow="0" w:lastRow="0" w:firstColumn="0" w:lastColumn="0" w:oddVBand="0" w:evenVBand="0" w:oddHBand="0" w:evenHBand="0" w:firstRowFirstColumn="0" w:firstRowLastColumn="0" w:lastRowFirstColumn="0" w:lastRowLastColumn="0"/>
            </w:pPr>
            <w:r w:rsidRPr="008C18EB">
              <w:t>Describes the development of the S.T.A.R.T.© Education and Intervention Model, a religiously-sensitive and spiritually-based, multi-dimensional IPV education and intervention model.</w:t>
            </w:r>
          </w:p>
        </w:tc>
      </w:tr>
      <w:tr w:rsidR="00FC1D00" w:rsidRPr="008C18EB" w14:paraId="35F30FFA" w14:textId="77777777" w:rsidTr="00392026">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305" w:type="dxa"/>
          </w:tcPr>
          <w:p w14:paraId="46EBFB6F" w14:textId="77777777" w:rsidR="00FC1D00" w:rsidRPr="008C18EB" w:rsidRDefault="00FC1D00" w:rsidP="00392026">
            <w:r w:rsidRPr="008C18EB">
              <w:t xml:space="preserve">Jayasundara et al. </w:t>
            </w:r>
          </w:p>
        </w:tc>
        <w:tc>
          <w:tcPr>
            <w:tcW w:w="1120" w:type="dxa"/>
          </w:tcPr>
          <w:p w14:paraId="6619A9E3"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2017</w:t>
            </w:r>
          </w:p>
        </w:tc>
        <w:tc>
          <w:tcPr>
            <w:tcW w:w="1130" w:type="dxa"/>
          </w:tcPr>
          <w:p w14:paraId="01975E22"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USA</w:t>
            </w:r>
          </w:p>
        </w:tc>
        <w:tc>
          <w:tcPr>
            <w:tcW w:w="5461" w:type="dxa"/>
          </w:tcPr>
          <w:p w14:paraId="2702EAB6"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Presents the main premises of Buddhism, Christianity, Hinduism, Islam and Judaism  and discusses how each is separately misused to justify abusive behaviour, and common social work practice strategies that can be used in DVA situations with all religions.</w:t>
            </w:r>
          </w:p>
        </w:tc>
      </w:tr>
      <w:tr w:rsidR="00FC1D00" w:rsidRPr="008C18EB" w14:paraId="7DD7722F" w14:textId="77777777" w:rsidTr="00392026">
        <w:trPr>
          <w:trHeight w:val="277"/>
        </w:trPr>
        <w:tc>
          <w:tcPr>
            <w:cnfStyle w:val="001000000000" w:firstRow="0" w:lastRow="0" w:firstColumn="1" w:lastColumn="0" w:oddVBand="0" w:evenVBand="0" w:oddHBand="0" w:evenHBand="0" w:firstRowFirstColumn="0" w:firstRowLastColumn="0" w:lastRowFirstColumn="0" w:lastRowLastColumn="0"/>
            <w:tcW w:w="1305" w:type="dxa"/>
          </w:tcPr>
          <w:p w14:paraId="48B8B037" w14:textId="77777777" w:rsidR="00FC1D00" w:rsidRPr="008C18EB" w:rsidRDefault="00FC1D00" w:rsidP="00392026">
            <w:proofErr w:type="spellStart"/>
            <w:r w:rsidRPr="008C18EB">
              <w:t>Ghafournia</w:t>
            </w:r>
            <w:proofErr w:type="spellEnd"/>
          </w:p>
        </w:tc>
        <w:tc>
          <w:tcPr>
            <w:tcW w:w="1120" w:type="dxa"/>
          </w:tcPr>
          <w:p w14:paraId="704D0D96" w14:textId="77777777" w:rsidR="00FC1D00" w:rsidRPr="008C18EB" w:rsidRDefault="00FC1D00" w:rsidP="00392026">
            <w:pPr>
              <w:cnfStyle w:val="000000000000" w:firstRow="0" w:lastRow="0" w:firstColumn="0" w:lastColumn="0" w:oddVBand="0" w:evenVBand="0" w:oddHBand="0" w:evenHBand="0" w:firstRowFirstColumn="0" w:firstRowLastColumn="0" w:lastRowFirstColumn="0" w:lastRowLastColumn="0"/>
            </w:pPr>
            <w:r w:rsidRPr="008C18EB">
              <w:t>2017</w:t>
            </w:r>
          </w:p>
        </w:tc>
        <w:tc>
          <w:tcPr>
            <w:tcW w:w="1130" w:type="dxa"/>
          </w:tcPr>
          <w:p w14:paraId="570F2B00" w14:textId="77777777" w:rsidR="00FC1D00" w:rsidRPr="008C18EB" w:rsidRDefault="00FC1D00" w:rsidP="00392026">
            <w:pPr>
              <w:cnfStyle w:val="000000000000" w:firstRow="0" w:lastRow="0" w:firstColumn="0" w:lastColumn="0" w:oddVBand="0" w:evenVBand="0" w:oddHBand="0" w:evenHBand="0" w:firstRowFirstColumn="0" w:firstRowLastColumn="0" w:lastRowFirstColumn="0" w:lastRowLastColumn="0"/>
            </w:pPr>
            <w:r w:rsidRPr="008C18EB">
              <w:t>Australia</w:t>
            </w:r>
          </w:p>
        </w:tc>
        <w:tc>
          <w:tcPr>
            <w:tcW w:w="5461" w:type="dxa"/>
          </w:tcPr>
          <w:p w14:paraId="7BF19469" w14:textId="77777777" w:rsidR="00FC1D00" w:rsidRPr="008C18EB" w:rsidRDefault="00FC1D00" w:rsidP="00392026">
            <w:pPr>
              <w:cnfStyle w:val="000000000000" w:firstRow="0" w:lastRow="0" w:firstColumn="0" w:lastColumn="0" w:oddVBand="0" w:evenVBand="0" w:oddHBand="0" w:evenHBand="0" w:firstRowFirstColumn="0" w:firstRowLastColumn="0" w:lastRowFirstColumn="0" w:lastRowLastColumn="0"/>
            </w:pPr>
            <w:r w:rsidRPr="008C18EB">
              <w:rPr>
                <w:rFonts w:ascii="Calibri" w:hAnsi="Calibri" w:cs="Calibri"/>
              </w:rPr>
              <w:t>Explores the role of religious values in Muslim migrant women’s experience of IPV and implications for faith-based prevention and intervention strategies in the Muslim community.</w:t>
            </w:r>
          </w:p>
        </w:tc>
      </w:tr>
      <w:tr w:rsidR="00FC1D00" w:rsidRPr="008C18EB" w14:paraId="12ABBD07" w14:textId="77777777" w:rsidTr="00392026">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305" w:type="dxa"/>
          </w:tcPr>
          <w:p w14:paraId="4D446099" w14:textId="77777777" w:rsidR="00FC1D00" w:rsidRPr="008C18EB" w:rsidRDefault="00FC1D00" w:rsidP="00392026">
            <w:r w:rsidRPr="008C18EB">
              <w:t>Crisp et al.</w:t>
            </w:r>
          </w:p>
        </w:tc>
        <w:tc>
          <w:tcPr>
            <w:tcW w:w="1120" w:type="dxa"/>
          </w:tcPr>
          <w:p w14:paraId="533A9A3C"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2018</w:t>
            </w:r>
          </w:p>
        </w:tc>
        <w:tc>
          <w:tcPr>
            <w:tcW w:w="1130" w:type="dxa"/>
          </w:tcPr>
          <w:p w14:paraId="0A3BC2AC"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Australia</w:t>
            </w:r>
          </w:p>
        </w:tc>
        <w:tc>
          <w:tcPr>
            <w:tcW w:w="5461" w:type="dxa"/>
          </w:tcPr>
          <w:p w14:paraId="31A7EFEA"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Explores what religious literacy means in regard to protecting children from sexual assault in Australia’s Jewish community and Muslim women who experience DVA.</w:t>
            </w:r>
          </w:p>
        </w:tc>
      </w:tr>
      <w:tr w:rsidR="00FC1D00" w:rsidRPr="008C18EB" w14:paraId="4BE212CC" w14:textId="77777777" w:rsidTr="00392026">
        <w:trPr>
          <w:trHeight w:val="277"/>
        </w:trPr>
        <w:tc>
          <w:tcPr>
            <w:cnfStyle w:val="001000000000" w:firstRow="0" w:lastRow="0" w:firstColumn="1" w:lastColumn="0" w:oddVBand="0" w:evenVBand="0" w:oddHBand="0" w:evenHBand="0" w:firstRowFirstColumn="0" w:firstRowLastColumn="0" w:lastRowFirstColumn="0" w:lastRowLastColumn="0"/>
            <w:tcW w:w="1305" w:type="dxa"/>
          </w:tcPr>
          <w:p w14:paraId="617F60ED" w14:textId="77777777" w:rsidR="00FC1D00" w:rsidRPr="008C18EB" w:rsidRDefault="00FC1D00" w:rsidP="00392026">
            <w:r w:rsidRPr="008C18EB">
              <w:t>Milani et al.</w:t>
            </w:r>
          </w:p>
        </w:tc>
        <w:tc>
          <w:tcPr>
            <w:tcW w:w="1120" w:type="dxa"/>
          </w:tcPr>
          <w:p w14:paraId="6EB64474" w14:textId="77777777" w:rsidR="00FC1D00" w:rsidRPr="008C18EB" w:rsidRDefault="00FC1D00" w:rsidP="00392026">
            <w:pPr>
              <w:cnfStyle w:val="000000000000" w:firstRow="0" w:lastRow="0" w:firstColumn="0" w:lastColumn="0" w:oddVBand="0" w:evenVBand="0" w:oddHBand="0" w:evenHBand="0" w:firstRowFirstColumn="0" w:firstRowLastColumn="0" w:lastRowFirstColumn="0" w:lastRowLastColumn="0"/>
            </w:pPr>
            <w:r w:rsidRPr="008C18EB">
              <w:t>2018</w:t>
            </w:r>
          </w:p>
        </w:tc>
        <w:tc>
          <w:tcPr>
            <w:tcW w:w="1130" w:type="dxa"/>
          </w:tcPr>
          <w:p w14:paraId="616D069B" w14:textId="77777777" w:rsidR="00FC1D00" w:rsidRPr="008C18EB" w:rsidRDefault="00FC1D00" w:rsidP="00392026">
            <w:pPr>
              <w:cnfStyle w:val="000000000000" w:firstRow="0" w:lastRow="0" w:firstColumn="0" w:lastColumn="0" w:oddVBand="0" w:evenVBand="0" w:oddHBand="0" w:evenHBand="0" w:firstRowFirstColumn="0" w:firstRowLastColumn="0" w:lastRowFirstColumn="0" w:lastRowLastColumn="0"/>
            </w:pPr>
            <w:r w:rsidRPr="008C18EB">
              <w:t>Canada</w:t>
            </w:r>
          </w:p>
        </w:tc>
        <w:tc>
          <w:tcPr>
            <w:tcW w:w="5461" w:type="dxa"/>
          </w:tcPr>
          <w:p w14:paraId="2EA35AE0" w14:textId="77777777" w:rsidR="00FC1D00" w:rsidRPr="008C18EB" w:rsidRDefault="00FC1D00" w:rsidP="00392026">
            <w:pPr>
              <w:cnfStyle w:val="000000000000" w:firstRow="0" w:lastRow="0" w:firstColumn="0" w:lastColumn="0" w:oddVBand="0" w:evenVBand="0" w:oddHBand="0" w:evenHBand="0" w:firstRowFirstColumn="0" w:firstRowLastColumn="0" w:lastRowFirstColumn="0" w:lastRowLastColumn="0"/>
            </w:pPr>
            <w:r w:rsidRPr="008C18EB">
              <w:t>Examines frontline service providers’ perspectives on Muslim women’s experiences of IPV.</w:t>
            </w:r>
          </w:p>
        </w:tc>
      </w:tr>
      <w:tr w:rsidR="00FC1D00" w:rsidRPr="008C18EB" w14:paraId="2E0110EE" w14:textId="77777777" w:rsidTr="00392026">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305" w:type="dxa"/>
          </w:tcPr>
          <w:p w14:paraId="3AF80AA1" w14:textId="77777777" w:rsidR="00FC1D00" w:rsidRPr="008C18EB" w:rsidRDefault="00FC1D00" w:rsidP="00392026">
            <w:r w:rsidRPr="008C18EB">
              <w:t>Mulvihill et al.</w:t>
            </w:r>
          </w:p>
        </w:tc>
        <w:tc>
          <w:tcPr>
            <w:tcW w:w="1120" w:type="dxa"/>
          </w:tcPr>
          <w:p w14:paraId="58BC9941"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2022</w:t>
            </w:r>
          </w:p>
        </w:tc>
        <w:tc>
          <w:tcPr>
            <w:tcW w:w="1130" w:type="dxa"/>
          </w:tcPr>
          <w:p w14:paraId="5650397D"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UK</w:t>
            </w:r>
          </w:p>
        </w:tc>
        <w:tc>
          <w:tcPr>
            <w:tcW w:w="5461" w:type="dxa"/>
          </w:tcPr>
          <w:p w14:paraId="5EBA594F" w14:textId="77777777" w:rsidR="00FC1D00" w:rsidRPr="008C18EB" w:rsidRDefault="00FC1D00" w:rsidP="00392026">
            <w:pPr>
              <w:cnfStyle w:val="000000100000" w:firstRow="0" w:lastRow="0" w:firstColumn="0" w:lastColumn="0" w:oddVBand="0" w:evenVBand="0" w:oddHBand="1" w:evenHBand="0" w:firstRowFirstColumn="0" w:firstRowLastColumn="0" w:lastRowFirstColumn="0" w:lastRowLastColumn="0"/>
            </w:pPr>
            <w:r w:rsidRPr="008C18EB">
              <w:t>Explores the lived experiences of coercive control drawing on victim and witness accounts of abusive intimate partner relationships across Christian, Muslim, Jewish, Sikh and Buddhist faith contexts in the UK.</w:t>
            </w:r>
          </w:p>
        </w:tc>
      </w:tr>
    </w:tbl>
    <w:p w14:paraId="79F33D25" w14:textId="77777777" w:rsidR="00FC1D00" w:rsidRPr="008C18EB" w:rsidRDefault="00FC1D00" w:rsidP="00FC1D00">
      <w:pPr>
        <w:rPr>
          <w:b/>
          <w:bCs/>
        </w:rPr>
      </w:pPr>
    </w:p>
    <w:p w14:paraId="037DA79C" w14:textId="53D7F0B7" w:rsidR="00FC1D00" w:rsidRPr="008C18EB" w:rsidRDefault="00FC1D00" w:rsidP="00FC1D00">
      <w:pPr>
        <w:jc w:val="center"/>
        <w:rPr>
          <w:b/>
          <w:bCs/>
        </w:rPr>
      </w:pPr>
    </w:p>
    <w:p w14:paraId="164AC5F1" w14:textId="77777777" w:rsidR="00FC5F48" w:rsidRPr="008C18EB" w:rsidRDefault="00FC5F48" w:rsidP="00FC1D00">
      <w:pPr>
        <w:jc w:val="both"/>
        <w:rPr>
          <w:rFonts w:ascii="Calibri" w:hAnsi="Calibri" w:cs="Calibri"/>
        </w:rPr>
      </w:pPr>
    </w:p>
    <w:p w14:paraId="03BE6604" w14:textId="78DB7142" w:rsidR="00072EC6" w:rsidRPr="00FC1D00" w:rsidRDefault="00072EC6" w:rsidP="00FC1D00"/>
    <w:sectPr w:rsidR="00072EC6" w:rsidRPr="00FC1D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1E7938"/>
    <w:multiLevelType w:val="hybridMultilevel"/>
    <w:tmpl w:val="D2742B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208246C"/>
    <w:multiLevelType w:val="hybridMultilevel"/>
    <w:tmpl w:val="DF1E2D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79472916">
    <w:abstractNumId w:val="0"/>
  </w:num>
  <w:num w:numId="2" w16cid:durableId="722424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EC6"/>
    <w:rsid w:val="00072EC6"/>
    <w:rsid w:val="001D3AB0"/>
    <w:rsid w:val="003170D1"/>
    <w:rsid w:val="004324AE"/>
    <w:rsid w:val="0046250F"/>
    <w:rsid w:val="004A6AFE"/>
    <w:rsid w:val="005A69B1"/>
    <w:rsid w:val="005B0C3F"/>
    <w:rsid w:val="005F1FC2"/>
    <w:rsid w:val="006B482B"/>
    <w:rsid w:val="007A66CC"/>
    <w:rsid w:val="007A6C1C"/>
    <w:rsid w:val="007D11AC"/>
    <w:rsid w:val="0084636D"/>
    <w:rsid w:val="00927276"/>
    <w:rsid w:val="009C0101"/>
    <w:rsid w:val="009E754D"/>
    <w:rsid w:val="00A57DFB"/>
    <w:rsid w:val="00A82BE4"/>
    <w:rsid w:val="00B03B42"/>
    <w:rsid w:val="00CD5360"/>
    <w:rsid w:val="00EE36C3"/>
    <w:rsid w:val="00FC1D00"/>
    <w:rsid w:val="00FC5F4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3F6B3"/>
  <w15:chartTrackingRefBased/>
  <w15:docId w15:val="{630372B8-DA1E-4CF4-901B-FFAC784C0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1D00"/>
    <w:rPr>
      <w:kern w:val="0"/>
      <w14:ligatures w14:val="none"/>
    </w:rPr>
  </w:style>
  <w:style w:type="paragraph" w:styleId="Heading2">
    <w:name w:val="heading 2"/>
    <w:basedOn w:val="Normal"/>
    <w:next w:val="Normal"/>
    <w:link w:val="Heading2Char"/>
    <w:uiPriority w:val="9"/>
    <w:unhideWhenUsed/>
    <w:qFormat/>
    <w:rsid w:val="00FC1D00"/>
    <w:pPr>
      <w:keepNext/>
      <w:keepLines/>
      <w:spacing w:before="40" w:after="0"/>
      <w:outlineLvl w:val="1"/>
    </w:pPr>
    <w:rPr>
      <w:rFonts w:ascii="Calibri" w:eastAsiaTheme="majorEastAsia" w:hAnsi="Calibri" w:cstheme="majorBidi"/>
      <w:b/>
      <w:color w:val="000000" w:themeColor="text1"/>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72E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FC1D00"/>
    <w:rPr>
      <w:rFonts w:ascii="Calibri" w:eastAsiaTheme="majorEastAsia" w:hAnsi="Calibri" w:cstheme="majorBidi"/>
      <w:b/>
      <w:color w:val="000000" w:themeColor="text1"/>
      <w:kern w:val="0"/>
      <w:sz w:val="28"/>
      <w:szCs w:val="26"/>
      <w14:ligatures w14:val="none"/>
    </w:rPr>
  </w:style>
  <w:style w:type="table" w:styleId="PlainTable1">
    <w:name w:val="Plain Table 1"/>
    <w:basedOn w:val="TableNormal"/>
    <w:uiPriority w:val="41"/>
    <w:rsid w:val="00FC1D00"/>
    <w:pPr>
      <w:spacing w:after="0" w:line="240" w:lineRule="auto"/>
    </w:pPr>
    <w:rPr>
      <w:kern w:val="0"/>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ListParagraph">
    <w:name w:val="List Paragraph"/>
    <w:basedOn w:val="Normal"/>
    <w:uiPriority w:val="34"/>
    <w:qFormat/>
    <w:rsid w:val="00FC5F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5607395">
      <w:bodyDiv w:val="1"/>
      <w:marLeft w:val="0"/>
      <w:marRight w:val="0"/>
      <w:marTop w:val="0"/>
      <w:marBottom w:val="0"/>
      <w:divBdr>
        <w:top w:val="none" w:sz="0" w:space="0" w:color="auto"/>
        <w:left w:val="none" w:sz="0" w:space="0" w:color="auto"/>
        <w:bottom w:val="none" w:sz="0" w:space="0" w:color="auto"/>
        <w:right w:val="none" w:sz="0" w:space="0" w:color="auto"/>
      </w:divBdr>
      <w:divsChild>
        <w:div w:id="415447135">
          <w:marLeft w:val="0"/>
          <w:marRight w:val="0"/>
          <w:marTop w:val="0"/>
          <w:marBottom w:val="165"/>
          <w:divBdr>
            <w:top w:val="none" w:sz="0" w:space="0" w:color="auto"/>
            <w:left w:val="none" w:sz="0" w:space="0" w:color="auto"/>
            <w:bottom w:val="none" w:sz="0" w:space="0" w:color="auto"/>
            <w:right w:val="none" w:sz="0" w:space="0" w:color="auto"/>
          </w:divBdr>
          <w:divsChild>
            <w:div w:id="2066440442">
              <w:marLeft w:val="0"/>
              <w:marRight w:val="0"/>
              <w:marTop w:val="0"/>
              <w:marBottom w:val="0"/>
              <w:divBdr>
                <w:top w:val="none" w:sz="0" w:space="0" w:color="auto"/>
                <w:left w:val="none" w:sz="0" w:space="0" w:color="auto"/>
                <w:bottom w:val="none" w:sz="0" w:space="0" w:color="auto"/>
                <w:right w:val="none" w:sz="0" w:space="0" w:color="auto"/>
              </w:divBdr>
            </w:div>
            <w:div w:id="675226827">
              <w:marLeft w:val="0"/>
              <w:marRight w:val="0"/>
              <w:marTop w:val="0"/>
              <w:marBottom w:val="0"/>
              <w:divBdr>
                <w:top w:val="none" w:sz="0" w:space="0" w:color="auto"/>
                <w:left w:val="none" w:sz="0" w:space="0" w:color="auto"/>
                <w:bottom w:val="none" w:sz="0" w:space="0" w:color="auto"/>
                <w:right w:val="none" w:sz="0" w:space="0" w:color="auto"/>
              </w:divBdr>
              <w:divsChild>
                <w:div w:id="2121219724">
                  <w:marLeft w:val="0"/>
                  <w:marRight w:val="0"/>
                  <w:marTop w:val="0"/>
                  <w:marBottom w:val="0"/>
                  <w:divBdr>
                    <w:top w:val="none" w:sz="0" w:space="0" w:color="auto"/>
                    <w:left w:val="none" w:sz="0" w:space="0" w:color="auto"/>
                    <w:bottom w:val="none" w:sz="0" w:space="0" w:color="auto"/>
                    <w:right w:val="none" w:sz="0" w:space="0" w:color="auto"/>
                  </w:divBdr>
                </w:div>
                <w:div w:id="725488826">
                  <w:marLeft w:val="0"/>
                  <w:marRight w:val="0"/>
                  <w:marTop w:val="0"/>
                  <w:marBottom w:val="0"/>
                  <w:divBdr>
                    <w:top w:val="none" w:sz="0" w:space="0" w:color="auto"/>
                    <w:left w:val="none" w:sz="0" w:space="0" w:color="auto"/>
                    <w:bottom w:val="none" w:sz="0" w:space="0" w:color="auto"/>
                    <w:right w:val="none" w:sz="0" w:space="0" w:color="auto"/>
                  </w:divBdr>
                </w:div>
                <w:div w:id="635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915207">
      <w:bodyDiv w:val="1"/>
      <w:marLeft w:val="0"/>
      <w:marRight w:val="0"/>
      <w:marTop w:val="0"/>
      <w:marBottom w:val="0"/>
      <w:divBdr>
        <w:top w:val="none" w:sz="0" w:space="0" w:color="auto"/>
        <w:left w:val="none" w:sz="0" w:space="0" w:color="auto"/>
        <w:bottom w:val="none" w:sz="0" w:space="0" w:color="auto"/>
        <w:right w:val="none" w:sz="0" w:space="0" w:color="auto"/>
      </w:divBdr>
    </w:div>
    <w:div w:id="1870682416">
      <w:bodyDiv w:val="1"/>
      <w:marLeft w:val="0"/>
      <w:marRight w:val="0"/>
      <w:marTop w:val="0"/>
      <w:marBottom w:val="0"/>
      <w:divBdr>
        <w:top w:val="none" w:sz="0" w:space="0" w:color="auto"/>
        <w:left w:val="none" w:sz="0" w:space="0" w:color="auto"/>
        <w:bottom w:val="none" w:sz="0" w:space="0" w:color="auto"/>
        <w:right w:val="none" w:sz="0" w:space="0" w:color="auto"/>
      </w:divBdr>
      <w:divsChild>
        <w:div w:id="1694960176">
          <w:marLeft w:val="0"/>
          <w:marRight w:val="0"/>
          <w:marTop w:val="0"/>
          <w:marBottom w:val="300"/>
          <w:divBdr>
            <w:top w:val="none" w:sz="0" w:space="0" w:color="auto"/>
            <w:left w:val="none" w:sz="0" w:space="0" w:color="auto"/>
            <w:bottom w:val="none" w:sz="0" w:space="0" w:color="auto"/>
            <w:right w:val="none" w:sz="0" w:space="0" w:color="auto"/>
          </w:divBdr>
        </w:div>
      </w:divsChild>
    </w:div>
    <w:div w:id="2085491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610</Words>
  <Characters>3480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romina istratii</dc:creator>
  <cp:keywords/>
  <dc:description/>
  <cp:lastModifiedBy>romina istratii</cp:lastModifiedBy>
  <cp:revision>2</cp:revision>
  <dcterms:created xsi:type="dcterms:W3CDTF">2023-10-23T12:02:00Z</dcterms:created>
  <dcterms:modified xsi:type="dcterms:W3CDTF">2023-10-23T12:02:00Z</dcterms:modified>
</cp:coreProperties>
</file>