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78429" w14:textId="1DCF1E19" w:rsidR="004745E2" w:rsidRPr="002C7AF6" w:rsidRDefault="00906DB3" w:rsidP="004745E2">
      <w:pPr>
        <w:rPr>
          <w:rFonts w:ascii="Times New Roman" w:hAnsi="Times New Roman" w:cs="Times New Roman"/>
          <w:sz w:val="18"/>
          <w:szCs w:val="18"/>
        </w:rPr>
      </w:pPr>
      <w:r w:rsidRPr="002C7AF6">
        <w:rPr>
          <w:rFonts w:ascii="Times New Roman" w:hAnsi="Times New Roman" w:cs="Times New Roman"/>
          <w:b/>
          <w:bCs/>
          <w:sz w:val="18"/>
          <w:szCs w:val="18"/>
        </w:rPr>
        <w:t xml:space="preserve">Supplementary Table </w:t>
      </w:r>
      <w:r w:rsidR="007A64F6" w:rsidRPr="002C7AF6">
        <w:rPr>
          <w:rFonts w:ascii="Times New Roman" w:hAnsi="Times New Roman" w:cs="Times New Roman"/>
          <w:b/>
          <w:bCs/>
          <w:sz w:val="18"/>
          <w:szCs w:val="18"/>
        </w:rPr>
        <w:t>6</w:t>
      </w:r>
      <w:r w:rsidRPr="002C7AF6">
        <w:rPr>
          <w:rFonts w:ascii="Times New Roman" w:hAnsi="Times New Roman" w:cs="Times New Roman"/>
          <w:sz w:val="18"/>
          <w:szCs w:val="18"/>
        </w:rPr>
        <w:t xml:space="preserve">. </w:t>
      </w:r>
      <w:r w:rsidR="00AF18E1" w:rsidRPr="002C7AF6">
        <w:rPr>
          <w:rFonts w:ascii="Times New Roman" w:hAnsi="Times New Roman" w:cs="Times New Roman"/>
          <w:sz w:val="18"/>
          <w:szCs w:val="18"/>
        </w:rPr>
        <w:t>Dataset related to Figure 5C</w:t>
      </w:r>
      <w:r w:rsidRPr="002C7AF6">
        <w:rPr>
          <w:rFonts w:ascii="Times New Roman" w:hAnsi="Times New Roman" w:cs="Times New Roman"/>
          <w:sz w:val="18"/>
          <w:szCs w:val="18"/>
        </w:rPr>
        <w:t>.</w:t>
      </w:r>
      <w:r w:rsidR="00AF18E1" w:rsidRPr="002C7AF6">
        <w:rPr>
          <w:rFonts w:ascii="Times New Roman" w:hAnsi="Times New Roman" w:cs="Times New Roman"/>
          <w:sz w:val="18"/>
          <w:szCs w:val="18"/>
        </w:rPr>
        <w:t xml:space="preserve"> </w:t>
      </w:r>
      <w:r w:rsidR="007A64F6" w:rsidRPr="002C7AF6">
        <w:rPr>
          <w:rFonts w:ascii="Times New Roman" w:hAnsi="Times New Roman" w:cs="Times New Roman"/>
          <w:sz w:val="18"/>
          <w:szCs w:val="18"/>
        </w:rPr>
        <w:t>HT-seq, High-throughput sequence.</w:t>
      </w:r>
    </w:p>
    <w:tbl>
      <w:tblPr>
        <w:tblStyle w:val="2"/>
        <w:tblW w:w="5000" w:type="pct"/>
        <w:tblLook w:val="06A0" w:firstRow="1" w:lastRow="0" w:firstColumn="1" w:lastColumn="0" w:noHBand="1" w:noVBand="1"/>
      </w:tblPr>
      <w:tblGrid>
        <w:gridCol w:w="1869"/>
        <w:gridCol w:w="1885"/>
        <w:gridCol w:w="2211"/>
        <w:gridCol w:w="1324"/>
        <w:gridCol w:w="1017"/>
      </w:tblGrid>
      <w:tr w:rsidR="00952CFD" w:rsidRPr="002C7AF6" w14:paraId="4BC57246" w14:textId="77777777" w:rsidTr="007A0FFB">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25" w:type="pct"/>
            <w:noWrap/>
            <w:hideMark/>
          </w:tcPr>
          <w:p w14:paraId="10484111" w14:textId="65C40E02" w:rsidR="004745E2" w:rsidRPr="002C7AF6" w:rsidRDefault="007A64F6" w:rsidP="004745E2">
            <w:pPr>
              <w:widowControl/>
              <w:jc w:val="left"/>
              <w:rPr>
                <w:rFonts w:ascii="Times New Roman" w:eastAsia="等线" w:hAnsi="Times New Roman" w:cs="Times New Roman"/>
                <w:color w:val="000000"/>
                <w:kern w:val="0"/>
                <w:sz w:val="18"/>
                <w:szCs w:val="18"/>
              </w:rPr>
            </w:pPr>
            <w:r w:rsidRPr="002C7AF6">
              <w:rPr>
                <w:rFonts w:ascii="Times New Roman" w:eastAsia="等线" w:hAnsi="Times New Roman" w:cs="Times New Roman"/>
                <w:color w:val="000000"/>
                <w:kern w:val="0"/>
                <w:sz w:val="18"/>
                <w:szCs w:val="18"/>
              </w:rPr>
              <w:t>D</w:t>
            </w:r>
            <w:r w:rsidRPr="002C7AF6">
              <w:rPr>
                <w:rFonts w:ascii="Times New Roman" w:eastAsia="等线" w:hAnsi="Times New Roman" w:cs="Times New Roman" w:hint="eastAsia"/>
                <w:color w:val="000000"/>
                <w:kern w:val="0"/>
                <w:sz w:val="18"/>
                <w:szCs w:val="18"/>
              </w:rPr>
              <w:t>a</w:t>
            </w:r>
            <w:r w:rsidRPr="002C7AF6">
              <w:rPr>
                <w:rFonts w:ascii="Times New Roman" w:eastAsia="等线" w:hAnsi="Times New Roman" w:cs="Times New Roman"/>
                <w:color w:val="000000"/>
                <w:kern w:val="0"/>
                <w:sz w:val="18"/>
                <w:szCs w:val="18"/>
              </w:rPr>
              <w:t>taset</w:t>
            </w:r>
          </w:p>
        </w:tc>
        <w:tc>
          <w:tcPr>
            <w:tcW w:w="1135" w:type="pct"/>
            <w:noWrap/>
            <w:hideMark/>
          </w:tcPr>
          <w:p w14:paraId="3EF4F2D5" w14:textId="785CF603" w:rsidR="004745E2" w:rsidRPr="002C7AF6" w:rsidRDefault="007A64F6" w:rsidP="004745E2">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18"/>
                <w:szCs w:val="18"/>
              </w:rPr>
            </w:pPr>
            <w:r w:rsidRPr="002C7AF6">
              <w:rPr>
                <w:rFonts w:ascii="Times New Roman" w:eastAsia="等线" w:hAnsi="Times New Roman" w:cs="Times New Roman" w:hint="eastAsia"/>
                <w:color w:val="000000"/>
                <w:kern w:val="0"/>
                <w:sz w:val="18"/>
                <w:szCs w:val="18"/>
              </w:rPr>
              <w:t>S</w:t>
            </w:r>
            <w:r w:rsidRPr="002C7AF6">
              <w:rPr>
                <w:rFonts w:ascii="Times New Roman" w:eastAsia="等线" w:hAnsi="Times New Roman" w:cs="Times New Roman"/>
                <w:color w:val="000000"/>
                <w:kern w:val="0"/>
                <w:sz w:val="18"/>
                <w:szCs w:val="18"/>
              </w:rPr>
              <w:t>ample size</w:t>
            </w:r>
          </w:p>
        </w:tc>
        <w:tc>
          <w:tcPr>
            <w:tcW w:w="1331" w:type="pct"/>
            <w:noWrap/>
          </w:tcPr>
          <w:p w14:paraId="56149E0F" w14:textId="71F88AA0" w:rsidR="004745E2" w:rsidRPr="002C7AF6" w:rsidRDefault="007A64F6" w:rsidP="004745E2">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18"/>
                <w:szCs w:val="18"/>
              </w:rPr>
            </w:pPr>
            <w:r w:rsidRPr="002C7AF6">
              <w:rPr>
                <w:rFonts w:ascii="Times New Roman" w:eastAsia="等线" w:hAnsi="Times New Roman" w:cs="Times New Roman" w:hint="eastAsia"/>
                <w:color w:val="000000"/>
                <w:kern w:val="0"/>
                <w:sz w:val="18"/>
                <w:szCs w:val="18"/>
              </w:rPr>
              <w:t>T</w:t>
            </w:r>
            <w:r w:rsidRPr="002C7AF6">
              <w:rPr>
                <w:rFonts w:ascii="Times New Roman" w:eastAsia="等线" w:hAnsi="Times New Roman" w:cs="Times New Roman"/>
                <w:color w:val="000000"/>
                <w:kern w:val="0"/>
                <w:sz w:val="18"/>
                <w:szCs w:val="18"/>
              </w:rPr>
              <w:t>reatment</w:t>
            </w:r>
          </w:p>
        </w:tc>
        <w:tc>
          <w:tcPr>
            <w:tcW w:w="797" w:type="pct"/>
            <w:noWrap/>
            <w:hideMark/>
          </w:tcPr>
          <w:p w14:paraId="700086A1" w14:textId="074881F0" w:rsidR="004745E2" w:rsidRPr="002C7AF6" w:rsidRDefault="007A64F6" w:rsidP="004745E2">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18"/>
                <w:szCs w:val="18"/>
              </w:rPr>
            </w:pPr>
            <w:r w:rsidRPr="002C7AF6">
              <w:rPr>
                <w:rFonts w:ascii="Times New Roman" w:eastAsia="等线" w:hAnsi="Times New Roman" w:cs="Times New Roman" w:hint="eastAsia"/>
                <w:color w:val="000000"/>
                <w:kern w:val="0"/>
                <w:sz w:val="18"/>
                <w:szCs w:val="18"/>
              </w:rPr>
              <w:t>M</w:t>
            </w:r>
            <w:r w:rsidRPr="002C7AF6">
              <w:rPr>
                <w:rFonts w:ascii="Times New Roman" w:eastAsia="等线" w:hAnsi="Times New Roman" w:cs="Times New Roman"/>
                <w:color w:val="000000"/>
                <w:kern w:val="0"/>
                <w:sz w:val="18"/>
                <w:szCs w:val="18"/>
              </w:rPr>
              <w:t>ethods</w:t>
            </w:r>
          </w:p>
        </w:tc>
        <w:tc>
          <w:tcPr>
            <w:tcW w:w="612" w:type="pct"/>
            <w:noWrap/>
            <w:hideMark/>
          </w:tcPr>
          <w:p w14:paraId="5F39BEE1" w14:textId="7F648364" w:rsidR="004745E2" w:rsidRPr="007A0FFB" w:rsidRDefault="007A0FFB" w:rsidP="004745E2">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18"/>
                <w:szCs w:val="18"/>
              </w:rPr>
            </w:pPr>
            <w:r w:rsidRPr="007A0FFB">
              <w:rPr>
                <w:rFonts w:ascii="Times New Roman" w:hAnsi="Times New Roman" w:cs="Times New Roman" w:hint="eastAsia"/>
                <w:sz w:val="18"/>
                <w:szCs w:val="18"/>
              </w:rPr>
              <w:t>Reference</w:t>
            </w:r>
          </w:p>
        </w:tc>
      </w:tr>
      <w:tr w:rsidR="00952CFD" w:rsidRPr="002C7AF6" w14:paraId="71B3E34C" w14:textId="77777777" w:rsidTr="007A0FFB">
        <w:trPr>
          <w:trHeight w:val="285"/>
        </w:trPr>
        <w:tc>
          <w:tcPr>
            <w:cnfStyle w:val="001000000000" w:firstRow="0" w:lastRow="0" w:firstColumn="1" w:lastColumn="0" w:oddVBand="0" w:evenVBand="0" w:oddHBand="0" w:evenHBand="0" w:firstRowFirstColumn="0" w:firstRowLastColumn="0" w:lastRowFirstColumn="0" w:lastRowLastColumn="0"/>
            <w:tcW w:w="1125" w:type="pct"/>
            <w:noWrap/>
            <w:hideMark/>
          </w:tcPr>
          <w:p w14:paraId="70BDC157" w14:textId="5F4A3CE6" w:rsidR="004745E2" w:rsidRPr="002C7AF6" w:rsidRDefault="007A64F6" w:rsidP="004745E2">
            <w:pPr>
              <w:widowControl/>
              <w:jc w:val="left"/>
              <w:rPr>
                <w:rFonts w:ascii="Times New Roman" w:eastAsia="等线" w:hAnsi="Times New Roman" w:cs="Times New Roman"/>
                <w:b w:val="0"/>
                <w:bCs w:val="0"/>
                <w:color w:val="000000"/>
                <w:kern w:val="0"/>
                <w:sz w:val="18"/>
                <w:szCs w:val="18"/>
              </w:rPr>
            </w:pPr>
            <w:r w:rsidRPr="002C7AF6">
              <w:rPr>
                <w:rFonts w:ascii="Times New Roman" w:eastAsia="等线" w:hAnsi="Times New Roman" w:cs="Times New Roman" w:hint="eastAsia"/>
                <w:b w:val="0"/>
                <w:bCs w:val="0"/>
                <w:color w:val="000000"/>
                <w:kern w:val="0"/>
                <w:sz w:val="18"/>
                <w:szCs w:val="18"/>
              </w:rPr>
              <w:t>R</w:t>
            </w:r>
            <w:r w:rsidRPr="002C7AF6">
              <w:rPr>
                <w:rFonts w:ascii="Times New Roman" w:eastAsia="等线" w:hAnsi="Times New Roman" w:cs="Times New Roman"/>
                <w:b w:val="0"/>
                <w:bCs w:val="0"/>
                <w:color w:val="000000"/>
                <w:kern w:val="0"/>
                <w:sz w:val="18"/>
                <w:szCs w:val="18"/>
              </w:rPr>
              <w:t>avi</w:t>
            </w:r>
          </w:p>
        </w:tc>
        <w:tc>
          <w:tcPr>
            <w:tcW w:w="1135" w:type="pct"/>
            <w:noWrap/>
            <w:hideMark/>
          </w:tcPr>
          <w:p w14:paraId="3AAF259C" w14:textId="7726C7F1" w:rsidR="004745E2" w:rsidRPr="002C7AF6" w:rsidRDefault="007A64F6" w:rsidP="004745E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18"/>
                <w:szCs w:val="18"/>
              </w:rPr>
            </w:pPr>
            <w:r w:rsidRPr="002C7AF6">
              <w:rPr>
                <w:rFonts w:ascii="Times New Roman" w:eastAsia="等线" w:hAnsi="Times New Roman" w:cs="Times New Roman" w:hint="eastAsia"/>
                <w:color w:val="000000"/>
                <w:kern w:val="0"/>
                <w:sz w:val="18"/>
                <w:szCs w:val="18"/>
              </w:rPr>
              <w:t>1</w:t>
            </w:r>
            <w:r w:rsidRPr="002C7AF6">
              <w:rPr>
                <w:rFonts w:ascii="Times New Roman" w:eastAsia="等线" w:hAnsi="Times New Roman" w:cs="Times New Roman"/>
                <w:color w:val="000000"/>
                <w:kern w:val="0"/>
                <w:sz w:val="18"/>
                <w:szCs w:val="18"/>
              </w:rPr>
              <w:t>42</w:t>
            </w:r>
          </w:p>
        </w:tc>
        <w:tc>
          <w:tcPr>
            <w:tcW w:w="1331" w:type="pct"/>
            <w:noWrap/>
            <w:hideMark/>
          </w:tcPr>
          <w:p w14:paraId="6C42A703" w14:textId="586F23BF" w:rsidR="004745E2" w:rsidRPr="002C7AF6" w:rsidRDefault="007A64F6" w:rsidP="004745E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r w:rsidRPr="002C7AF6">
              <w:rPr>
                <w:rFonts w:ascii="Times New Roman" w:eastAsia="Times New Roman" w:hAnsi="Times New Roman" w:cs="Times New Roman"/>
                <w:kern w:val="0"/>
                <w:sz w:val="18"/>
                <w:szCs w:val="18"/>
              </w:rPr>
              <w:t>Immunotherapy</w:t>
            </w:r>
          </w:p>
        </w:tc>
        <w:tc>
          <w:tcPr>
            <w:tcW w:w="797" w:type="pct"/>
            <w:noWrap/>
            <w:hideMark/>
          </w:tcPr>
          <w:p w14:paraId="540E1A05" w14:textId="0BBDBFB3" w:rsidR="004745E2" w:rsidRPr="002C7AF6" w:rsidRDefault="007A64F6" w:rsidP="004745E2">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18"/>
              </w:rPr>
            </w:pPr>
            <w:r w:rsidRPr="002C7AF6">
              <w:rPr>
                <w:rFonts w:ascii="Times New Roman" w:hAnsi="Times New Roman" w:cs="Times New Roman" w:hint="eastAsia"/>
                <w:kern w:val="0"/>
                <w:sz w:val="18"/>
                <w:szCs w:val="18"/>
              </w:rPr>
              <w:t>H</w:t>
            </w:r>
            <w:r w:rsidRPr="002C7AF6">
              <w:rPr>
                <w:rFonts w:ascii="Times New Roman" w:hAnsi="Times New Roman" w:cs="Times New Roman"/>
                <w:kern w:val="0"/>
                <w:sz w:val="18"/>
                <w:szCs w:val="18"/>
              </w:rPr>
              <w:t>T-seq</w:t>
            </w:r>
          </w:p>
        </w:tc>
        <w:tc>
          <w:tcPr>
            <w:tcW w:w="612" w:type="pct"/>
            <w:noWrap/>
            <w:hideMark/>
          </w:tcPr>
          <w:p w14:paraId="3C091C71" w14:textId="4E1195ED" w:rsidR="004745E2" w:rsidRPr="002C7AF6" w:rsidRDefault="00952CFD" w:rsidP="007A0FFB">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fldChar w:fldCharType="begin"/>
            </w:r>
            <w:r>
              <w:rPr>
                <w:rFonts w:ascii="Times New Roman" w:eastAsia="等线" w:hAnsi="Times New Roman" w:cs="Times New Roman"/>
                <w:color w:val="000000"/>
                <w:kern w:val="0"/>
                <w:sz w:val="18"/>
                <w:szCs w:val="18"/>
              </w:rPr>
              <w:instrText xml:space="preserve"> ADDIN ZOTERO_ITEM CSL_CITATION {"citationID":"JSwryw4T","properties":{"formattedCitation":"[1]","plainCitation":"[1]","noteIndex":0},"citationItems":[{"id":6657,"uris":["http://zotero.org/users/7921036/items/MQVTWNWJ"],"itemData":{"id":6657,"type":"article-journal","abstract":"Anti-PD-1/PD-L1 agents have transformed the treatment landscape of advanced non-small cell lung cancer (NSCLC). To expand our understanding of the molecular features underlying response to checkpoint inhibitors in NSCLC, we describe here the first joint analysis of the Stand Up To Cancer-Mark Foundation cohort, a resource of whole exome and/or RNA sequencing from 393 patients with NSCLC treated with anti-PD-(L)1 therapy, along with matched clinical response annotation. We identify a number of associations between molecular features and outcome, including (1) favorable (for example, ATM altered) and unfavorable (for example, TERT amplified) genomic subgroups, (2) a prominent association between expression of inducible components of the immunoproteasome and response and (3) a dedifferentiated tumor-intrinsic subtype with enhanced response to checkpoint blockade. Taken together, results from this cohort demonstrate the complexity of biological determinants underlying immunotherapy outcomes and reinforce the discovery potential of integrative analysis within large, well-curated, cancer-specific cohorts.","container-title":"Nature Genetics","DOI":"10.1038/s41588-023-01355-5","ISSN":"1546-1718","issue":"5","journalAbbreviation":"Nat Genet","language":"eng","note":"PMID: 37024582\nPMCID: PMC10181943","page":"807-819","source":"PubMed","title":"Genomic and transcriptomic analysis of checkpoint blockade response in advanced non-small cell lung cancer","volume":"55","author":[{"family":"Ravi","given":"Arvind"},{"family":"Hellmann","given":"Matthew D."},{"family":"Arniella","given":"Monica B."},{"family":"Holton","given":"Mark"},{"family":"Freeman","given":"Samuel S."},{"family":"Naranbhai","given":"Vivek"},{"family":"Stewart","given":"Chip"},{"family":"Leshchiner","given":"Ignaty"},{"family":"Kim","given":"Jaegil"},{"family":"Akiyama","given":"Yo"},{"family":"Griffin","given":"Aaron T."},{"family":"Vokes","given":"Natalie I."},{"family":"Sakhi","given":"Mustafa"},{"family":"Kamesan","given":"Vashine"},{"family":"Rizvi","given":"Hira"},{"family":"Ricciuti","given":"Biagio"},{"family":"Forde","given":"Patrick M."},{"family":"Anagnostou","given":"Valsamo"},{"family":"Riess","given":"Jonathan W."},{"family":"Gibbons","given":"Don L."},{"family":"Pennell","given":"Nathan A."},{"family":"Velcheti","given":"Vamsidhar"},{"family":"Digumarthy","given":"Subba R."},{"family":"Mino-Kenudson","given":"Mari"},{"family":"Califano","given":"Andrea"},{"family":"Heymach","given":"John V."},{"family":"Herbst","given":"Roy S."},{"family":"Brahmer","given":"Julie R."},{"family":"Schalper","given":"Kurt A."},{"family":"Velculescu","given":"Victor E."},{"family":"Henick","given":"Brian S."},{"family":"Rizvi","given":"Naiyer"},{"family":"Jänne","given":"Pasi A."},{"family":"Awad","given":"Mark M."},{"family":"Chow","given":"Andrew"},{"family":"Greenbaum","given":"Benjamin D."},{"family":"Luksza","given":"Marta"},{"family":"Shaw","given":"Alice T."},{"family":"Wolchok","given":"Jedd"},{"family":"Hacohen","given":"Nir"},{"family":"Getz","given":"Gad"},{"family":"Gainor","given":"Justin F."}],"issued":{"date-parts":[["2023",5]]}}}],"schema":"https://github.com/citation-style-language/schema/raw/master/csl-citation.json"} </w:instrText>
            </w:r>
            <w:r>
              <w:rPr>
                <w:rFonts w:ascii="Times New Roman" w:eastAsia="等线" w:hAnsi="Times New Roman" w:cs="Times New Roman"/>
                <w:color w:val="000000"/>
                <w:kern w:val="0"/>
                <w:sz w:val="18"/>
                <w:szCs w:val="18"/>
              </w:rPr>
              <w:fldChar w:fldCharType="separate"/>
            </w:r>
            <w:r w:rsidRPr="00952CFD">
              <w:rPr>
                <w:rFonts w:ascii="Times New Roman" w:hAnsi="Times New Roman" w:cs="Times New Roman"/>
                <w:sz w:val="18"/>
              </w:rPr>
              <w:t>[1]</w:t>
            </w:r>
            <w:r>
              <w:rPr>
                <w:rFonts w:ascii="Times New Roman" w:eastAsia="等线" w:hAnsi="Times New Roman" w:cs="Times New Roman"/>
                <w:color w:val="000000"/>
                <w:kern w:val="0"/>
                <w:sz w:val="18"/>
                <w:szCs w:val="18"/>
              </w:rPr>
              <w:fldChar w:fldCharType="end"/>
            </w:r>
          </w:p>
        </w:tc>
      </w:tr>
      <w:tr w:rsidR="00952CFD" w:rsidRPr="002C7AF6" w14:paraId="7CF849CE" w14:textId="77777777" w:rsidTr="007A0FFB">
        <w:trPr>
          <w:trHeight w:val="285"/>
        </w:trPr>
        <w:tc>
          <w:tcPr>
            <w:cnfStyle w:val="001000000000" w:firstRow="0" w:lastRow="0" w:firstColumn="1" w:lastColumn="0" w:oddVBand="0" w:evenVBand="0" w:oddHBand="0" w:evenHBand="0" w:firstRowFirstColumn="0" w:firstRowLastColumn="0" w:lastRowFirstColumn="0" w:lastRowLastColumn="0"/>
            <w:tcW w:w="1125" w:type="pct"/>
            <w:noWrap/>
          </w:tcPr>
          <w:p w14:paraId="7D1097FF" w14:textId="3EA61A17" w:rsidR="007A64F6" w:rsidRPr="002C7AF6" w:rsidRDefault="00AF18E1" w:rsidP="004745E2">
            <w:pPr>
              <w:widowControl/>
              <w:jc w:val="left"/>
              <w:rPr>
                <w:rFonts w:ascii="Times New Roman" w:eastAsia="等线" w:hAnsi="Times New Roman" w:cs="Times New Roman"/>
                <w:b w:val="0"/>
                <w:bCs w:val="0"/>
                <w:color w:val="000000"/>
                <w:kern w:val="0"/>
                <w:sz w:val="18"/>
                <w:szCs w:val="18"/>
              </w:rPr>
            </w:pPr>
            <w:r w:rsidRPr="002C7AF6">
              <w:rPr>
                <w:rFonts w:ascii="Times New Roman" w:eastAsia="等线" w:hAnsi="Times New Roman" w:cs="Times New Roman" w:hint="eastAsia"/>
                <w:b w:val="0"/>
                <w:bCs w:val="0"/>
                <w:color w:val="000000"/>
                <w:kern w:val="0"/>
                <w:sz w:val="18"/>
                <w:szCs w:val="18"/>
              </w:rPr>
              <w:t>G</w:t>
            </w:r>
            <w:r w:rsidRPr="002C7AF6">
              <w:rPr>
                <w:rFonts w:ascii="Times New Roman" w:eastAsia="等线" w:hAnsi="Times New Roman" w:cs="Times New Roman"/>
                <w:b w:val="0"/>
                <w:bCs w:val="0"/>
                <w:color w:val="000000"/>
                <w:kern w:val="0"/>
                <w:sz w:val="18"/>
                <w:szCs w:val="18"/>
              </w:rPr>
              <w:t>SE41271</w:t>
            </w:r>
          </w:p>
        </w:tc>
        <w:tc>
          <w:tcPr>
            <w:tcW w:w="1135" w:type="pct"/>
            <w:noWrap/>
          </w:tcPr>
          <w:p w14:paraId="00A41A9C" w14:textId="1E2616FB" w:rsidR="007A64F6" w:rsidRPr="002C7AF6" w:rsidRDefault="00AF18E1" w:rsidP="004745E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18"/>
                <w:szCs w:val="18"/>
              </w:rPr>
            </w:pPr>
            <w:r w:rsidRPr="002C7AF6">
              <w:rPr>
                <w:rFonts w:ascii="Times New Roman" w:eastAsia="等线" w:hAnsi="Times New Roman" w:cs="Times New Roman" w:hint="eastAsia"/>
                <w:color w:val="000000"/>
                <w:kern w:val="0"/>
                <w:sz w:val="18"/>
                <w:szCs w:val="18"/>
              </w:rPr>
              <w:t>2</w:t>
            </w:r>
            <w:r w:rsidRPr="002C7AF6">
              <w:rPr>
                <w:rFonts w:ascii="Times New Roman" w:eastAsia="等线" w:hAnsi="Times New Roman" w:cs="Times New Roman"/>
                <w:color w:val="000000"/>
                <w:kern w:val="0"/>
                <w:sz w:val="18"/>
                <w:szCs w:val="18"/>
              </w:rPr>
              <w:t>74</w:t>
            </w:r>
          </w:p>
        </w:tc>
        <w:tc>
          <w:tcPr>
            <w:tcW w:w="1331" w:type="pct"/>
            <w:noWrap/>
          </w:tcPr>
          <w:p w14:paraId="329D9330" w14:textId="6BC94F98" w:rsidR="007A64F6" w:rsidRPr="002C7AF6" w:rsidRDefault="00AF18E1" w:rsidP="004745E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r w:rsidRPr="002C7AF6">
              <w:rPr>
                <w:rFonts w:ascii="Times New Roman" w:eastAsia="Times New Roman" w:hAnsi="Times New Roman" w:cs="Times New Roman"/>
                <w:kern w:val="0"/>
                <w:sz w:val="18"/>
                <w:szCs w:val="18"/>
              </w:rPr>
              <w:t>Surgery</w:t>
            </w:r>
          </w:p>
        </w:tc>
        <w:tc>
          <w:tcPr>
            <w:tcW w:w="797" w:type="pct"/>
            <w:noWrap/>
          </w:tcPr>
          <w:p w14:paraId="62245AF9" w14:textId="19BC5E5F" w:rsidR="007A64F6" w:rsidRPr="002C7AF6" w:rsidRDefault="007A64F6" w:rsidP="004745E2">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18"/>
              </w:rPr>
            </w:pPr>
            <w:r w:rsidRPr="002C7AF6">
              <w:rPr>
                <w:rFonts w:ascii="Times New Roman" w:hAnsi="Times New Roman" w:cs="Times New Roman" w:hint="eastAsia"/>
                <w:kern w:val="0"/>
                <w:sz w:val="18"/>
                <w:szCs w:val="18"/>
              </w:rPr>
              <w:t>A</w:t>
            </w:r>
            <w:r w:rsidRPr="002C7AF6">
              <w:rPr>
                <w:rFonts w:ascii="Times New Roman" w:hAnsi="Times New Roman" w:cs="Times New Roman"/>
                <w:kern w:val="0"/>
                <w:sz w:val="18"/>
                <w:szCs w:val="18"/>
              </w:rPr>
              <w:t>rray</w:t>
            </w:r>
          </w:p>
        </w:tc>
        <w:tc>
          <w:tcPr>
            <w:tcW w:w="612" w:type="pct"/>
            <w:noWrap/>
          </w:tcPr>
          <w:p w14:paraId="27C2F330" w14:textId="13B19605" w:rsidR="007A64F6" w:rsidRPr="002C7AF6" w:rsidRDefault="00952CFD" w:rsidP="007A0FFB">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fldChar w:fldCharType="begin"/>
            </w:r>
            <w:r>
              <w:rPr>
                <w:rFonts w:ascii="Times New Roman" w:eastAsia="等线" w:hAnsi="Times New Roman" w:cs="Times New Roman"/>
                <w:color w:val="000000"/>
                <w:kern w:val="0"/>
                <w:sz w:val="18"/>
                <w:szCs w:val="18"/>
              </w:rPr>
              <w:instrText xml:space="preserve"> ADDIN ZOTERO_ITEM CSL_CITATION {"citationID":"RsqrIPGa","properties":{"formattedCitation":"[2]","plainCitation":"[2]","noteIndex":0},"citationItems":[{"id":6659,"uris":["http://zotero.org/users/7921036/items/3JTQBV5A"],"itemData":{"id":6659,"type":"article-journal","abstract":"PURPOSE: To investigate the mechanisms of regulation and role associated with enhancer of zeste homolog 2 (EZH2) expression in lung cancer cells.\nEXPERIMENTAL DESIGN: We investigated the mechanisms of EZH2 expression associated with the VEGF/VEGFR-2 pathway. Furthermore, we sought to determine the role of EZH2 in response of lung adenocarcinoma to platinum-based chemotherapy, as well as the effect of EZH2 depletion on VEGFR-2-targeted therapy in lung adenocarcinoma cell lines. In addition, we characterized EZH2 expression in lung adenocarcinoma specimens and correlated it with patients' clinical characteristics.\nRESULTS: In this study, we demonstrate that VEGF/VEGFR-2 activation induces expression of EZH2 through the upregulation of E2F3 and hypoxia-inducible factor-1α (HIF1α), and downregulated expression of miR-101. EZH2 depletion by treatment with 3-deazaneplanocin A and knockdown by siRNA decreased the expression of EZH2 and H3K27me3, increased PARP-C level, reduced cell proliferation and migration, and increased sensitivity of the cells to treatment with cisplatin and carboplatin. In addition, high EZH2 expression was associated with poor overall survival in patients who received platinum-based adjuvant therapy, but not in patients who did not receive this therapy. Furthermore, we demonstrated for the first time that the inhibition of EZH2 greatly increased the sensitivity of lung adenocarcinoma cells to the anti-VEGFR-2 drug AZD2171.\nCONCLUSION: Our results suggest that the VEGF/VEGFR-2 pathway plays a role in regulation of EZH2 expression via E2F3, HIF1α, and miR-101. EZH2 depletion decreases the malignant potential of lung adenocarcinoma and sensitivity of the cells to both platinum-based and VEGFR-2-targeted therapy.","container-title":"Clinical Cancer Research: An Official Journal of the American Association for Cancer Research","DOI":"10.1158/1078-0432.CCR-13-1916","ISSN":"1557-3265","issue":"14","journalAbbreviation":"Clin Cancer Res","language":"eng","note":"PMID: 24850841\nPMCID: PMC4190586","page":"3849-3861","source":"PubMed","title":"VEGF/VEGFR-2 upregulates EZH2 expression in lung adenocarcinoma cells and EZH2 depletion enhances the response to platinum-based and VEGFR-2-targeted therapy","volume":"20","author":[{"family":"Riquelme","given":"Erick"},{"family":"Suraokar","given":"Milind"},{"family":"Behrens","given":"Carmen"},{"family":"Lin","given":"Heather Y."},{"family":"Girard","given":"Luc"},{"family":"Nilsson","given":"Monique B."},{"family":"Simon","given":"George"},{"family":"Wang","given":"Jing"},{"family":"Coombes","given":"Kevin R."},{"family":"Lee","given":"J. Jack"},{"family":"Hong","given":"Waun Ki"},{"family":"Heymach","given":"John"},{"family":"Minna","given":"John D."},{"family":"Wistuba","given":"Ignacio I."}],"issued":{"date-parts":[["2014",7,15]]}}}],"schema":"https://github.com/citation-style-language/schema/raw/master/csl-citation.json"} </w:instrText>
            </w:r>
            <w:r>
              <w:rPr>
                <w:rFonts w:ascii="Times New Roman" w:eastAsia="等线" w:hAnsi="Times New Roman" w:cs="Times New Roman"/>
                <w:color w:val="000000"/>
                <w:kern w:val="0"/>
                <w:sz w:val="18"/>
                <w:szCs w:val="18"/>
              </w:rPr>
              <w:fldChar w:fldCharType="separate"/>
            </w:r>
            <w:r w:rsidRPr="00952CFD">
              <w:rPr>
                <w:rFonts w:ascii="Times New Roman" w:hAnsi="Times New Roman" w:cs="Times New Roman"/>
                <w:sz w:val="18"/>
              </w:rPr>
              <w:t>[2]</w:t>
            </w:r>
            <w:r>
              <w:rPr>
                <w:rFonts w:ascii="Times New Roman" w:eastAsia="等线" w:hAnsi="Times New Roman" w:cs="Times New Roman"/>
                <w:color w:val="000000"/>
                <w:kern w:val="0"/>
                <w:sz w:val="18"/>
                <w:szCs w:val="18"/>
              </w:rPr>
              <w:fldChar w:fldCharType="end"/>
            </w:r>
          </w:p>
        </w:tc>
      </w:tr>
      <w:tr w:rsidR="00952CFD" w:rsidRPr="002C7AF6" w14:paraId="4C68258F" w14:textId="77777777" w:rsidTr="007A0FFB">
        <w:trPr>
          <w:trHeight w:val="285"/>
        </w:trPr>
        <w:tc>
          <w:tcPr>
            <w:cnfStyle w:val="001000000000" w:firstRow="0" w:lastRow="0" w:firstColumn="1" w:lastColumn="0" w:oddVBand="0" w:evenVBand="0" w:oddHBand="0" w:evenHBand="0" w:firstRowFirstColumn="0" w:firstRowLastColumn="0" w:lastRowFirstColumn="0" w:lastRowLastColumn="0"/>
            <w:tcW w:w="1125" w:type="pct"/>
            <w:noWrap/>
          </w:tcPr>
          <w:p w14:paraId="33EED749" w14:textId="1FAED934" w:rsidR="007A64F6" w:rsidRPr="002C7AF6" w:rsidRDefault="00AF18E1" w:rsidP="004745E2">
            <w:pPr>
              <w:widowControl/>
              <w:jc w:val="left"/>
              <w:rPr>
                <w:rFonts w:ascii="Times New Roman" w:eastAsia="等线" w:hAnsi="Times New Roman" w:cs="Times New Roman"/>
                <w:b w:val="0"/>
                <w:bCs w:val="0"/>
                <w:color w:val="000000"/>
                <w:kern w:val="0"/>
                <w:sz w:val="18"/>
                <w:szCs w:val="18"/>
              </w:rPr>
            </w:pPr>
            <w:r w:rsidRPr="002C7AF6">
              <w:rPr>
                <w:rFonts w:ascii="Times New Roman" w:eastAsia="等线" w:hAnsi="Times New Roman" w:cs="Times New Roman" w:hint="eastAsia"/>
                <w:b w:val="0"/>
                <w:bCs w:val="0"/>
                <w:color w:val="000000"/>
                <w:kern w:val="0"/>
                <w:sz w:val="18"/>
                <w:szCs w:val="18"/>
              </w:rPr>
              <w:t>G</w:t>
            </w:r>
            <w:r w:rsidRPr="002C7AF6">
              <w:rPr>
                <w:rFonts w:ascii="Times New Roman" w:eastAsia="等线" w:hAnsi="Times New Roman" w:cs="Times New Roman"/>
                <w:b w:val="0"/>
                <w:bCs w:val="0"/>
                <w:color w:val="000000"/>
                <w:kern w:val="0"/>
                <w:sz w:val="18"/>
                <w:szCs w:val="18"/>
              </w:rPr>
              <w:t>SE47115</w:t>
            </w:r>
          </w:p>
        </w:tc>
        <w:tc>
          <w:tcPr>
            <w:tcW w:w="1135" w:type="pct"/>
            <w:noWrap/>
          </w:tcPr>
          <w:p w14:paraId="6CC5DDDD" w14:textId="2B4F7A17" w:rsidR="007A64F6" w:rsidRPr="002C7AF6" w:rsidRDefault="00AF18E1" w:rsidP="004745E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18"/>
                <w:szCs w:val="18"/>
              </w:rPr>
            </w:pPr>
            <w:r w:rsidRPr="002C7AF6">
              <w:rPr>
                <w:rFonts w:ascii="Times New Roman" w:eastAsia="等线" w:hAnsi="Times New Roman" w:cs="Times New Roman" w:hint="eastAsia"/>
                <w:color w:val="000000"/>
                <w:kern w:val="0"/>
                <w:sz w:val="18"/>
                <w:szCs w:val="18"/>
              </w:rPr>
              <w:t>4</w:t>
            </w:r>
            <w:r w:rsidRPr="002C7AF6">
              <w:rPr>
                <w:rFonts w:ascii="Times New Roman" w:eastAsia="等线" w:hAnsi="Times New Roman" w:cs="Times New Roman"/>
                <w:color w:val="000000"/>
                <w:kern w:val="0"/>
                <w:sz w:val="18"/>
                <w:szCs w:val="18"/>
              </w:rPr>
              <w:t>4</w:t>
            </w:r>
          </w:p>
        </w:tc>
        <w:tc>
          <w:tcPr>
            <w:tcW w:w="1331" w:type="pct"/>
            <w:noWrap/>
          </w:tcPr>
          <w:p w14:paraId="7DDD5906" w14:textId="76B5223D" w:rsidR="007A64F6" w:rsidRPr="002C7AF6" w:rsidRDefault="00AF18E1" w:rsidP="004745E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r w:rsidRPr="002C7AF6">
              <w:rPr>
                <w:rFonts w:ascii="Times New Roman" w:eastAsia="Times New Roman" w:hAnsi="Times New Roman" w:cs="Times New Roman"/>
                <w:kern w:val="0"/>
                <w:sz w:val="18"/>
                <w:szCs w:val="18"/>
              </w:rPr>
              <w:t>Surgery</w:t>
            </w:r>
          </w:p>
        </w:tc>
        <w:tc>
          <w:tcPr>
            <w:tcW w:w="797" w:type="pct"/>
            <w:noWrap/>
          </w:tcPr>
          <w:p w14:paraId="2FAD3131" w14:textId="6B47A2B7" w:rsidR="007A64F6" w:rsidRPr="002C7AF6" w:rsidRDefault="007A64F6" w:rsidP="004745E2">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18"/>
              </w:rPr>
            </w:pPr>
            <w:r w:rsidRPr="002C7AF6">
              <w:rPr>
                <w:rFonts w:ascii="Times New Roman" w:hAnsi="Times New Roman" w:cs="Times New Roman" w:hint="eastAsia"/>
                <w:kern w:val="0"/>
                <w:sz w:val="18"/>
                <w:szCs w:val="18"/>
              </w:rPr>
              <w:t>A</w:t>
            </w:r>
            <w:r w:rsidRPr="002C7AF6">
              <w:rPr>
                <w:rFonts w:ascii="Times New Roman" w:hAnsi="Times New Roman" w:cs="Times New Roman"/>
                <w:kern w:val="0"/>
                <w:sz w:val="18"/>
                <w:szCs w:val="18"/>
              </w:rPr>
              <w:t>rray</w:t>
            </w:r>
          </w:p>
        </w:tc>
        <w:tc>
          <w:tcPr>
            <w:tcW w:w="612" w:type="pct"/>
            <w:noWrap/>
          </w:tcPr>
          <w:p w14:paraId="224501F0" w14:textId="1ED4E708" w:rsidR="007A64F6" w:rsidRPr="002C7AF6" w:rsidRDefault="00952CFD" w:rsidP="007A0FFB">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fldChar w:fldCharType="begin"/>
            </w:r>
            <w:r>
              <w:rPr>
                <w:rFonts w:ascii="Times New Roman" w:eastAsia="等线" w:hAnsi="Times New Roman" w:cs="Times New Roman"/>
                <w:color w:val="000000"/>
                <w:kern w:val="0"/>
                <w:sz w:val="18"/>
                <w:szCs w:val="18"/>
              </w:rPr>
              <w:instrText xml:space="preserve"> ADDIN ZOTERO_ITEM CSL_CITATION {"citationID":"mvOAc7XD","properties":{"formattedCitation":"[3]","plainCitation":"[3]","noteIndex":0},"citationItems":[{"id":6662,"uris":["http://zotero.org/users/7921036/items/4AHUID35"],"itemData":{"id":6662,"type":"article-journal","abstract":"RATIONALE: Lung cancer is the leading cause of cancer death in both men and women in the United States and worldwide. Matrix metalloproteinases (MMPs) have been implicated in the development and progression of lung cancer, but their role in the molecular pathogenesis of lung cancer remains unclear. We have found that MMP19, a relatively novel member of the MMP family, is overexpressed in lung tumors when compared with control subjects.\nOBJECTIVES: To test the hypothesis that MMP19 plays a significant role in the development and progression of non-small cell lung cancer (NSCLC).\nMETHODS: We have analyzed lung cancer gene expression data, immunostained lung tumors for MMP19, and performed in vitro assays to test the effects of MMP19 in NSCLC cells.\nMEASUREMENTS AND MAIN RESULTS: We found that MMP19 gene and protein expression is increased in lung cancer tumors compared with adjacent and histologically normal lung tissues. In three independent datasets, increased MMP19 gene expression conferred a poorer prognosis in NSCLC. In vitro, we found that overexpression of MMP19 promotes epithelial-mesenchymal transition, migration, and invasiveness in multiple NSCLC cell lines. Overexpression of MMP19 with a mutation at the catalytic site did not impair epithelial-mesenchymal transition or expression of prometastasis genes. We also found that miR-30 isoforms, a microRNA family predicted to target MMP19, is markedly down-regulated in human lung cancer and regulates MMP19 expression.\nCONCLUSIONS: Taken together, these findings suggest that MMP19 is associated with the development and progression of NSCLC and may be a potential biomarker of disease severity and outcome.","container-title":"American Journal of Respiratory and Critical Care Medicine","DOI":"10.1164/rccm.201310-1903OC","ISSN":"1535-4970","issue":"7","journalAbbreviation":"Am J Respir Crit Care Med","language":"eng","note":"PMID: 25250855\nPMCID: PMC4299607","page":"780-790","source":"PubMed","title":"Matrix metalloproteinase-19 promotes metastatic behavior in vitro and is associated with increased mortality in non-small cell lung cancer","volume":"190","author":[{"family":"Yu","given":"Guoying"},{"family":"Herazo-Maya","given":"Jose D."},{"family":"Nukui","given":"Tomoko"},{"family":"Romkes","given":"Marjorie"},{"family":"Parwani","given":"Anil"},{"family":"Juan-Guardela","given":"Brenda M."},{"family":"Robertson","given":"Jennifer"},{"family":"Gauldie","given":"Jack"},{"family":"Siegfried","given":"Jill M."},{"family":"Kaminski","given":"Naftali"},{"family":"Kass","given":"Daniel J."}],"issued":{"date-parts":[["2014",10,1]]}}}],"schema":"https://github.com/citation-style-language/schema/raw/master/csl-citation.json"} </w:instrText>
            </w:r>
            <w:r>
              <w:rPr>
                <w:rFonts w:ascii="Times New Roman" w:eastAsia="等线" w:hAnsi="Times New Roman" w:cs="Times New Roman"/>
                <w:color w:val="000000"/>
                <w:kern w:val="0"/>
                <w:sz w:val="18"/>
                <w:szCs w:val="18"/>
              </w:rPr>
              <w:fldChar w:fldCharType="separate"/>
            </w:r>
            <w:r w:rsidRPr="00952CFD">
              <w:rPr>
                <w:rFonts w:ascii="Times New Roman" w:hAnsi="Times New Roman" w:cs="Times New Roman"/>
                <w:sz w:val="18"/>
              </w:rPr>
              <w:t>[3]</w:t>
            </w:r>
            <w:r>
              <w:rPr>
                <w:rFonts w:ascii="Times New Roman" w:eastAsia="等线" w:hAnsi="Times New Roman" w:cs="Times New Roman"/>
                <w:color w:val="000000"/>
                <w:kern w:val="0"/>
                <w:sz w:val="18"/>
                <w:szCs w:val="18"/>
              </w:rPr>
              <w:fldChar w:fldCharType="end"/>
            </w:r>
          </w:p>
        </w:tc>
      </w:tr>
      <w:tr w:rsidR="00952CFD" w:rsidRPr="002C7AF6" w14:paraId="770AE132" w14:textId="77777777" w:rsidTr="007A0FFB">
        <w:trPr>
          <w:trHeight w:val="285"/>
        </w:trPr>
        <w:tc>
          <w:tcPr>
            <w:cnfStyle w:val="001000000000" w:firstRow="0" w:lastRow="0" w:firstColumn="1" w:lastColumn="0" w:oddVBand="0" w:evenVBand="0" w:oddHBand="0" w:evenHBand="0" w:firstRowFirstColumn="0" w:firstRowLastColumn="0" w:lastRowFirstColumn="0" w:lastRowLastColumn="0"/>
            <w:tcW w:w="1125" w:type="pct"/>
            <w:noWrap/>
          </w:tcPr>
          <w:p w14:paraId="29AF9C81" w14:textId="4EB19C46" w:rsidR="007A64F6" w:rsidRPr="002C7AF6" w:rsidRDefault="00AF18E1" w:rsidP="004745E2">
            <w:pPr>
              <w:widowControl/>
              <w:jc w:val="left"/>
              <w:rPr>
                <w:rFonts w:ascii="Times New Roman" w:eastAsia="等线" w:hAnsi="Times New Roman" w:cs="Times New Roman"/>
                <w:b w:val="0"/>
                <w:bCs w:val="0"/>
                <w:color w:val="000000"/>
                <w:kern w:val="0"/>
                <w:sz w:val="18"/>
                <w:szCs w:val="18"/>
              </w:rPr>
            </w:pPr>
            <w:r w:rsidRPr="002C7AF6">
              <w:rPr>
                <w:rFonts w:ascii="Times New Roman" w:eastAsia="等线" w:hAnsi="Times New Roman" w:cs="Times New Roman" w:hint="eastAsia"/>
                <w:b w:val="0"/>
                <w:bCs w:val="0"/>
                <w:color w:val="000000"/>
                <w:kern w:val="0"/>
                <w:sz w:val="18"/>
                <w:szCs w:val="18"/>
              </w:rPr>
              <w:t>G</w:t>
            </w:r>
            <w:r w:rsidRPr="002C7AF6">
              <w:rPr>
                <w:rFonts w:ascii="Times New Roman" w:eastAsia="等线" w:hAnsi="Times New Roman" w:cs="Times New Roman"/>
                <w:b w:val="0"/>
                <w:bCs w:val="0"/>
                <w:color w:val="000000"/>
                <w:kern w:val="0"/>
                <w:sz w:val="18"/>
                <w:szCs w:val="18"/>
              </w:rPr>
              <w:t>SE73403</w:t>
            </w:r>
          </w:p>
        </w:tc>
        <w:tc>
          <w:tcPr>
            <w:tcW w:w="1135" w:type="pct"/>
            <w:noWrap/>
          </w:tcPr>
          <w:p w14:paraId="5113D814" w14:textId="0D6DB09C" w:rsidR="007A64F6" w:rsidRPr="002C7AF6" w:rsidRDefault="00AF18E1" w:rsidP="004745E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18"/>
                <w:szCs w:val="18"/>
              </w:rPr>
            </w:pPr>
            <w:r w:rsidRPr="002C7AF6">
              <w:rPr>
                <w:rFonts w:ascii="Times New Roman" w:eastAsia="等线" w:hAnsi="Times New Roman" w:cs="Times New Roman" w:hint="eastAsia"/>
                <w:color w:val="000000"/>
                <w:kern w:val="0"/>
                <w:sz w:val="18"/>
                <w:szCs w:val="18"/>
              </w:rPr>
              <w:t>6</w:t>
            </w:r>
            <w:r w:rsidRPr="002C7AF6">
              <w:rPr>
                <w:rFonts w:ascii="Times New Roman" w:eastAsia="等线" w:hAnsi="Times New Roman" w:cs="Times New Roman"/>
                <w:color w:val="000000"/>
                <w:kern w:val="0"/>
                <w:sz w:val="18"/>
                <w:szCs w:val="18"/>
              </w:rPr>
              <w:t>9</w:t>
            </w:r>
          </w:p>
        </w:tc>
        <w:tc>
          <w:tcPr>
            <w:tcW w:w="1331" w:type="pct"/>
            <w:noWrap/>
          </w:tcPr>
          <w:p w14:paraId="01556198" w14:textId="7A6B3264" w:rsidR="007A64F6" w:rsidRPr="002C7AF6" w:rsidRDefault="00AF18E1" w:rsidP="004745E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r w:rsidRPr="002C7AF6">
              <w:rPr>
                <w:rFonts w:ascii="Times New Roman" w:eastAsia="Times New Roman" w:hAnsi="Times New Roman" w:cs="Times New Roman"/>
                <w:kern w:val="0"/>
                <w:sz w:val="18"/>
                <w:szCs w:val="18"/>
              </w:rPr>
              <w:t>Surgery</w:t>
            </w:r>
          </w:p>
        </w:tc>
        <w:tc>
          <w:tcPr>
            <w:tcW w:w="797" w:type="pct"/>
            <w:noWrap/>
          </w:tcPr>
          <w:p w14:paraId="438DAE07" w14:textId="363A2D0F" w:rsidR="007A64F6" w:rsidRPr="002C7AF6" w:rsidRDefault="007A64F6" w:rsidP="004745E2">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18"/>
              </w:rPr>
            </w:pPr>
            <w:r w:rsidRPr="002C7AF6">
              <w:rPr>
                <w:rFonts w:ascii="Times New Roman" w:hAnsi="Times New Roman" w:cs="Times New Roman" w:hint="eastAsia"/>
                <w:kern w:val="0"/>
                <w:sz w:val="18"/>
                <w:szCs w:val="18"/>
              </w:rPr>
              <w:t>A</w:t>
            </w:r>
            <w:r w:rsidRPr="002C7AF6">
              <w:rPr>
                <w:rFonts w:ascii="Times New Roman" w:hAnsi="Times New Roman" w:cs="Times New Roman"/>
                <w:kern w:val="0"/>
                <w:sz w:val="18"/>
                <w:szCs w:val="18"/>
              </w:rPr>
              <w:t>rray</w:t>
            </w:r>
          </w:p>
        </w:tc>
        <w:tc>
          <w:tcPr>
            <w:tcW w:w="612" w:type="pct"/>
            <w:noWrap/>
          </w:tcPr>
          <w:p w14:paraId="2D5A2A06" w14:textId="68AFCDA2" w:rsidR="007A64F6" w:rsidRPr="002C7AF6" w:rsidRDefault="00952CFD" w:rsidP="007A0FFB">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fldChar w:fldCharType="begin"/>
            </w:r>
            <w:r>
              <w:rPr>
                <w:rFonts w:ascii="Times New Roman" w:eastAsia="等线" w:hAnsi="Times New Roman" w:cs="Times New Roman"/>
                <w:color w:val="000000"/>
                <w:kern w:val="0"/>
                <w:sz w:val="18"/>
                <w:szCs w:val="18"/>
              </w:rPr>
              <w:instrText xml:space="preserve"> ADDIN ZOTERO_ITEM CSL_CITATION {"citationID":"bLV65krn","properties":{"formattedCitation":"[4]","plainCitation":"[4]","noteIndex":0},"citationItems":[{"id":6665,"uris":["http://zotero.org/users/7921036/items/EQY64UVJ"],"itemData":{"id":6665,"type":"article-journal","abstract":"A tumor can be viewed as a special \"organ\" that undergoes aberrant and poorly regulated organogenesis. Progress in cancer prognosis and therapy might be facilitated by re-examining distinctive processes that operate during normal development, to elucidate the intrinsic features of cancer that are significantly obscured by its heterogeneity. The global gene expression signatures of 44 human lung tissues at four development stages from Asian descent and 69 lung adenocarcinoma (ADC) tissue samples from ethnic Chinese patients were profiled using microarrays. All of the genes were classified into 27 distinct groups based on their expression patterns (named as PTN1 to PTN27) during the developmental process. In lung ADC, genes whose expression levels decreased steadily during lung development (genes in PTN1) generally had their expression reactivated, while those with uniformly increasing expression levels (genes in PTN27) had their expression suppressed. The genes in PTN1 contain many n-gene signatures that are of prognostic value for lung ADC. The prognostic relevance of a 12-gene demonstrator for patient survival was characterized in five cohorts of healthy and ADC patients [ADC_CICAMS (n = 69, p = 0.007), ADC_PNAS (n = 125, p = 0.0063), ADC_GSE13213 (n = 117, p = 0.0027), ADC_GSE8894 (n =  2, p = 0.01), and ADC_NCI (n = 282, p = 0.045)] and in four groups of stage I patients [ADC_CICAMS (n = 22, p = 0.017), ADC_PNAS (n = 76, p = 0.018), ADC_GSE13213 (n = 79, p = 0.02), and ADC_qPCR (n = 62, p = 0.006)]. In conclusion, by comparison of gene expression profiles during human lung developmental process and lung ADC progression, we revealed that the genes with a uniformly decreasing expression pattern during lung development are of enormous prognostic value for lung ADC.","container-title":"PloS One","DOI":"10.1371/journal.pone.0105639","ISSN":"1932-6203","issue":"8","journalAbbreviation":"PLoS One","language":"eng","note":"PMID: 25141350\nPMCID: PMC4139381","page":"e105639","source":"PubMed","title":"Gene expression profiling in human lung development: an abundant resource for lung adenocarcinoma prognosis","title-short":"Gene expression profiling in human lung development","volume":"9","author":[{"family":"Feng","given":"Lin"},{"family":"Wang","given":"Jiamei"},{"family":"Cao","given":"Bangrong"},{"family":"Zhang","given":"Yi"},{"family":"Wu","given":"Bo"},{"family":"Di","given":"Xuebing"},{"family":"Jiang","given":"Wei"},{"family":"An","given":"Ning"},{"family":"Lu","given":"Dan"},{"family":"Gao","given":"Suhong"},{"family":"Zhao","given":"Yuda"},{"family":"Chen","given":"Zhaoli"},{"family":"Mao","given":"Yousheng"},{"family":"Gao","given":"Yanning"},{"family":"Zhou","given":"Deshan"},{"family":"Jen","given":"Jin"},{"family":"Liu","given":"Xiaohong"},{"family":"Zhang","given":"Yunping"},{"family":"Li","given":"Xia"},{"family":"Zhang","given":"Kaitai"},{"family":"He","given":"Jie"},{"family":"Cheng","given":"Shujun"}],"issued":{"date-parts":[["2014"]]}}}],"schema":"https://github.com/citation-style-language/schema/raw/master/csl-citation.json"} </w:instrText>
            </w:r>
            <w:r>
              <w:rPr>
                <w:rFonts w:ascii="Times New Roman" w:eastAsia="等线" w:hAnsi="Times New Roman" w:cs="Times New Roman"/>
                <w:color w:val="000000"/>
                <w:kern w:val="0"/>
                <w:sz w:val="18"/>
                <w:szCs w:val="18"/>
              </w:rPr>
              <w:fldChar w:fldCharType="separate"/>
            </w:r>
            <w:r w:rsidRPr="00952CFD">
              <w:rPr>
                <w:rFonts w:ascii="Times New Roman" w:hAnsi="Times New Roman" w:cs="Times New Roman"/>
                <w:sz w:val="18"/>
              </w:rPr>
              <w:t>[4]</w:t>
            </w:r>
            <w:r>
              <w:rPr>
                <w:rFonts w:ascii="Times New Roman" w:eastAsia="等线" w:hAnsi="Times New Roman" w:cs="Times New Roman"/>
                <w:color w:val="000000"/>
                <w:kern w:val="0"/>
                <w:sz w:val="18"/>
                <w:szCs w:val="18"/>
              </w:rPr>
              <w:fldChar w:fldCharType="end"/>
            </w:r>
          </w:p>
        </w:tc>
      </w:tr>
      <w:tr w:rsidR="00952CFD" w:rsidRPr="002C7AF6" w14:paraId="36E4E86D" w14:textId="77777777" w:rsidTr="007A0FFB">
        <w:trPr>
          <w:trHeight w:val="285"/>
        </w:trPr>
        <w:tc>
          <w:tcPr>
            <w:cnfStyle w:val="001000000000" w:firstRow="0" w:lastRow="0" w:firstColumn="1" w:lastColumn="0" w:oddVBand="0" w:evenVBand="0" w:oddHBand="0" w:evenHBand="0" w:firstRowFirstColumn="0" w:firstRowLastColumn="0" w:lastRowFirstColumn="0" w:lastRowLastColumn="0"/>
            <w:tcW w:w="1125" w:type="pct"/>
            <w:noWrap/>
          </w:tcPr>
          <w:p w14:paraId="246C15A7" w14:textId="48B013A7" w:rsidR="007A64F6" w:rsidRPr="002C7AF6" w:rsidRDefault="00AF18E1" w:rsidP="004745E2">
            <w:pPr>
              <w:widowControl/>
              <w:jc w:val="left"/>
              <w:rPr>
                <w:rFonts w:ascii="Times New Roman" w:eastAsia="等线" w:hAnsi="Times New Roman" w:cs="Times New Roman"/>
                <w:b w:val="0"/>
                <w:bCs w:val="0"/>
                <w:color w:val="000000"/>
                <w:kern w:val="0"/>
                <w:sz w:val="18"/>
                <w:szCs w:val="18"/>
              </w:rPr>
            </w:pPr>
            <w:r w:rsidRPr="002C7AF6">
              <w:rPr>
                <w:rFonts w:ascii="Times New Roman" w:eastAsia="等线" w:hAnsi="Times New Roman" w:cs="Times New Roman" w:hint="eastAsia"/>
                <w:b w:val="0"/>
                <w:bCs w:val="0"/>
                <w:color w:val="000000"/>
                <w:kern w:val="0"/>
                <w:sz w:val="18"/>
                <w:szCs w:val="18"/>
              </w:rPr>
              <w:t>G</w:t>
            </w:r>
            <w:r w:rsidRPr="002C7AF6">
              <w:rPr>
                <w:rFonts w:ascii="Times New Roman" w:eastAsia="等线" w:hAnsi="Times New Roman" w:cs="Times New Roman"/>
                <w:b w:val="0"/>
                <w:bCs w:val="0"/>
                <w:color w:val="000000"/>
                <w:kern w:val="0"/>
                <w:sz w:val="18"/>
                <w:szCs w:val="18"/>
              </w:rPr>
              <w:t>SE101929</w:t>
            </w:r>
          </w:p>
        </w:tc>
        <w:tc>
          <w:tcPr>
            <w:tcW w:w="1135" w:type="pct"/>
            <w:noWrap/>
          </w:tcPr>
          <w:p w14:paraId="61876123" w14:textId="297F889B" w:rsidR="007A64F6" w:rsidRPr="002C7AF6" w:rsidRDefault="00AF18E1" w:rsidP="004745E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18"/>
                <w:szCs w:val="18"/>
              </w:rPr>
            </w:pPr>
            <w:r w:rsidRPr="002C7AF6">
              <w:rPr>
                <w:rFonts w:ascii="Times New Roman" w:eastAsia="等线" w:hAnsi="Times New Roman" w:cs="Times New Roman" w:hint="eastAsia"/>
                <w:color w:val="000000"/>
                <w:kern w:val="0"/>
                <w:sz w:val="18"/>
                <w:szCs w:val="18"/>
              </w:rPr>
              <w:t>6</w:t>
            </w:r>
            <w:r w:rsidRPr="002C7AF6">
              <w:rPr>
                <w:rFonts w:ascii="Times New Roman" w:eastAsia="等线" w:hAnsi="Times New Roman" w:cs="Times New Roman"/>
                <w:color w:val="000000"/>
                <w:kern w:val="0"/>
                <w:sz w:val="18"/>
                <w:szCs w:val="18"/>
              </w:rPr>
              <w:t>6</w:t>
            </w:r>
          </w:p>
        </w:tc>
        <w:tc>
          <w:tcPr>
            <w:tcW w:w="1331" w:type="pct"/>
            <w:noWrap/>
          </w:tcPr>
          <w:p w14:paraId="21A661C5" w14:textId="1D87977F" w:rsidR="007A64F6" w:rsidRPr="002C7AF6" w:rsidRDefault="00AF18E1" w:rsidP="004745E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r w:rsidRPr="002C7AF6">
              <w:rPr>
                <w:rFonts w:ascii="Times New Roman" w:eastAsia="Times New Roman" w:hAnsi="Times New Roman" w:cs="Times New Roman"/>
                <w:kern w:val="0"/>
                <w:sz w:val="18"/>
                <w:szCs w:val="18"/>
              </w:rPr>
              <w:t>Surgery</w:t>
            </w:r>
          </w:p>
        </w:tc>
        <w:tc>
          <w:tcPr>
            <w:tcW w:w="797" w:type="pct"/>
            <w:noWrap/>
          </w:tcPr>
          <w:p w14:paraId="0701852E" w14:textId="70DF658C" w:rsidR="007A64F6" w:rsidRPr="002C7AF6" w:rsidRDefault="007A64F6" w:rsidP="004745E2">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8"/>
                <w:szCs w:val="18"/>
              </w:rPr>
            </w:pPr>
            <w:r w:rsidRPr="002C7AF6">
              <w:rPr>
                <w:rFonts w:ascii="Times New Roman" w:hAnsi="Times New Roman" w:cs="Times New Roman" w:hint="eastAsia"/>
                <w:kern w:val="0"/>
                <w:sz w:val="18"/>
                <w:szCs w:val="18"/>
              </w:rPr>
              <w:t>A</w:t>
            </w:r>
            <w:r w:rsidRPr="002C7AF6">
              <w:rPr>
                <w:rFonts w:ascii="Times New Roman" w:hAnsi="Times New Roman" w:cs="Times New Roman"/>
                <w:kern w:val="0"/>
                <w:sz w:val="18"/>
                <w:szCs w:val="18"/>
              </w:rPr>
              <w:t>rray</w:t>
            </w:r>
          </w:p>
        </w:tc>
        <w:tc>
          <w:tcPr>
            <w:tcW w:w="612" w:type="pct"/>
            <w:noWrap/>
          </w:tcPr>
          <w:p w14:paraId="605EFB8B" w14:textId="3B70B4BE" w:rsidR="007A64F6" w:rsidRPr="002C7AF6" w:rsidRDefault="00952CFD" w:rsidP="007A0FFB">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fldChar w:fldCharType="begin"/>
            </w:r>
            <w:r>
              <w:rPr>
                <w:rFonts w:ascii="Times New Roman" w:eastAsia="等线" w:hAnsi="Times New Roman" w:cs="Times New Roman"/>
                <w:color w:val="000000"/>
                <w:kern w:val="0"/>
                <w:sz w:val="18"/>
                <w:szCs w:val="18"/>
              </w:rPr>
              <w:instrText xml:space="preserve"> ADDIN ZOTERO_ITEM CSL_CITATION {"citationID":"8Ia84WHt","properties":{"formattedCitation":"[5]","plainCitation":"[5]","noteIndex":0},"citationItems":[{"id":6668,"uris":["http://zotero.org/users/7921036/items/5XGKGSZX"],"itemData":{"id":6668,"type":"article-journal","abstract":"Purpose: To determine whether racial differences in gene and miRNA expression translates to differences in lung tumor biology with clinical relevance in African Americans (AAs) and European Americans (EAs).Experimental Design: The NCI-Maryland Case Control Study includes seven Baltimore City hospitals and is overrepresented with AA patients (</w:instrText>
            </w:r>
            <w:r>
              <w:rPr>
                <w:rFonts w:ascii="Cambria Math" w:eastAsia="等线" w:hAnsi="Cambria Math" w:cs="Cambria Math"/>
                <w:color w:val="000000"/>
                <w:kern w:val="0"/>
                <w:sz w:val="18"/>
                <w:szCs w:val="18"/>
              </w:rPr>
              <w:instrText>∼</w:instrText>
            </w:r>
            <w:r>
              <w:rPr>
                <w:rFonts w:ascii="Times New Roman" w:eastAsia="等线" w:hAnsi="Times New Roman" w:cs="Times New Roman"/>
                <w:color w:val="000000"/>
                <w:kern w:val="0"/>
                <w:sz w:val="18"/>
                <w:szCs w:val="18"/>
              </w:rPr>
              <w:instrText xml:space="preserve">40%). Patients that underwent curative NSCLC surgery between 1998 and 2014 were enrolled. Comparative molecular profiling used mRNA (n = 22 AAs and 19 EAs) and miRNA (n = 42 AAs and 55 EAs) expression arrays to track differences in paired fresh frozen normal tissues and lung tumor specimens from AAs and EAs. Pathway enrichment, predicted drug response, tumor microenvironment infiltration, cancer immunotherapy antigen profiling, and miRNA target enrichment were assessed.Results: AA-enriched differential gene expression was characterized by stem cell and invasion pathways. Differential gene expression in lung tumors from EAs was primarily characterized by cell proliferation pathways. Population-specific gene expression was partly driven by population-specific miRNA expression profiles. Drug susceptibility predictions revealed a strong inverse correlation between AA resistance and EA sensitivity to the same panel of drugs. Statistically significant differences in M1 and M2 macrophage infiltration were observed in AAs (P &lt; 0.05); however, PD-L1, PD-L2 expression was similar between both.Conclusions: Comparative transcriptomic profiling revealed clear differences in lung tumor biology between AAs and EAs. Increased participation by AAs in lung cancer clinical trials are needed to integrate, and leverage, transcriptomic differences with other clinical information to maximize therapeutic benefit in both AAs and EAs. Clin Cancer Res; 23(23); 7412-25. ©2017 AACR.","container-title":"Clinical Cancer Research: An Official Journal of the American Association for Cancer Research","DOI":"10.1158/1078-0432.CCR-17-0527","ISSN":"1557-3265","issue":"23","journalAbbreviation":"Clin Cancer Res","language":"eng","note":"PMID: 29196495\nPMCID: PMC8171584","page":"7412-7425","source":"PubMed","title":"Comparative Transcriptome Profiling Reveals Coding and Noncoding RNA Differences in NSCLC from African Americans and European Americans","volume":"23","author":[{"family":"Mitchell","given":"Khadijah A."},{"family":"Zingone","given":"Adriana"},{"family":"Toulabi","given":"Leila"},{"family":"Boeckelman","given":"Jacob"},{"family":"Ryan","given":"Bríd M."}],"issued":{"date-parts":[["2017",12,1]]}}}],"schema":"https://github.com/citation-style-language/schema/raw/master/csl-citation.json"} </w:instrText>
            </w:r>
            <w:r>
              <w:rPr>
                <w:rFonts w:ascii="Times New Roman" w:eastAsia="等线" w:hAnsi="Times New Roman" w:cs="Times New Roman"/>
                <w:color w:val="000000"/>
                <w:kern w:val="0"/>
                <w:sz w:val="18"/>
                <w:szCs w:val="18"/>
              </w:rPr>
              <w:fldChar w:fldCharType="separate"/>
            </w:r>
            <w:r w:rsidRPr="00952CFD">
              <w:rPr>
                <w:rFonts w:ascii="Times New Roman" w:hAnsi="Times New Roman" w:cs="Times New Roman"/>
                <w:sz w:val="18"/>
              </w:rPr>
              <w:t>[5]</w:t>
            </w:r>
            <w:r>
              <w:rPr>
                <w:rFonts w:ascii="Times New Roman" w:eastAsia="等线" w:hAnsi="Times New Roman" w:cs="Times New Roman"/>
                <w:color w:val="000000"/>
                <w:kern w:val="0"/>
                <w:sz w:val="18"/>
                <w:szCs w:val="18"/>
              </w:rPr>
              <w:fldChar w:fldCharType="end"/>
            </w:r>
          </w:p>
        </w:tc>
      </w:tr>
    </w:tbl>
    <w:p w14:paraId="62D7BC67" w14:textId="77777777" w:rsidR="004745E2" w:rsidRDefault="004745E2" w:rsidP="004745E2">
      <w:pPr>
        <w:rPr>
          <w:rFonts w:ascii="Times New Roman" w:hAnsi="Times New Roman" w:cs="Times New Roman"/>
          <w:sz w:val="18"/>
          <w:szCs w:val="18"/>
        </w:rPr>
      </w:pPr>
    </w:p>
    <w:p w14:paraId="60A6B7F1" w14:textId="3B6B2C1F" w:rsidR="007A0FFB" w:rsidRPr="007A0FFB" w:rsidRDefault="007A0FFB" w:rsidP="004745E2">
      <w:pPr>
        <w:rPr>
          <w:rFonts w:ascii="Times New Roman" w:hAnsi="Times New Roman" w:cs="Times New Roman"/>
          <w:b/>
          <w:bCs/>
          <w:sz w:val="18"/>
          <w:szCs w:val="18"/>
        </w:rPr>
      </w:pPr>
      <w:r w:rsidRPr="007A0FFB">
        <w:rPr>
          <w:rFonts w:ascii="Times New Roman" w:hAnsi="Times New Roman" w:cs="Times New Roman" w:hint="eastAsia"/>
          <w:b/>
          <w:bCs/>
          <w:sz w:val="18"/>
          <w:szCs w:val="18"/>
        </w:rPr>
        <w:t>Reference</w:t>
      </w:r>
      <w:r w:rsidRPr="007A0FFB">
        <w:rPr>
          <w:rFonts w:ascii="Times New Roman" w:hAnsi="Times New Roman" w:cs="Times New Roman"/>
          <w:b/>
          <w:bCs/>
          <w:sz w:val="18"/>
          <w:szCs w:val="18"/>
        </w:rPr>
        <w:t xml:space="preserve">: </w:t>
      </w:r>
    </w:p>
    <w:p w14:paraId="0EF8A97F" w14:textId="77777777" w:rsidR="007A0FFB" w:rsidRPr="007A0FFB" w:rsidRDefault="007A0FFB" w:rsidP="007A0FFB">
      <w:pPr>
        <w:pStyle w:val="a7"/>
        <w:rPr>
          <w:rFonts w:ascii="Times New Roman" w:hAnsi="Times New Roman" w:cs="Times New Roman"/>
          <w:sz w:val="18"/>
        </w:rPr>
      </w:pPr>
      <w:r>
        <w:rPr>
          <w:sz w:val="18"/>
          <w:szCs w:val="18"/>
        </w:rPr>
        <w:fldChar w:fldCharType="begin"/>
      </w:r>
      <w:r>
        <w:rPr>
          <w:sz w:val="18"/>
          <w:szCs w:val="18"/>
        </w:rPr>
        <w:instrText xml:space="preserve"> ADDIN ZOTERO_BIBL {"uncited":[],"omitted":[],"custom":[]} CSL_BIBLIOGRAPHY </w:instrText>
      </w:r>
      <w:r>
        <w:rPr>
          <w:sz w:val="18"/>
          <w:szCs w:val="18"/>
        </w:rPr>
        <w:fldChar w:fldCharType="separate"/>
      </w:r>
      <w:r w:rsidRPr="007A0FFB">
        <w:rPr>
          <w:rFonts w:ascii="Times New Roman" w:hAnsi="Times New Roman" w:cs="Times New Roman"/>
          <w:sz w:val="18"/>
        </w:rPr>
        <w:t xml:space="preserve">1. Ravi A, Hellmann MD, Arniella MB, Holton M, Freeman SS, Naranbhai V, et al. Genomic and transcriptomic analysis of checkpoint blockade response in advanced non-small cell lung cancer. Nat Genet. 2023;55:807–19. </w:t>
      </w:r>
    </w:p>
    <w:p w14:paraId="748B349E" w14:textId="77777777" w:rsidR="007A0FFB" w:rsidRPr="007A0FFB" w:rsidRDefault="007A0FFB" w:rsidP="007A0FFB">
      <w:pPr>
        <w:pStyle w:val="a7"/>
        <w:rPr>
          <w:rFonts w:ascii="Times New Roman" w:hAnsi="Times New Roman" w:cs="Times New Roman"/>
          <w:sz w:val="18"/>
        </w:rPr>
      </w:pPr>
      <w:r w:rsidRPr="007A0FFB">
        <w:rPr>
          <w:rFonts w:ascii="Times New Roman" w:hAnsi="Times New Roman" w:cs="Times New Roman"/>
          <w:sz w:val="18"/>
        </w:rPr>
        <w:t xml:space="preserve">2. Riquelme E, Suraokar M, Behrens C, Lin HY, Girard L, Nilsson MB, et al. VEGF/VEGFR-2 upregulates EZH2 expression in lung adenocarcinoma cells and EZH2 depletion enhances the response to platinum-based and VEGFR-2-targeted therapy. Clin Cancer Res Off J Am Assoc Cancer Res. 2014;20:3849–61. </w:t>
      </w:r>
    </w:p>
    <w:p w14:paraId="1B6E762E" w14:textId="77777777" w:rsidR="007A0FFB" w:rsidRPr="007A0FFB" w:rsidRDefault="007A0FFB" w:rsidP="007A0FFB">
      <w:pPr>
        <w:pStyle w:val="a7"/>
        <w:rPr>
          <w:rFonts w:ascii="Times New Roman" w:hAnsi="Times New Roman" w:cs="Times New Roman"/>
          <w:sz w:val="18"/>
        </w:rPr>
      </w:pPr>
      <w:r w:rsidRPr="007A0FFB">
        <w:rPr>
          <w:rFonts w:ascii="Times New Roman" w:hAnsi="Times New Roman" w:cs="Times New Roman"/>
          <w:sz w:val="18"/>
        </w:rPr>
        <w:t xml:space="preserve">3. Yu G, Herazo-Maya JD, Nukui T, Romkes M, Parwani A, Juan-Guardela BM, et al. Matrix metalloproteinase-19 promotes metastatic behavior in vitro and is associated with increased mortality in non-small cell lung cancer. Am J Respir Crit Care Med. 2014;190:780–90. </w:t>
      </w:r>
    </w:p>
    <w:p w14:paraId="77B88206" w14:textId="164FD254" w:rsidR="007A0FFB" w:rsidRPr="007A0FFB" w:rsidRDefault="007A0FFB" w:rsidP="007A0FFB">
      <w:pPr>
        <w:pStyle w:val="a7"/>
        <w:rPr>
          <w:rFonts w:ascii="Times New Roman" w:hAnsi="Times New Roman" w:cs="Times New Roman"/>
          <w:sz w:val="18"/>
        </w:rPr>
      </w:pPr>
      <w:r w:rsidRPr="007A0FFB">
        <w:rPr>
          <w:rFonts w:ascii="Times New Roman" w:hAnsi="Times New Roman" w:cs="Times New Roman"/>
          <w:sz w:val="18"/>
        </w:rPr>
        <w:t>4. Feng L, Wang J, Cao B, Zhang Y, Wu B, Di X, et al. Gene expression profiling in human lung development: an abundant resource for lung adenocarcinoma pro</w:t>
      </w:r>
      <w:r w:rsidR="00B56971">
        <w:rPr>
          <w:rFonts w:ascii="Times New Roman" w:hAnsi="Times New Roman" w:cs="Times New Roman"/>
          <w:sz w:val="18"/>
        </w:rPr>
        <w:t>gnosis. PloS One. 2014;9:e105639</w:t>
      </w:r>
      <w:r w:rsidRPr="007A0FFB">
        <w:rPr>
          <w:rFonts w:ascii="Times New Roman" w:hAnsi="Times New Roman" w:cs="Times New Roman"/>
          <w:sz w:val="18"/>
        </w:rPr>
        <w:t xml:space="preserve">. </w:t>
      </w:r>
    </w:p>
    <w:p w14:paraId="7C610CAC" w14:textId="77777777" w:rsidR="007A0FFB" w:rsidRPr="007A0FFB" w:rsidRDefault="007A0FFB" w:rsidP="007A0FFB">
      <w:pPr>
        <w:pStyle w:val="a7"/>
        <w:rPr>
          <w:rFonts w:ascii="Times New Roman" w:hAnsi="Times New Roman" w:cs="Times New Roman"/>
          <w:sz w:val="18"/>
        </w:rPr>
      </w:pPr>
      <w:r w:rsidRPr="007A0FFB">
        <w:rPr>
          <w:rFonts w:ascii="Times New Roman" w:hAnsi="Times New Roman" w:cs="Times New Roman"/>
          <w:sz w:val="18"/>
        </w:rPr>
        <w:t xml:space="preserve">5. Mitchell KA, Zingone A, Toulabi L, Boeckelman J, Ryan BM. Comparative Transcriptome Profiling Reveals Coding and Noncoding RNA Differences in NSCLC from African Americans and European Americans. Clin Cancer Res Off J Am Assoc Cancer Res. 2017;23:7412–25. </w:t>
      </w:r>
    </w:p>
    <w:p w14:paraId="4FA68A22" w14:textId="0AC1E810" w:rsidR="007A0FFB" w:rsidRPr="002C7AF6" w:rsidRDefault="007A0FFB" w:rsidP="004745E2">
      <w:pPr>
        <w:rPr>
          <w:rFonts w:ascii="Times New Roman" w:hAnsi="Times New Roman" w:cs="Times New Roman"/>
          <w:sz w:val="18"/>
          <w:szCs w:val="18"/>
        </w:rPr>
      </w:pPr>
      <w:r>
        <w:rPr>
          <w:rFonts w:ascii="Times New Roman" w:hAnsi="Times New Roman" w:cs="Times New Roman"/>
          <w:sz w:val="18"/>
          <w:szCs w:val="18"/>
        </w:rPr>
        <w:fldChar w:fldCharType="end"/>
      </w:r>
      <w:bookmarkStart w:id="0" w:name="_GoBack"/>
      <w:bookmarkEnd w:id="0"/>
    </w:p>
    <w:sectPr w:rsidR="007A0FFB" w:rsidRPr="002C7A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D2C56" w14:textId="77777777" w:rsidR="002D2404" w:rsidRDefault="002D2404" w:rsidP="00123B80">
      <w:r>
        <w:separator/>
      </w:r>
    </w:p>
  </w:endnote>
  <w:endnote w:type="continuationSeparator" w:id="0">
    <w:p w14:paraId="5B92104F" w14:textId="77777777" w:rsidR="002D2404" w:rsidRDefault="002D2404" w:rsidP="00123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00DAF" w14:textId="77777777" w:rsidR="002D2404" w:rsidRDefault="002D2404" w:rsidP="00123B80">
      <w:r>
        <w:separator/>
      </w:r>
    </w:p>
  </w:footnote>
  <w:footnote w:type="continuationSeparator" w:id="0">
    <w:p w14:paraId="4098AC0B" w14:textId="77777777" w:rsidR="002D2404" w:rsidRDefault="002D2404" w:rsidP="00123B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232"/>
    <w:rsid w:val="00123B80"/>
    <w:rsid w:val="002C7AF6"/>
    <w:rsid w:val="002D2404"/>
    <w:rsid w:val="004745E2"/>
    <w:rsid w:val="00640CCD"/>
    <w:rsid w:val="007A0FFB"/>
    <w:rsid w:val="007A64F6"/>
    <w:rsid w:val="007D11C0"/>
    <w:rsid w:val="00906DB3"/>
    <w:rsid w:val="00952CFD"/>
    <w:rsid w:val="00986A00"/>
    <w:rsid w:val="009B4A88"/>
    <w:rsid w:val="00AE78C2"/>
    <w:rsid w:val="00AF18E1"/>
    <w:rsid w:val="00B56971"/>
    <w:rsid w:val="00C3501C"/>
    <w:rsid w:val="00D71C47"/>
    <w:rsid w:val="00F70232"/>
    <w:rsid w:val="00F87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D3B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2">
    <w:name w:val="Plain Table 2"/>
    <w:basedOn w:val="a1"/>
    <w:uiPriority w:val="42"/>
    <w:rsid w:val="004745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3">
    <w:name w:val="header"/>
    <w:basedOn w:val="a"/>
    <w:link w:val="a4"/>
    <w:uiPriority w:val="99"/>
    <w:unhideWhenUsed/>
    <w:rsid w:val="00123B80"/>
    <w:pPr>
      <w:tabs>
        <w:tab w:val="center" w:pos="4153"/>
        <w:tab w:val="right" w:pos="8306"/>
      </w:tabs>
      <w:snapToGrid w:val="0"/>
      <w:jc w:val="center"/>
    </w:pPr>
    <w:rPr>
      <w:sz w:val="18"/>
      <w:szCs w:val="18"/>
    </w:rPr>
  </w:style>
  <w:style w:type="character" w:customStyle="1" w:styleId="a4">
    <w:name w:val="页眉 字符"/>
    <w:basedOn w:val="a0"/>
    <w:link w:val="a3"/>
    <w:uiPriority w:val="99"/>
    <w:rsid w:val="00123B80"/>
    <w:rPr>
      <w:sz w:val="18"/>
      <w:szCs w:val="18"/>
    </w:rPr>
  </w:style>
  <w:style w:type="paragraph" w:styleId="a5">
    <w:name w:val="footer"/>
    <w:basedOn w:val="a"/>
    <w:link w:val="a6"/>
    <w:uiPriority w:val="99"/>
    <w:unhideWhenUsed/>
    <w:rsid w:val="00123B80"/>
    <w:pPr>
      <w:tabs>
        <w:tab w:val="center" w:pos="4153"/>
        <w:tab w:val="right" w:pos="8306"/>
      </w:tabs>
      <w:snapToGrid w:val="0"/>
      <w:jc w:val="left"/>
    </w:pPr>
    <w:rPr>
      <w:sz w:val="18"/>
      <w:szCs w:val="18"/>
    </w:rPr>
  </w:style>
  <w:style w:type="character" w:customStyle="1" w:styleId="a6">
    <w:name w:val="页脚 字符"/>
    <w:basedOn w:val="a0"/>
    <w:link w:val="a5"/>
    <w:uiPriority w:val="99"/>
    <w:rsid w:val="00123B80"/>
    <w:rPr>
      <w:sz w:val="18"/>
      <w:szCs w:val="18"/>
    </w:rPr>
  </w:style>
  <w:style w:type="paragraph" w:styleId="a7">
    <w:name w:val="Bibliography"/>
    <w:basedOn w:val="a"/>
    <w:next w:val="a"/>
    <w:uiPriority w:val="37"/>
    <w:unhideWhenUsed/>
    <w:rsid w:val="007A0FFB"/>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72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2636</Words>
  <Characters>15031</Characters>
  <Application>Microsoft Office Word</Application>
  <DocSecurity>0</DocSecurity>
  <Lines>125</Lines>
  <Paragraphs>35</Paragraphs>
  <ScaleCrop>false</ScaleCrop>
  <Company/>
  <LinksUpToDate>false</LinksUpToDate>
  <CharactersWithSpaces>17632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2023-09-16T15:31:00Z</dcterms:created>
  <dcterms:modified xsi:type="dcterms:W3CDTF">2023-09-24T13:02:00Z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2023-09-16T15:31:11Z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f4fd1a59-4b41-4b32-b1ec-d553a5d679b7</vt:lpwstr>
  </property>
  <property fmtid="{D5CDD505-2E9C-101B-9397-08002B2CF9AE}" pid="7" name="MSIP_Label_defa4170-0d19-0005-0004-bc88714345d2_ActionId">
    <vt:lpwstr>7a036087-1744-485b-833c-a9b732b1274f</vt:lpwstr>
  </property>
  <property fmtid="{D5CDD505-2E9C-101B-9397-08002B2CF9AE}" pid="8" name="MSIP_Label_defa4170-0d19-0005-0004-bc88714345d2_ContentBits">
    <vt:lpwstr>0</vt:lpwstr>
  </property>
  <property fmtid="{D5CDD505-2E9C-101B-9397-08002B2CF9AE}" pid="9" name="ZOTERO_PREF_1">
    <vt:lpwstr>&lt;data data-version="3" zotero-version="6.0.26"&gt;&lt;session id="LrYfZPPp"/&gt;&lt;style id="http://www.zotero.org/styles/journal-of-translational-medicine" hasBibliography="1" bibliographyStyleHasBeenSet="1"/&gt;&lt;prefs&gt;&lt;pref name="fieldType" value="Field"/&gt;&lt;pref name=</vt:lpwstr>
  </property>
  <property fmtid="{D5CDD505-2E9C-101B-9397-08002B2CF9AE}" pid="10" name="ZOTERO_PREF_2">
    <vt:lpwstr>"automaticJournalAbbreviations" value="true"/&gt;&lt;/prefs&gt;&lt;/data&gt;</vt:lpwstr>
  </property>
</Properties>
</file>