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hint="eastAsia" w:ascii="Times New Roman" w:hAnsi="Times New Roman" w:cs="Times New Roman"/>
          <w:color w:val="000000"/>
          <w:sz w:val="28"/>
          <w:szCs w:val="28"/>
        </w:rPr>
        <w:t>Supplementary material</w:t>
      </w:r>
      <w:r>
        <w:rPr>
          <w:rFonts w:ascii="Times New Roman" w:hAnsi="Times New Roman" w:cs="Times New Roman"/>
          <w:color w:val="000000"/>
          <w:sz w:val="28"/>
          <w:szCs w:val="28"/>
        </w:rPr>
        <w:t xml:space="preserve"> for</w:t>
      </w:r>
    </w:p>
    <w:p>
      <w:pPr>
        <w:ind w:firstLine="0" w:firstLineChars="0"/>
        <w:jc w:val="center"/>
        <w:rPr>
          <w:rFonts w:ascii="Times New Roman" w:hAnsi="Times New Roman" w:cs="Times New Roman"/>
          <w:b/>
          <w:bCs/>
          <w:color w:val="000000"/>
          <w:sz w:val="28"/>
          <w:szCs w:val="28"/>
        </w:rPr>
      </w:pPr>
      <w:r>
        <w:rPr>
          <w:rFonts w:hint="eastAsia" w:ascii="Times New Roman" w:hAnsi="Times New Roman" w:cs="Times New Roman"/>
          <w:b/>
          <w:bCs/>
          <w:color w:val="000000"/>
          <w:sz w:val="28"/>
          <w:szCs w:val="28"/>
        </w:rPr>
        <w:t xml:space="preserve">The evolution and profile of AA10 lytic polysaccharide monooxygenase coupled with cellulose decomposition </w:t>
      </w:r>
      <w:bookmarkStart w:id="0" w:name="_Hlk145589479"/>
      <w:r>
        <w:rPr>
          <w:rFonts w:hint="eastAsia" w:ascii="Times New Roman" w:hAnsi="Times New Roman" w:cs="Times New Roman"/>
          <w:b/>
          <w:bCs/>
          <w:color w:val="000000"/>
          <w:sz w:val="28"/>
          <w:szCs w:val="28"/>
        </w:rPr>
        <w:t>in different composting microenvironments</w:t>
      </w:r>
      <w:bookmarkEnd w:id="0"/>
      <w:bookmarkStart w:id="3" w:name="_GoBack"/>
      <w:bookmarkEnd w:id="3"/>
    </w:p>
    <w:p>
      <w:pPr>
        <w:spacing w:line="480" w:lineRule="auto"/>
        <w:jc w:val="left"/>
        <w:rPr>
          <w:rFonts w:ascii="Times New Roman" w:hAnsi="Times New Roman" w:eastAsia="宋体" w:cs="Times New Roman"/>
          <w:sz w:val="24"/>
          <w:szCs w:val="28"/>
          <w:vertAlign w:val="superscript"/>
        </w:rPr>
      </w:pPr>
      <w:r>
        <w:rPr>
          <w:rFonts w:ascii="Times New Roman" w:hAnsi="Times New Roman" w:eastAsia="宋体" w:cs="Times New Roman"/>
          <w:sz w:val="24"/>
          <w:szCs w:val="24"/>
        </w:rPr>
        <w:t>Xiaoya Qin</w:t>
      </w:r>
      <w:r>
        <w:rPr>
          <w:rFonts w:hint="eastAsia" w:ascii="Times New Roman" w:hAnsi="Times New Roman" w:eastAsia="宋体" w:cs="Times New Roman"/>
          <w:sz w:val="24"/>
          <w:szCs w:val="28"/>
        </w:rPr>
        <w:t>,</w:t>
      </w:r>
      <w:r>
        <w:rPr>
          <w:rFonts w:ascii="Times New Roman" w:hAnsi="Times New Roman" w:eastAsia="宋体" w:cs="Times New Roman"/>
          <w:sz w:val="24"/>
          <w:szCs w:val="28"/>
        </w:rPr>
        <w:t xml:space="preserve"> </w:t>
      </w:r>
      <w:r>
        <w:rPr>
          <w:rFonts w:ascii="Times New Roman" w:hAnsi="Times New Roman" w:eastAsia="宋体" w:cs="Times New Roman"/>
          <w:sz w:val="24"/>
          <w:szCs w:val="24"/>
        </w:rPr>
        <w:t>Xiaojing Chen,</w:t>
      </w:r>
      <w:r>
        <w:rPr>
          <w:rFonts w:ascii="Times New Roman" w:hAnsi="Times New Roman" w:eastAsia="宋体" w:cs="Times New Roman"/>
          <w:sz w:val="24"/>
          <w:szCs w:val="28"/>
        </w:rPr>
        <w:t xml:space="preserve"> Qunliang Li</w:t>
      </w:r>
      <w:r>
        <w:rPr>
          <w:rFonts w:ascii="Times New Roman" w:hAnsi="Times New Roman" w:eastAsia="宋体" w:cs="Times New Roman"/>
          <w:sz w:val="24"/>
          <w:szCs w:val="28"/>
          <w:vertAlign w:val="superscript"/>
        </w:rPr>
        <w:t>*</w:t>
      </w:r>
    </w:p>
    <w:p>
      <w:pPr>
        <w:spacing w:line="480" w:lineRule="auto"/>
        <w:rPr>
          <w:rFonts w:ascii="Times New Roman" w:hAnsi="Times New Roman" w:cs="Times New Roman"/>
          <w:sz w:val="24"/>
          <w:szCs w:val="24"/>
        </w:rPr>
      </w:pPr>
      <w:bookmarkStart w:id="1" w:name="OLE_LINK74"/>
      <w:r>
        <w:rPr>
          <w:rFonts w:ascii="Times New Roman" w:hAnsi="Times New Roman" w:cs="Times New Roman"/>
          <w:sz w:val="24"/>
          <w:szCs w:val="24"/>
        </w:rPr>
        <w:t>School of Chemistry and Chemical Engineering</w:t>
      </w:r>
      <w:bookmarkEnd w:id="1"/>
      <w:r>
        <w:rPr>
          <w:rFonts w:ascii="Times New Roman" w:hAnsi="Times New Roman" w:cs="Times New Roman"/>
          <w:sz w:val="24"/>
          <w:szCs w:val="24"/>
        </w:rPr>
        <w:t>, Guangxi University, Nanning 530004, China.</w:t>
      </w:r>
    </w:p>
    <w:p>
      <w:pPr>
        <w:spacing w:line="480" w:lineRule="auto"/>
        <w:rPr>
          <w:rFonts w:ascii="Times New Roman" w:hAnsi="Times New Roman" w:cs="Times New Roman"/>
          <w:sz w:val="24"/>
          <w:szCs w:val="24"/>
        </w:rPr>
      </w:pPr>
    </w:p>
    <w:p>
      <w:pPr>
        <w:spacing w:line="480" w:lineRule="auto"/>
        <w:rPr>
          <w:rFonts w:ascii="Times New Roman" w:hAnsi="Times New Roman" w:cs="Times New Roman"/>
          <w:sz w:val="24"/>
          <w:szCs w:val="24"/>
        </w:rPr>
      </w:pPr>
      <w:r>
        <w:rPr>
          <w:rFonts w:ascii="Times New Roman" w:hAnsi="Times New Roman" w:cs="Times New Roman"/>
          <w:sz w:val="24"/>
          <w:szCs w:val="24"/>
        </w:rPr>
        <w:t>* Corresponding author:</w:t>
      </w:r>
    </w:p>
    <w:p>
      <w:pPr>
        <w:spacing w:line="480" w:lineRule="auto"/>
        <w:rPr>
          <w:rFonts w:ascii="Times New Roman" w:hAnsi="Times New Roman" w:cs="Times New Roman"/>
          <w:sz w:val="24"/>
          <w:szCs w:val="24"/>
        </w:rPr>
      </w:pPr>
      <w:r>
        <w:rPr>
          <w:rFonts w:ascii="Times New Roman" w:hAnsi="Times New Roman" w:cs="Times New Roman"/>
          <w:sz w:val="24"/>
          <w:szCs w:val="24"/>
        </w:rPr>
        <w:t>Qunliang Li</w:t>
      </w:r>
    </w:p>
    <w:p>
      <w:pPr>
        <w:spacing w:line="480" w:lineRule="auto"/>
        <w:rPr>
          <w:rFonts w:ascii="Times New Roman" w:hAnsi="Times New Roman" w:cs="Times New Roman"/>
          <w:sz w:val="24"/>
          <w:szCs w:val="24"/>
        </w:rPr>
      </w:pPr>
      <w:r>
        <w:rPr>
          <w:rFonts w:ascii="Times New Roman" w:hAnsi="Times New Roman" w:cs="Times New Roman"/>
          <w:sz w:val="24"/>
          <w:szCs w:val="24"/>
        </w:rPr>
        <w:t>E-mail address: liqunliang231@163.com or liqunliang231@gxu.edu.cn (Q. Li)</w:t>
      </w:r>
    </w:p>
    <w:p>
      <w:pPr>
        <w:spacing w:line="480" w:lineRule="auto"/>
        <w:rPr>
          <w:rFonts w:ascii="Times New Roman" w:hAnsi="Times New Roman" w:eastAsia="宋体" w:cs="Times New Roman"/>
          <w:sz w:val="24"/>
          <w:szCs w:val="28"/>
        </w:rPr>
      </w:pPr>
    </w:p>
    <w:p>
      <w:pPr>
        <w:spacing w:line="480" w:lineRule="auto"/>
        <w:rPr>
          <w:rFonts w:ascii="Times New Roman" w:hAnsi="Times New Roman" w:eastAsia="宋体" w:cs="Times New Roman"/>
          <w:sz w:val="24"/>
          <w:szCs w:val="28"/>
        </w:rPr>
      </w:pPr>
    </w:p>
    <w:p>
      <w:pPr>
        <w:spacing w:line="480" w:lineRule="auto"/>
        <w:rPr>
          <w:rFonts w:ascii="Times New Roman" w:hAnsi="Times New Roman" w:eastAsia="宋体" w:cs="Times New Roman"/>
          <w:sz w:val="24"/>
          <w:szCs w:val="28"/>
        </w:rPr>
      </w:pPr>
    </w:p>
    <w:p>
      <w:pPr>
        <w:spacing w:line="480" w:lineRule="auto"/>
        <w:rPr>
          <w:rFonts w:ascii="Times New Roman" w:hAnsi="Times New Roman" w:eastAsia="宋体" w:cs="Times New Roman"/>
          <w:b/>
          <w:bCs/>
          <w:sz w:val="24"/>
          <w:szCs w:val="28"/>
        </w:rPr>
      </w:pPr>
      <w:r>
        <w:rPr>
          <w:rFonts w:ascii="Times New Roman" w:hAnsi="Times New Roman" w:eastAsia="宋体" w:cs="Times New Roman"/>
          <w:b/>
          <w:bCs/>
          <w:sz w:val="24"/>
          <w:szCs w:val="28"/>
        </w:rPr>
        <w:t xml:space="preserve">Number of pages: </w:t>
      </w:r>
      <w:r>
        <w:rPr>
          <w:rFonts w:hint="eastAsia" w:ascii="Times New Roman" w:hAnsi="Times New Roman" w:eastAsia="宋体" w:cs="Times New Roman"/>
          <w:b/>
          <w:bCs/>
          <w:sz w:val="24"/>
          <w:szCs w:val="28"/>
        </w:rPr>
        <w:t>7</w:t>
      </w:r>
    </w:p>
    <w:p>
      <w:pPr>
        <w:widowControl/>
        <w:spacing w:line="480" w:lineRule="auto"/>
        <w:jc w:val="left"/>
        <w:rPr>
          <w:rFonts w:ascii="Times New Roman" w:hAnsi="Times New Roman" w:eastAsia="宋体" w:cs="Times New Roman"/>
          <w:b/>
          <w:bCs/>
          <w:sz w:val="24"/>
          <w:szCs w:val="28"/>
        </w:rPr>
      </w:pPr>
      <w:r>
        <w:rPr>
          <w:rFonts w:ascii="Times New Roman" w:hAnsi="Times New Roman" w:eastAsia="宋体" w:cs="Times New Roman"/>
          <w:b/>
          <w:bCs/>
          <w:sz w:val="24"/>
          <w:szCs w:val="28"/>
        </w:rPr>
        <w:t xml:space="preserve">Number of </w:t>
      </w:r>
      <w:r>
        <w:rPr>
          <w:rFonts w:hint="eastAsia" w:ascii="Times New Roman" w:hAnsi="Times New Roman" w:eastAsia="宋体" w:cs="Times New Roman"/>
          <w:b/>
          <w:bCs/>
          <w:sz w:val="24"/>
          <w:szCs w:val="28"/>
        </w:rPr>
        <w:t>Texts</w:t>
      </w:r>
      <w:r>
        <w:rPr>
          <w:rFonts w:ascii="Times New Roman" w:hAnsi="Times New Roman" w:eastAsia="宋体" w:cs="Times New Roman"/>
          <w:b/>
          <w:bCs/>
          <w:sz w:val="24"/>
          <w:szCs w:val="28"/>
        </w:rPr>
        <w:t>: 1</w:t>
      </w:r>
    </w:p>
    <w:p>
      <w:pPr>
        <w:spacing w:line="480" w:lineRule="auto"/>
        <w:rPr>
          <w:rFonts w:ascii="Times New Roman" w:hAnsi="Times New Roman" w:eastAsia="宋体" w:cs="Times New Roman"/>
          <w:b/>
          <w:bCs/>
          <w:sz w:val="24"/>
          <w:szCs w:val="28"/>
        </w:rPr>
      </w:pPr>
      <w:r>
        <w:rPr>
          <w:rFonts w:ascii="Times New Roman" w:hAnsi="Times New Roman" w:eastAsia="宋体" w:cs="Times New Roman"/>
          <w:b/>
          <w:bCs/>
          <w:sz w:val="24"/>
          <w:szCs w:val="28"/>
        </w:rPr>
        <w:t xml:space="preserve">Number of </w:t>
      </w:r>
      <w:r>
        <w:rPr>
          <w:rFonts w:hint="eastAsia" w:ascii="Times New Roman" w:hAnsi="Times New Roman" w:eastAsia="宋体" w:cs="Times New Roman"/>
          <w:b/>
          <w:bCs/>
          <w:sz w:val="24"/>
          <w:szCs w:val="28"/>
        </w:rPr>
        <w:t>Figure</w:t>
      </w:r>
      <w:r>
        <w:rPr>
          <w:rFonts w:ascii="Times New Roman" w:hAnsi="Times New Roman" w:eastAsia="宋体" w:cs="Times New Roman"/>
          <w:b/>
          <w:bCs/>
          <w:sz w:val="24"/>
          <w:szCs w:val="28"/>
        </w:rPr>
        <w:t>s: 1</w:t>
      </w:r>
    </w:p>
    <w:p>
      <w:pPr>
        <w:widowControl/>
        <w:jc w:val="left"/>
        <w:rPr>
          <w:rFonts w:ascii="Times New Roman" w:hAnsi="Times New Roman" w:eastAsia="宋体" w:cs="Times New Roman"/>
          <w:sz w:val="24"/>
          <w:szCs w:val="28"/>
        </w:rPr>
      </w:pPr>
      <w:r>
        <w:rPr>
          <w:rFonts w:ascii="Times New Roman" w:hAnsi="Times New Roman" w:eastAsia="宋体" w:cs="Times New Roman"/>
          <w:b/>
          <w:bCs/>
          <w:sz w:val="24"/>
          <w:szCs w:val="28"/>
        </w:rPr>
        <w:br w:type="page"/>
      </w:r>
    </w:p>
    <w:p>
      <w:pPr>
        <w:widowControl/>
        <w:spacing w:line="480" w:lineRule="auto"/>
        <w:jc w:val="left"/>
        <w:rPr>
          <w:rFonts w:ascii="Times New Roman" w:hAnsi="Times New Roman" w:eastAsia="宋体" w:cs="Times New Roman"/>
          <w:b/>
          <w:bCs/>
          <w:sz w:val="24"/>
          <w:szCs w:val="28"/>
        </w:rPr>
      </w:pPr>
      <w:r>
        <w:rPr>
          <w:rFonts w:hint="eastAsia" w:ascii="Times New Roman" w:hAnsi="Times New Roman" w:eastAsia="宋体" w:cs="Times New Roman"/>
          <w:b/>
          <w:bCs/>
          <w:sz w:val="24"/>
          <w:szCs w:val="28"/>
        </w:rPr>
        <w:t>Text:</w:t>
      </w:r>
    </w:p>
    <w:p>
      <w:pPr>
        <w:widowControl/>
        <w:spacing w:line="480" w:lineRule="auto"/>
        <w:jc w:val="left"/>
        <w:rPr>
          <w:rFonts w:ascii="Times New Roman" w:hAnsi="Times New Roman" w:eastAsia="宋体" w:cs="Times New Roman"/>
          <w:sz w:val="24"/>
          <w:szCs w:val="28"/>
        </w:rPr>
      </w:pPr>
      <w:r>
        <w:rPr>
          <w:rFonts w:ascii="Times New Roman" w:hAnsi="Times New Roman" w:eastAsia="宋体" w:cs="Times New Roman"/>
          <w:sz w:val="24"/>
          <w:szCs w:val="28"/>
        </w:rPr>
        <w:t>Text. S</w:t>
      </w:r>
      <w:r>
        <w:rPr>
          <w:rFonts w:hint="eastAsia" w:ascii="Times New Roman" w:hAnsi="Times New Roman" w:eastAsia="宋体" w:cs="Times New Roman"/>
          <w:sz w:val="24"/>
          <w:szCs w:val="28"/>
        </w:rPr>
        <w:t xml:space="preserve">1 </w:t>
      </w:r>
      <w:r>
        <w:rPr>
          <w:rFonts w:ascii="Times New Roman" w:hAnsi="Times New Roman" w:eastAsia="宋体" w:cs="Times New Roman"/>
          <w:sz w:val="24"/>
          <w:szCs w:val="28"/>
        </w:rPr>
        <w:t>Sequencing and bioinformatics analysis</w:t>
      </w:r>
    </w:p>
    <w:p>
      <w:pPr>
        <w:widowControl/>
        <w:spacing w:line="480" w:lineRule="auto"/>
        <w:jc w:val="left"/>
        <w:rPr>
          <w:rFonts w:ascii="Times New Roman" w:hAnsi="Times New Roman" w:eastAsia="宋体" w:cs="Times New Roman"/>
          <w:sz w:val="24"/>
          <w:szCs w:val="28"/>
        </w:rPr>
      </w:pPr>
      <w:r>
        <w:rPr>
          <w:rFonts w:hint="eastAsia" w:ascii="Times New Roman" w:hAnsi="Times New Roman" w:eastAsia="宋体" w:cs="Times New Roman"/>
          <w:b/>
          <w:bCs/>
          <w:sz w:val="24"/>
          <w:szCs w:val="28"/>
        </w:rPr>
        <w:t>T</w:t>
      </w:r>
      <w:r>
        <w:rPr>
          <w:rFonts w:ascii="Times New Roman" w:hAnsi="Times New Roman" w:eastAsia="宋体" w:cs="Times New Roman"/>
          <w:b/>
          <w:bCs/>
          <w:sz w:val="24"/>
          <w:szCs w:val="28"/>
        </w:rPr>
        <w:t>able:</w:t>
      </w:r>
    </w:p>
    <w:p>
      <w:pPr>
        <w:widowControl/>
        <w:spacing w:line="480" w:lineRule="auto"/>
        <w:jc w:val="left"/>
        <w:rPr>
          <w:rFonts w:ascii="Times New Roman" w:hAnsi="Times New Roman" w:eastAsia="宋体" w:cs="Times New Roman"/>
          <w:sz w:val="24"/>
          <w:szCs w:val="28"/>
        </w:rPr>
        <w:sectPr>
          <w:footerReference r:id="rId3" w:type="default"/>
          <w:pgSz w:w="11906" w:h="16838"/>
          <w:pgMar w:top="1440" w:right="1800" w:bottom="1440" w:left="1800" w:header="851" w:footer="992" w:gutter="0"/>
          <w:cols w:space="425" w:num="1"/>
          <w:docGrid w:type="lines" w:linePitch="312" w:charSpace="0"/>
        </w:sectPr>
      </w:pPr>
      <w:bookmarkStart w:id="2" w:name="_Hlk139126070"/>
      <w:r>
        <w:rPr>
          <w:rFonts w:ascii="Times New Roman" w:hAnsi="Times New Roman" w:eastAsia="宋体" w:cs="Times New Roman"/>
          <w:sz w:val="24"/>
          <w:szCs w:val="28"/>
        </w:rPr>
        <w:t>Table S1. The physicochemical properties of feedstocks and samples in composting.</w:t>
      </w:r>
    </w:p>
    <w:p>
      <w:pPr>
        <w:spacing w:line="480" w:lineRule="auto"/>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Text. S</w:t>
      </w:r>
      <w:r>
        <w:rPr>
          <w:rFonts w:hint="eastAsia" w:ascii="Times New Roman" w:hAnsi="Times New Roman" w:cs="Times New Roman"/>
          <w:b/>
          <w:color w:val="000000" w:themeColor="text1"/>
          <w:sz w:val="24"/>
          <w:szCs w:val="24"/>
          <w14:textFill>
            <w14:solidFill>
              <w14:schemeClr w14:val="tx1"/>
            </w14:solidFill>
          </w14:textFill>
        </w:rPr>
        <w:t xml:space="preserve">1 </w:t>
      </w:r>
      <w:r>
        <w:rPr>
          <w:rFonts w:ascii="Times New Roman" w:hAnsi="Times New Roman" w:cs="Times New Roman"/>
          <w:b/>
          <w:color w:val="000000" w:themeColor="text1"/>
          <w:sz w:val="24"/>
          <w:szCs w:val="24"/>
          <w14:textFill>
            <w14:solidFill>
              <w14:schemeClr w14:val="tx1"/>
            </w14:solidFill>
          </w14:textFill>
        </w:rPr>
        <w:t>Sequencing and bioinformatics analysis</w:t>
      </w:r>
    </w:p>
    <w:p>
      <w:pPr>
        <w:spacing w:line="480" w:lineRule="auto"/>
        <w:ind w:firstLine="480" w:firstLineChars="200"/>
        <w:rPr>
          <w:rFonts w:ascii="Times New Roman" w:hAnsi="Times New Roman" w:eastAsia="宋体" w:cs="Times New Roman"/>
          <w:sz w:val="24"/>
          <w:szCs w:val="28"/>
        </w:rPr>
        <w:sectPr>
          <w:pgSz w:w="11906" w:h="16838"/>
          <w:pgMar w:top="1440" w:right="1800" w:bottom="1440" w:left="1800" w:header="851" w:footer="992" w:gutter="0"/>
          <w:cols w:space="425" w:num="1"/>
          <w:docGrid w:type="lines" w:linePitch="312" w:charSpace="0"/>
        </w:sectPr>
      </w:pPr>
      <w:r>
        <w:rPr>
          <w:rFonts w:ascii="Times New Roman" w:hAnsi="Times New Roman" w:cs="Times New Roman"/>
          <w:color w:val="000000" w:themeColor="text1"/>
          <w:sz w:val="24"/>
          <w:szCs w:val="24"/>
          <w14:textFill>
            <w14:solidFill>
              <w14:schemeClr w14:val="tx1"/>
            </w14:solidFill>
          </w14:textFill>
        </w:rPr>
        <w:t>For sequencing experiment procedures, first, a paired-end (PE) library was constructed using NEXTflexTM Rapid DNA-Seq (Bioo Scientific, Austin, TX, USA). Then, bridge PCR and sequencing were performed on Illumina NovaSeq/Hiseq Xten (Illumina Inc., San Diego, CA, USA) using NovaSeq Reagent Kits/HiSeq X Reagent Kits. For bioinformatics analysis, data analysis started from the original sequence. Firstly, the original sequence was optimized by breaking up, slitting quality, and pollution removal. Then, the optimized sequences were used for splicing assembly and gene prediction, and the obtained genes were annotated and classified in terms of species and function, including NR, EggNOG, KEGG, etc. For the statistics of raw data, multiple samples were parallel mixed sequencing, and an Index tag sequence was introduced into the sequence of each sample to indicate the source information of the sample. The data of each sample were distinguished according to the Index sequence, and the extracted data were saved in fastq format (version 0.20.0). The corresponding software was used to conduct data quality control based on the original sequencing data, and the low-quality and N-containing reads in the data were cut out to obtain sequences of better quality required for subsequent analysis. Through the corresponding splicing software, the corresponding splicing sequence was selected, and the sequence with the best splicing effect was selected to predict the open reading frames (ORFs) results. ORFs in contigs were identified using MetaGen (version 1.1.2) (</w:t>
      </w:r>
      <w:r>
        <w:fldChar w:fldCharType="begin"/>
      </w:r>
      <w:r>
        <w:instrText xml:space="preserve"> HYPERLINK "https://metagene.cb.k.u-tokyo.ac.jp/" </w:instrText>
      </w:r>
      <w:r>
        <w:fldChar w:fldCharType="separate"/>
      </w:r>
      <w:r>
        <w:rPr>
          <w:rStyle w:val="7"/>
          <w:rFonts w:ascii="Times New Roman" w:hAnsi="Times New Roman" w:cs="Times New Roman"/>
          <w:sz w:val="24"/>
          <w:szCs w:val="24"/>
        </w:rPr>
        <w:t>https://metagene.cb.k.u-tokyo.ac.jp/</w:t>
      </w:r>
      <w:r>
        <w:rPr>
          <w:rStyle w:val="7"/>
          <w:rFonts w:ascii="Times New Roman" w:hAnsi="Times New Roman" w:cs="Times New Roman"/>
          <w:sz w:val="24"/>
          <w:szCs w:val="24"/>
        </w:rPr>
        <w:fldChar w:fldCharType="end"/>
      </w:r>
      <w:r>
        <w:rPr>
          <w:rFonts w:ascii="Times New Roman" w:hAnsi="Times New Roman" w:cs="Times New Roman"/>
          <w:color w:val="000000" w:themeColor="text1"/>
          <w:sz w:val="24"/>
          <w:szCs w:val="24"/>
          <w14:textFill>
            <w14:solidFill>
              <w14:schemeClr w14:val="tx1"/>
            </w14:solidFill>
          </w14:textFill>
        </w:rPr>
        <w:t>). Genes with nucleic acid lengths greater than or equal to 100bp were selected and translated into amino acid sequences. Gene sequences predicted from all samples were clustered with CD-HIT software (version 4.6.1) (</w:t>
      </w:r>
      <w:r>
        <w:fldChar w:fldCharType="begin"/>
      </w:r>
      <w:r>
        <w:instrText xml:space="preserve"> HYPERLINK "http://www.bioinformatics.org/cd-hit/" </w:instrText>
      </w:r>
      <w:r>
        <w:fldChar w:fldCharType="separate"/>
      </w:r>
      <w:r>
        <w:rPr>
          <w:rStyle w:val="7"/>
          <w:rFonts w:ascii="Times New Roman" w:hAnsi="Times New Roman" w:cs="Times New Roman"/>
          <w:sz w:val="24"/>
          <w:szCs w:val="24"/>
        </w:rPr>
        <w:t>http://www.bioinformatics.org/cd-hit/</w:t>
      </w:r>
      <w:r>
        <w:rPr>
          <w:rStyle w:val="7"/>
          <w:rFonts w:ascii="Times New Roman" w:hAnsi="Times New Roman" w:cs="Times New Roman"/>
          <w:sz w:val="24"/>
          <w:szCs w:val="24"/>
        </w:rPr>
        <w:fldChar w:fldCharType="end"/>
      </w:r>
      <w:r>
        <w:rPr>
          <w:rFonts w:ascii="Times New Roman" w:hAnsi="Times New Roman" w:cs="Times New Roman"/>
          <w:color w:val="000000" w:themeColor="text1"/>
          <w:sz w:val="24"/>
          <w:szCs w:val="24"/>
          <w14:textFill>
            <w14:solidFill>
              <w14:schemeClr w14:val="tx1"/>
            </w14:solidFill>
          </w14:textFill>
        </w:rPr>
        <w:t>), each class took the longest sequence of the gene as a representative, and built the redundant gene set. SOAPaligner (version 2.2.1) software was used to align high-quality reads of each sample with non-redundant gene sets, and the abundances of genes in the corresponding samples were counted. DIAMOND (version 0.9.19) (</w:t>
      </w:r>
      <w:r>
        <w:fldChar w:fldCharType="begin"/>
      </w:r>
      <w:r>
        <w:instrText xml:space="preserve"> HYPERLINK "http://ab.inf.uni-tuebingen.de/software/diamond/" </w:instrText>
      </w:r>
      <w:r>
        <w:fldChar w:fldCharType="separate"/>
      </w:r>
      <w:r>
        <w:rPr>
          <w:rStyle w:val="7"/>
          <w:rFonts w:ascii="Times New Roman" w:hAnsi="Times New Roman" w:cs="Times New Roman"/>
          <w:sz w:val="24"/>
          <w:szCs w:val="24"/>
        </w:rPr>
        <w:t>http://ab.inf.uni-tuebingen.de/software/diamond/</w:t>
      </w:r>
      <w:r>
        <w:rPr>
          <w:rStyle w:val="7"/>
          <w:rFonts w:ascii="Times New Roman" w:hAnsi="Times New Roman" w:cs="Times New Roman"/>
          <w:sz w:val="24"/>
          <w:szCs w:val="24"/>
        </w:rPr>
        <w:fldChar w:fldCharType="end"/>
      </w:r>
      <w:r>
        <w:rPr>
          <w:rFonts w:ascii="Times New Roman" w:hAnsi="Times New Roman" w:cs="Times New Roman"/>
          <w:color w:val="000000" w:themeColor="text1"/>
          <w:sz w:val="24"/>
          <w:szCs w:val="24"/>
          <w14:textFill>
            <w14:solidFill>
              <w14:schemeClr w14:val="tx1"/>
            </w14:solidFill>
          </w14:textFill>
        </w:rPr>
        <w:t>) was used to compare the not redundant genes set with the NR database (then type: BLASTP), and species annotation was obtained through the corresponding taxonomic information database of NR library, and then the abundances of the species were calculated using the sum of gene abundances of the corresponding species</w:t>
      </w:r>
    </w:p>
    <w:bookmarkEnd w:id="2"/>
    <w:p>
      <w:pPr>
        <w:spacing w:line="480" w:lineRule="auto"/>
        <w:rPr>
          <w:rFonts w:ascii="Times New Roman" w:hAnsi="Times New Roman" w:cs="Times New Roman"/>
          <w:b/>
          <w:bCs/>
          <w:iCs/>
          <w:sz w:val="24"/>
          <w:szCs w:val="24"/>
        </w:rPr>
      </w:pPr>
      <w:r>
        <w:rPr>
          <w:rFonts w:hint="eastAsia" w:ascii="Times New Roman" w:hAnsi="Times New Roman" w:cs="Times New Roman"/>
          <w:b/>
          <w:bCs/>
          <w:iCs/>
          <w:sz w:val="24"/>
          <w:szCs w:val="24"/>
        </w:rPr>
        <w:t>T</w:t>
      </w:r>
      <w:r>
        <w:rPr>
          <w:rFonts w:ascii="Times New Roman" w:hAnsi="Times New Roman" w:cs="Times New Roman"/>
          <w:b/>
          <w:bCs/>
          <w:iCs/>
          <w:sz w:val="24"/>
          <w:szCs w:val="24"/>
        </w:rPr>
        <w:t>able S1. The</w:t>
      </w:r>
      <w:r>
        <w:rPr>
          <w:b/>
          <w:bCs/>
        </w:rPr>
        <w:t xml:space="preserve"> </w:t>
      </w:r>
      <w:r>
        <w:rPr>
          <w:rFonts w:ascii="Times New Roman" w:hAnsi="Times New Roman" w:cs="Times New Roman"/>
          <w:b/>
          <w:bCs/>
          <w:iCs/>
          <w:sz w:val="24"/>
          <w:szCs w:val="24"/>
        </w:rPr>
        <w:t>physicochemical properties of feedstocks and samples in composting.</w:t>
      </w:r>
    </w:p>
    <w:tbl>
      <w:tblPr>
        <w:tblStyle w:val="4"/>
        <w:tblpPr w:leftFromText="180" w:rightFromText="180" w:vertAnchor="text" w:horzAnchor="margin" w:tblpY="29"/>
        <w:tblW w:w="12168" w:type="dxa"/>
        <w:tblInd w:w="0" w:type="dxa"/>
        <w:tblLayout w:type="fixed"/>
        <w:tblCellMar>
          <w:top w:w="0" w:type="dxa"/>
          <w:left w:w="0" w:type="dxa"/>
          <w:bottom w:w="0" w:type="dxa"/>
          <w:right w:w="0" w:type="dxa"/>
        </w:tblCellMar>
      </w:tblPr>
      <w:tblGrid>
        <w:gridCol w:w="3381"/>
        <w:gridCol w:w="1600"/>
        <w:gridCol w:w="1680"/>
        <w:gridCol w:w="1840"/>
        <w:gridCol w:w="2107"/>
        <w:gridCol w:w="1560"/>
      </w:tblGrid>
      <w:tr>
        <w:tblPrEx>
          <w:tblCellMar>
            <w:top w:w="0" w:type="dxa"/>
            <w:left w:w="0" w:type="dxa"/>
            <w:bottom w:w="0" w:type="dxa"/>
            <w:right w:w="0" w:type="dxa"/>
          </w:tblCellMar>
        </w:tblPrEx>
        <w:trPr>
          <w:trHeight w:val="288" w:hRule="atLeast"/>
        </w:trPr>
        <w:tc>
          <w:tcPr>
            <w:tcW w:w="3381" w:type="dxa"/>
            <w:tcBorders>
              <w:top w:val="single" w:color="000000" w:sz="4" w:space="0"/>
              <w:left w:val="nil"/>
              <w:bottom w:val="single" w:color="000000" w:sz="4" w:space="0"/>
              <w:right w:val="nil"/>
            </w:tcBorders>
            <w:shd w:val="clear" w:color="auto" w:fill="auto"/>
            <w:noWrap/>
            <w:tcMar>
              <w:top w:w="15" w:type="dxa"/>
              <w:left w:w="15" w:type="dxa"/>
              <w:bottom w:w="0" w:type="dxa"/>
              <w:right w:w="15" w:type="dxa"/>
            </w:tcMar>
            <w:vAlign w:val="center"/>
          </w:tcPr>
          <w:p>
            <w:pPr>
              <w:widowControl/>
              <w:jc w:val="center"/>
              <w:rPr>
                <w:rFonts w:ascii="Times New Roman" w:hAnsi="Times New Roman" w:cs="Times New Roman"/>
                <w:color w:val="000000"/>
                <w:sz w:val="24"/>
                <w:szCs w:val="24"/>
              </w:rPr>
            </w:pPr>
            <w:r>
              <w:rPr>
                <w:rFonts w:ascii="Times New Roman" w:hAnsi="Times New Roman" w:cs="Times New Roman"/>
                <w:color w:val="000000"/>
                <w:sz w:val="24"/>
                <w:szCs w:val="24"/>
              </w:rPr>
              <w:t>Samples</w:t>
            </w:r>
          </w:p>
        </w:tc>
        <w:tc>
          <w:tcPr>
            <w:tcW w:w="1600" w:type="dxa"/>
            <w:tcBorders>
              <w:top w:val="single" w:color="000000" w:sz="4" w:space="0"/>
              <w:left w:val="nil"/>
              <w:bottom w:val="single" w:color="000000" w:sz="4" w:space="0"/>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pH</w:t>
            </w:r>
          </w:p>
        </w:tc>
        <w:tc>
          <w:tcPr>
            <w:tcW w:w="1680" w:type="dxa"/>
            <w:tcBorders>
              <w:top w:val="single" w:color="000000" w:sz="4" w:space="0"/>
              <w:left w:val="nil"/>
              <w:bottom w:val="single" w:color="000000" w:sz="4" w:space="0"/>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TKN (%)</w:t>
            </w:r>
          </w:p>
        </w:tc>
        <w:tc>
          <w:tcPr>
            <w:tcW w:w="1840" w:type="dxa"/>
            <w:tcBorders>
              <w:top w:val="single" w:color="000000" w:sz="4" w:space="0"/>
              <w:left w:val="nil"/>
              <w:bottom w:val="single" w:color="000000" w:sz="4" w:space="0"/>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OM (%)</w:t>
            </w:r>
          </w:p>
        </w:tc>
        <w:tc>
          <w:tcPr>
            <w:tcW w:w="2107" w:type="dxa"/>
            <w:tcBorders>
              <w:top w:val="single" w:color="000000" w:sz="4" w:space="0"/>
              <w:left w:val="nil"/>
              <w:bottom w:val="single" w:color="000000" w:sz="4" w:space="0"/>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Moisture (%)</w:t>
            </w:r>
          </w:p>
        </w:tc>
        <w:tc>
          <w:tcPr>
            <w:tcW w:w="1560" w:type="dxa"/>
            <w:tcBorders>
              <w:top w:val="single" w:color="000000" w:sz="4" w:space="0"/>
              <w:left w:val="nil"/>
              <w:bottom w:val="single" w:color="000000" w:sz="4" w:space="0"/>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Temperature</w:t>
            </w:r>
          </w:p>
        </w:tc>
      </w:tr>
      <w:tr>
        <w:tblPrEx>
          <w:tblCellMar>
            <w:top w:w="0" w:type="dxa"/>
            <w:left w:w="0" w:type="dxa"/>
            <w:bottom w:w="0" w:type="dxa"/>
            <w:right w:w="0" w:type="dxa"/>
          </w:tblCellMar>
        </w:tblPrEx>
        <w:trPr>
          <w:trHeight w:val="288" w:hRule="atLeast"/>
        </w:trPr>
        <w:tc>
          <w:tcPr>
            <w:tcW w:w="3381"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Sludge</w:t>
            </w:r>
          </w:p>
        </w:tc>
        <w:tc>
          <w:tcPr>
            <w:tcW w:w="1600"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hint="eastAsia" w:ascii="Times New Roman" w:hAnsi="Times New Roman" w:cs="Times New Roman"/>
                <w:color w:val="000000"/>
                <w:sz w:val="24"/>
                <w:szCs w:val="24"/>
              </w:rPr>
              <w:t>6</w:t>
            </w:r>
            <w:r>
              <w:rPr>
                <w:rFonts w:ascii="Times New Roman" w:hAnsi="Times New Roman" w:cs="Times New Roman"/>
                <w:color w:val="000000"/>
                <w:sz w:val="24"/>
                <w:szCs w:val="24"/>
              </w:rPr>
              <w:t>.08 ± 0.05</w:t>
            </w:r>
          </w:p>
        </w:tc>
        <w:tc>
          <w:tcPr>
            <w:tcW w:w="1680"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hint="eastAsia" w:ascii="Times New Roman" w:hAnsi="Times New Roman" w:cs="Times New Roman"/>
                <w:color w:val="000000"/>
                <w:sz w:val="24"/>
                <w:szCs w:val="24"/>
              </w:rPr>
              <w:t>3</w:t>
            </w:r>
            <w:r>
              <w:rPr>
                <w:rFonts w:ascii="Times New Roman" w:hAnsi="Times New Roman" w:cs="Times New Roman"/>
                <w:color w:val="000000"/>
                <w:sz w:val="24"/>
                <w:szCs w:val="24"/>
              </w:rPr>
              <w:t>.90 ± 0.01</w:t>
            </w:r>
          </w:p>
        </w:tc>
        <w:tc>
          <w:tcPr>
            <w:tcW w:w="1840"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hint="eastAsia" w:ascii="Times New Roman" w:hAnsi="Times New Roman" w:cs="Times New Roman"/>
                <w:color w:val="000000"/>
                <w:sz w:val="24"/>
                <w:szCs w:val="24"/>
              </w:rPr>
              <w:t>0</w:t>
            </w:r>
            <w:r>
              <w:rPr>
                <w:rFonts w:ascii="Times New Roman" w:hAnsi="Times New Roman" w:cs="Times New Roman"/>
                <w:color w:val="000000"/>
                <w:sz w:val="24"/>
                <w:szCs w:val="24"/>
              </w:rPr>
              <w:t>.49 ± 0.19</w:t>
            </w:r>
          </w:p>
        </w:tc>
        <w:tc>
          <w:tcPr>
            <w:tcW w:w="2107"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hint="eastAsia" w:ascii="Times New Roman" w:hAnsi="Times New Roman" w:cs="Times New Roman"/>
                <w:color w:val="000000"/>
                <w:sz w:val="24"/>
                <w:szCs w:val="24"/>
              </w:rPr>
              <w:t>7</w:t>
            </w:r>
            <w:r>
              <w:rPr>
                <w:rFonts w:ascii="Times New Roman" w:hAnsi="Times New Roman" w:cs="Times New Roman"/>
                <w:color w:val="000000"/>
                <w:sz w:val="24"/>
                <w:szCs w:val="24"/>
              </w:rPr>
              <w:t>4.84 ± 0.69</w:t>
            </w:r>
          </w:p>
        </w:tc>
        <w:tc>
          <w:tcPr>
            <w:tcW w:w="1560"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hint="eastAsia" w:ascii="Times New Roman" w:hAnsi="Times New Roman" w:cs="Times New Roman"/>
                <w:color w:val="000000"/>
                <w:sz w:val="24"/>
                <w:szCs w:val="24"/>
              </w:rPr>
              <w:t>-</w:t>
            </w:r>
          </w:p>
        </w:tc>
      </w:tr>
      <w:tr>
        <w:tblPrEx>
          <w:tblCellMar>
            <w:top w:w="0" w:type="dxa"/>
            <w:left w:w="0" w:type="dxa"/>
            <w:bottom w:w="0" w:type="dxa"/>
            <w:right w:w="0" w:type="dxa"/>
          </w:tblCellMar>
        </w:tblPrEx>
        <w:trPr>
          <w:trHeight w:val="288" w:hRule="atLeast"/>
        </w:trPr>
        <w:tc>
          <w:tcPr>
            <w:tcW w:w="3381"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Hay</w:t>
            </w:r>
          </w:p>
        </w:tc>
        <w:tc>
          <w:tcPr>
            <w:tcW w:w="1600"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hint="eastAsia" w:ascii="Times New Roman" w:hAnsi="Times New Roman" w:cs="Times New Roman"/>
                <w:color w:val="000000"/>
                <w:sz w:val="24"/>
                <w:szCs w:val="24"/>
              </w:rPr>
              <w:t>6</w:t>
            </w:r>
            <w:r>
              <w:rPr>
                <w:rFonts w:ascii="Times New Roman" w:hAnsi="Times New Roman" w:cs="Times New Roman"/>
                <w:color w:val="000000"/>
                <w:sz w:val="24"/>
                <w:szCs w:val="24"/>
              </w:rPr>
              <w:t>.03 ± 0.03</w:t>
            </w:r>
          </w:p>
        </w:tc>
        <w:tc>
          <w:tcPr>
            <w:tcW w:w="1680"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hint="eastAsia" w:ascii="Times New Roman" w:hAnsi="Times New Roman" w:cs="Times New Roman"/>
                <w:color w:val="000000"/>
                <w:sz w:val="24"/>
                <w:szCs w:val="24"/>
              </w:rPr>
              <w:t>1</w:t>
            </w:r>
            <w:r>
              <w:rPr>
                <w:rFonts w:ascii="Times New Roman" w:hAnsi="Times New Roman" w:cs="Times New Roman"/>
                <w:color w:val="000000"/>
                <w:sz w:val="24"/>
                <w:szCs w:val="24"/>
              </w:rPr>
              <w:t>.02 ± 0.02</w:t>
            </w:r>
          </w:p>
        </w:tc>
        <w:tc>
          <w:tcPr>
            <w:tcW w:w="1840"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hint="eastAsia" w:ascii="Times New Roman" w:hAnsi="Times New Roman" w:cs="Times New Roman"/>
                <w:color w:val="000000"/>
                <w:sz w:val="24"/>
                <w:szCs w:val="24"/>
              </w:rPr>
              <w:t>0</w:t>
            </w:r>
            <w:r>
              <w:rPr>
                <w:rFonts w:ascii="Times New Roman" w:hAnsi="Times New Roman" w:cs="Times New Roman"/>
                <w:color w:val="000000"/>
                <w:sz w:val="24"/>
                <w:szCs w:val="24"/>
              </w:rPr>
              <w:t>.91± 0.22</w:t>
            </w:r>
          </w:p>
        </w:tc>
        <w:tc>
          <w:tcPr>
            <w:tcW w:w="2107"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hint="eastAsia" w:ascii="Times New Roman" w:hAnsi="Times New Roman" w:cs="Times New Roman"/>
                <w:color w:val="000000"/>
                <w:sz w:val="24"/>
                <w:szCs w:val="24"/>
              </w:rPr>
              <w:t>9</w:t>
            </w:r>
            <w:r>
              <w:rPr>
                <w:rFonts w:ascii="Times New Roman" w:hAnsi="Times New Roman" w:cs="Times New Roman"/>
                <w:color w:val="000000"/>
                <w:sz w:val="24"/>
                <w:szCs w:val="24"/>
              </w:rPr>
              <w:t>.80 ± 0.81</w:t>
            </w:r>
          </w:p>
        </w:tc>
        <w:tc>
          <w:tcPr>
            <w:tcW w:w="1560"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hint="eastAsia" w:ascii="Times New Roman" w:hAnsi="Times New Roman" w:cs="Times New Roman"/>
                <w:color w:val="000000"/>
                <w:sz w:val="24"/>
                <w:szCs w:val="24"/>
              </w:rPr>
              <w:t>-</w:t>
            </w:r>
          </w:p>
        </w:tc>
      </w:tr>
      <w:tr>
        <w:tblPrEx>
          <w:tblCellMar>
            <w:top w:w="0" w:type="dxa"/>
            <w:left w:w="0" w:type="dxa"/>
            <w:bottom w:w="0" w:type="dxa"/>
            <w:right w:w="0" w:type="dxa"/>
          </w:tblCellMar>
        </w:tblPrEx>
        <w:trPr>
          <w:trHeight w:val="288" w:hRule="atLeast"/>
        </w:trPr>
        <w:tc>
          <w:tcPr>
            <w:tcW w:w="3381"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Pig manure</w:t>
            </w:r>
          </w:p>
        </w:tc>
        <w:tc>
          <w:tcPr>
            <w:tcW w:w="1600"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hint="eastAsia" w:ascii="Times New Roman" w:hAnsi="Times New Roman" w:cs="Times New Roman"/>
                <w:color w:val="000000"/>
                <w:sz w:val="24"/>
                <w:szCs w:val="24"/>
              </w:rPr>
              <w:t>7</w:t>
            </w:r>
            <w:r>
              <w:rPr>
                <w:rFonts w:ascii="Times New Roman" w:hAnsi="Times New Roman" w:cs="Times New Roman"/>
                <w:color w:val="000000"/>
                <w:sz w:val="24"/>
                <w:szCs w:val="24"/>
              </w:rPr>
              <w:t>.94 ± 0.03</w:t>
            </w:r>
          </w:p>
        </w:tc>
        <w:tc>
          <w:tcPr>
            <w:tcW w:w="1680"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hint="eastAsia" w:ascii="Times New Roman" w:hAnsi="Times New Roman" w:cs="Times New Roman"/>
                <w:color w:val="000000"/>
                <w:sz w:val="24"/>
                <w:szCs w:val="24"/>
              </w:rPr>
              <w:t>1</w:t>
            </w:r>
            <w:r>
              <w:rPr>
                <w:rFonts w:ascii="Times New Roman" w:hAnsi="Times New Roman" w:cs="Times New Roman"/>
                <w:color w:val="000000"/>
                <w:sz w:val="24"/>
                <w:szCs w:val="24"/>
              </w:rPr>
              <w:t>.03 ± 0.03</w:t>
            </w:r>
          </w:p>
        </w:tc>
        <w:tc>
          <w:tcPr>
            <w:tcW w:w="1840"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hint="eastAsia" w:ascii="Times New Roman" w:hAnsi="Times New Roman" w:cs="Times New Roman"/>
                <w:color w:val="000000"/>
                <w:sz w:val="24"/>
                <w:szCs w:val="24"/>
              </w:rPr>
              <w:t>6</w:t>
            </w:r>
            <w:r>
              <w:rPr>
                <w:rFonts w:ascii="Times New Roman" w:hAnsi="Times New Roman" w:cs="Times New Roman"/>
                <w:color w:val="000000"/>
                <w:sz w:val="24"/>
                <w:szCs w:val="24"/>
              </w:rPr>
              <w:t>3.86 ± 0.54</w:t>
            </w:r>
          </w:p>
        </w:tc>
        <w:tc>
          <w:tcPr>
            <w:tcW w:w="2107"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hint="eastAsia" w:ascii="Times New Roman" w:hAnsi="Times New Roman" w:cs="Times New Roman"/>
                <w:color w:val="000000"/>
                <w:sz w:val="24"/>
                <w:szCs w:val="24"/>
              </w:rPr>
              <w:t>5</w:t>
            </w:r>
            <w:r>
              <w:rPr>
                <w:rFonts w:ascii="Times New Roman" w:hAnsi="Times New Roman" w:cs="Times New Roman"/>
                <w:color w:val="000000"/>
                <w:sz w:val="24"/>
                <w:szCs w:val="24"/>
              </w:rPr>
              <w:t>9.99 ± 1.03</w:t>
            </w:r>
          </w:p>
        </w:tc>
        <w:tc>
          <w:tcPr>
            <w:tcW w:w="1560"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hint="eastAsia" w:ascii="Times New Roman" w:hAnsi="Times New Roman" w:cs="Times New Roman"/>
                <w:color w:val="000000"/>
                <w:sz w:val="24"/>
                <w:szCs w:val="24"/>
              </w:rPr>
              <w:t>-</w:t>
            </w:r>
          </w:p>
        </w:tc>
      </w:tr>
      <w:tr>
        <w:tblPrEx>
          <w:tblCellMar>
            <w:top w:w="0" w:type="dxa"/>
            <w:left w:w="0" w:type="dxa"/>
            <w:bottom w:w="0" w:type="dxa"/>
            <w:right w:w="0" w:type="dxa"/>
          </w:tblCellMar>
        </w:tblPrEx>
        <w:trPr>
          <w:trHeight w:val="288" w:hRule="atLeast"/>
        </w:trPr>
        <w:tc>
          <w:tcPr>
            <w:tcW w:w="3381"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Cow manure</w:t>
            </w:r>
          </w:p>
        </w:tc>
        <w:tc>
          <w:tcPr>
            <w:tcW w:w="1600"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hint="eastAsia" w:ascii="Times New Roman" w:hAnsi="Times New Roman" w:cs="Times New Roman"/>
                <w:color w:val="000000"/>
                <w:sz w:val="24"/>
                <w:szCs w:val="24"/>
              </w:rPr>
              <w:t>7</w:t>
            </w:r>
            <w:r>
              <w:rPr>
                <w:rFonts w:ascii="Times New Roman" w:hAnsi="Times New Roman" w:cs="Times New Roman"/>
                <w:color w:val="000000"/>
                <w:sz w:val="24"/>
                <w:szCs w:val="24"/>
              </w:rPr>
              <w:t>.2 ± 0.15</w:t>
            </w:r>
          </w:p>
        </w:tc>
        <w:tc>
          <w:tcPr>
            <w:tcW w:w="1680"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hint="eastAsia" w:ascii="Times New Roman" w:hAnsi="Times New Roman" w:cs="Times New Roman"/>
                <w:color w:val="000000"/>
                <w:sz w:val="24"/>
                <w:szCs w:val="24"/>
              </w:rPr>
              <w:t>2</w:t>
            </w:r>
            <w:r>
              <w:rPr>
                <w:rFonts w:ascii="Times New Roman" w:hAnsi="Times New Roman" w:cs="Times New Roman"/>
                <w:color w:val="000000"/>
                <w:sz w:val="24"/>
                <w:szCs w:val="24"/>
              </w:rPr>
              <w:t>.08 ± 0.25</w:t>
            </w:r>
          </w:p>
        </w:tc>
        <w:tc>
          <w:tcPr>
            <w:tcW w:w="1840"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hint="eastAsia" w:ascii="Times New Roman" w:hAnsi="Times New Roman" w:cs="Times New Roman"/>
                <w:color w:val="000000"/>
                <w:sz w:val="24"/>
                <w:szCs w:val="24"/>
              </w:rPr>
              <w:t>8</w:t>
            </w:r>
            <w:r>
              <w:rPr>
                <w:rFonts w:ascii="Times New Roman" w:hAnsi="Times New Roman" w:cs="Times New Roman"/>
                <w:color w:val="000000"/>
                <w:sz w:val="24"/>
                <w:szCs w:val="24"/>
              </w:rPr>
              <w:t>6.63 ± 0.01</w:t>
            </w:r>
          </w:p>
        </w:tc>
        <w:tc>
          <w:tcPr>
            <w:tcW w:w="2107"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hint="eastAsia" w:ascii="Times New Roman" w:hAnsi="Times New Roman" w:cs="Times New Roman"/>
                <w:color w:val="000000"/>
                <w:sz w:val="24"/>
                <w:szCs w:val="24"/>
              </w:rPr>
              <w:t>8</w:t>
            </w:r>
            <w:r>
              <w:rPr>
                <w:rFonts w:ascii="Times New Roman" w:hAnsi="Times New Roman" w:cs="Times New Roman"/>
                <w:color w:val="000000"/>
                <w:sz w:val="24"/>
                <w:szCs w:val="24"/>
              </w:rPr>
              <w:t>0.89 ± 0.59</w:t>
            </w:r>
          </w:p>
        </w:tc>
        <w:tc>
          <w:tcPr>
            <w:tcW w:w="1560"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hint="eastAsia" w:ascii="Times New Roman" w:hAnsi="Times New Roman" w:cs="Times New Roman"/>
                <w:color w:val="000000"/>
                <w:sz w:val="24"/>
                <w:szCs w:val="24"/>
              </w:rPr>
              <w:t>-</w:t>
            </w:r>
          </w:p>
        </w:tc>
      </w:tr>
      <w:tr>
        <w:tblPrEx>
          <w:tblCellMar>
            <w:top w:w="0" w:type="dxa"/>
            <w:left w:w="0" w:type="dxa"/>
            <w:bottom w:w="0" w:type="dxa"/>
            <w:right w:w="0" w:type="dxa"/>
          </w:tblCellMar>
        </w:tblPrEx>
        <w:trPr>
          <w:trHeight w:val="288" w:hRule="atLeast"/>
        </w:trPr>
        <w:tc>
          <w:tcPr>
            <w:tcW w:w="3381"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Cane marrow</w:t>
            </w:r>
          </w:p>
        </w:tc>
        <w:tc>
          <w:tcPr>
            <w:tcW w:w="1600"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hint="eastAsia" w:ascii="Times New Roman" w:hAnsi="Times New Roman" w:cs="Times New Roman"/>
                <w:color w:val="000000"/>
                <w:sz w:val="24"/>
                <w:szCs w:val="24"/>
              </w:rPr>
              <w:t>6</w:t>
            </w:r>
            <w:r>
              <w:rPr>
                <w:rFonts w:ascii="Times New Roman" w:hAnsi="Times New Roman" w:cs="Times New Roman"/>
                <w:color w:val="000000"/>
                <w:sz w:val="24"/>
                <w:szCs w:val="24"/>
              </w:rPr>
              <w:t>.04 ± 0.02</w:t>
            </w:r>
          </w:p>
        </w:tc>
        <w:tc>
          <w:tcPr>
            <w:tcW w:w="1680"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hint="eastAsia" w:ascii="Times New Roman" w:hAnsi="Times New Roman" w:cs="Times New Roman"/>
                <w:color w:val="000000"/>
                <w:sz w:val="24"/>
                <w:szCs w:val="24"/>
              </w:rPr>
              <w:t>0</w:t>
            </w:r>
            <w:r>
              <w:rPr>
                <w:rFonts w:ascii="Times New Roman" w:hAnsi="Times New Roman" w:cs="Times New Roman"/>
                <w:color w:val="000000"/>
                <w:sz w:val="24"/>
                <w:szCs w:val="24"/>
              </w:rPr>
              <w:t>.76 ± 0.06</w:t>
            </w:r>
          </w:p>
        </w:tc>
        <w:tc>
          <w:tcPr>
            <w:tcW w:w="1840"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hint="eastAsia" w:ascii="Times New Roman" w:hAnsi="Times New Roman" w:cs="Times New Roman"/>
                <w:color w:val="000000"/>
                <w:sz w:val="24"/>
                <w:szCs w:val="24"/>
              </w:rPr>
              <w:t>9</w:t>
            </w:r>
            <w:r>
              <w:rPr>
                <w:rFonts w:ascii="Times New Roman" w:hAnsi="Times New Roman" w:cs="Times New Roman"/>
                <w:color w:val="000000"/>
                <w:sz w:val="24"/>
                <w:szCs w:val="24"/>
              </w:rPr>
              <w:t>5.91 ± 0.09</w:t>
            </w:r>
          </w:p>
        </w:tc>
        <w:tc>
          <w:tcPr>
            <w:tcW w:w="2107"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hint="eastAsia" w:ascii="Times New Roman" w:hAnsi="Times New Roman" w:cs="Times New Roman"/>
                <w:color w:val="000000"/>
                <w:sz w:val="24"/>
                <w:szCs w:val="24"/>
              </w:rPr>
              <w:t>8</w:t>
            </w:r>
            <w:r>
              <w:rPr>
                <w:rFonts w:ascii="Times New Roman" w:hAnsi="Times New Roman" w:cs="Times New Roman"/>
                <w:color w:val="000000"/>
                <w:sz w:val="24"/>
                <w:szCs w:val="24"/>
              </w:rPr>
              <w:t>.49 ± 0.59</w:t>
            </w:r>
          </w:p>
        </w:tc>
        <w:tc>
          <w:tcPr>
            <w:tcW w:w="1560"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hint="eastAsia" w:ascii="Times New Roman" w:hAnsi="Times New Roman" w:cs="Times New Roman"/>
                <w:color w:val="000000"/>
                <w:sz w:val="24"/>
                <w:szCs w:val="24"/>
              </w:rPr>
              <w:t>-</w:t>
            </w:r>
          </w:p>
        </w:tc>
      </w:tr>
      <w:tr>
        <w:tblPrEx>
          <w:tblCellMar>
            <w:top w:w="0" w:type="dxa"/>
            <w:left w:w="0" w:type="dxa"/>
            <w:bottom w:w="0" w:type="dxa"/>
            <w:right w:w="0" w:type="dxa"/>
          </w:tblCellMar>
        </w:tblPrEx>
        <w:trPr>
          <w:trHeight w:val="288" w:hRule="atLeast"/>
        </w:trPr>
        <w:tc>
          <w:tcPr>
            <w:tcW w:w="3381"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hint="eastAsia" w:ascii="Times New Roman" w:hAnsi="Times New Roman" w:cs="Times New Roman"/>
                <w:color w:val="000000"/>
                <w:sz w:val="24"/>
                <w:szCs w:val="24"/>
              </w:rPr>
              <w:t>S</w:t>
            </w:r>
            <w:r>
              <w:rPr>
                <w:rFonts w:ascii="Times New Roman" w:hAnsi="Times New Roman" w:cs="Times New Roman"/>
                <w:color w:val="000000"/>
                <w:sz w:val="24"/>
                <w:szCs w:val="24"/>
              </w:rPr>
              <w:t>D/HY-</w:t>
            </w:r>
            <w:r>
              <w:rPr>
                <w:rFonts w:hint="eastAsia" w:ascii="Times New Roman" w:hAnsi="Times New Roman" w:cs="Times New Roman"/>
                <w:color w:val="000000"/>
                <w:sz w:val="24"/>
                <w:szCs w:val="24"/>
              </w:rPr>
              <w:t>heating period</w:t>
            </w:r>
          </w:p>
        </w:tc>
        <w:tc>
          <w:tcPr>
            <w:tcW w:w="1600"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6.14 ± 0.09</w:t>
            </w:r>
          </w:p>
        </w:tc>
        <w:tc>
          <w:tcPr>
            <w:tcW w:w="1680"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1.51 ± 0.04</w:t>
            </w:r>
          </w:p>
        </w:tc>
        <w:tc>
          <w:tcPr>
            <w:tcW w:w="1840"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80.50 ± 0.12</w:t>
            </w:r>
          </w:p>
        </w:tc>
        <w:tc>
          <w:tcPr>
            <w:tcW w:w="2107"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66.31 ± 0.60</w:t>
            </w:r>
          </w:p>
        </w:tc>
        <w:tc>
          <w:tcPr>
            <w:tcW w:w="1560"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29.23±0.05</w:t>
            </w:r>
          </w:p>
        </w:tc>
      </w:tr>
      <w:tr>
        <w:tblPrEx>
          <w:tblCellMar>
            <w:top w:w="0" w:type="dxa"/>
            <w:left w:w="0" w:type="dxa"/>
            <w:bottom w:w="0" w:type="dxa"/>
            <w:right w:w="0" w:type="dxa"/>
          </w:tblCellMar>
        </w:tblPrEx>
        <w:trPr>
          <w:trHeight w:val="288" w:hRule="atLeast"/>
        </w:trPr>
        <w:tc>
          <w:tcPr>
            <w:tcW w:w="3381"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hint="eastAsia" w:ascii="Times New Roman" w:hAnsi="Times New Roman" w:cs="Times New Roman"/>
                <w:color w:val="000000"/>
                <w:sz w:val="24"/>
                <w:szCs w:val="24"/>
              </w:rPr>
              <w:t>S</w:t>
            </w:r>
            <w:r>
              <w:rPr>
                <w:rFonts w:ascii="Times New Roman" w:hAnsi="Times New Roman" w:cs="Times New Roman"/>
                <w:color w:val="000000"/>
                <w:sz w:val="24"/>
                <w:szCs w:val="24"/>
              </w:rPr>
              <w:t>D/HY-</w:t>
            </w:r>
            <w:r>
              <w:rPr>
                <w:rFonts w:hint="eastAsia" w:ascii="Times New Roman" w:hAnsi="Times New Roman" w:cs="Times New Roman"/>
                <w:color w:val="000000"/>
                <w:sz w:val="24"/>
                <w:szCs w:val="24"/>
              </w:rPr>
              <w:t>thermophilic period</w:t>
            </w:r>
          </w:p>
        </w:tc>
        <w:tc>
          <w:tcPr>
            <w:tcW w:w="1600"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7.18 ± 0.12</w:t>
            </w:r>
          </w:p>
        </w:tc>
        <w:tc>
          <w:tcPr>
            <w:tcW w:w="1680"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1.52 ± 0.01</w:t>
            </w:r>
          </w:p>
        </w:tc>
        <w:tc>
          <w:tcPr>
            <w:tcW w:w="1840"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80.36 ± 0.22</w:t>
            </w:r>
          </w:p>
        </w:tc>
        <w:tc>
          <w:tcPr>
            <w:tcW w:w="2107"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57.36 ± 0.83</w:t>
            </w:r>
          </w:p>
        </w:tc>
        <w:tc>
          <w:tcPr>
            <w:tcW w:w="1560"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54.80±0.08</w:t>
            </w:r>
          </w:p>
        </w:tc>
      </w:tr>
      <w:tr>
        <w:tblPrEx>
          <w:tblCellMar>
            <w:top w:w="0" w:type="dxa"/>
            <w:left w:w="0" w:type="dxa"/>
            <w:bottom w:w="0" w:type="dxa"/>
            <w:right w:w="0" w:type="dxa"/>
          </w:tblCellMar>
        </w:tblPrEx>
        <w:trPr>
          <w:trHeight w:val="288" w:hRule="atLeast"/>
        </w:trPr>
        <w:tc>
          <w:tcPr>
            <w:tcW w:w="3381"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hint="eastAsia" w:ascii="Times New Roman" w:hAnsi="Times New Roman" w:cs="Times New Roman"/>
                <w:color w:val="000000"/>
                <w:sz w:val="24"/>
                <w:szCs w:val="24"/>
              </w:rPr>
              <w:t>S</w:t>
            </w:r>
            <w:r>
              <w:rPr>
                <w:rFonts w:ascii="Times New Roman" w:hAnsi="Times New Roman" w:cs="Times New Roman"/>
                <w:color w:val="000000"/>
                <w:sz w:val="24"/>
                <w:szCs w:val="24"/>
              </w:rPr>
              <w:t>D/HY-</w:t>
            </w:r>
            <w:r>
              <w:rPr>
                <w:rFonts w:hint="eastAsia" w:ascii="Times New Roman" w:hAnsi="Times New Roman" w:cs="Times New Roman"/>
                <w:color w:val="000000"/>
                <w:sz w:val="24"/>
                <w:szCs w:val="24"/>
              </w:rPr>
              <w:t>cooling period</w:t>
            </w:r>
          </w:p>
        </w:tc>
        <w:tc>
          <w:tcPr>
            <w:tcW w:w="1600"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6.93 ± 0.07</w:t>
            </w:r>
          </w:p>
        </w:tc>
        <w:tc>
          <w:tcPr>
            <w:tcW w:w="1680"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2.41 ± 0.01</w:t>
            </w:r>
          </w:p>
        </w:tc>
        <w:tc>
          <w:tcPr>
            <w:tcW w:w="1840"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61.52 ± 0.32</w:t>
            </w:r>
          </w:p>
        </w:tc>
        <w:tc>
          <w:tcPr>
            <w:tcW w:w="2107"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64.53 ± 0.89</w:t>
            </w:r>
          </w:p>
        </w:tc>
        <w:tc>
          <w:tcPr>
            <w:tcW w:w="1560"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32.83±0.17</w:t>
            </w:r>
          </w:p>
        </w:tc>
      </w:tr>
      <w:tr>
        <w:tblPrEx>
          <w:tblCellMar>
            <w:top w:w="0" w:type="dxa"/>
            <w:left w:w="0" w:type="dxa"/>
            <w:bottom w:w="0" w:type="dxa"/>
            <w:right w:w="0" w:type="dxa"/>
          </w:tblCellMar>
        </w:tblPrEx>
        <w:trPr>
          <w:trHeight w:val="288" w:hRule="atLeast"/>
        </w:trPr>
        <w:tc>
          <w:tcPr>
            <w:tcW w:w="3381" w:type="dxa"/>
            <w:tcBorders>
              <w:top w:val="nil"/>
              <w:left w:val="nil"/>
              <w:bottom w:val="nil"/>
              <w:right w:val="nil"/>
            </w:tcBorders>
            <w:shd w:val="clear" w:color="auto" w:fill="auto"/>
            <w:noWrap/>
            <w:tcMar>
              <w:top w:w="15" w:type="dxa"/>
              <w:left w:w="15" w:type="dxa"/>
              <w:bottom w:w="0" w:type="dxa"/>
              <w:right w:w="15" w:type="dxa"/>
            </w:tcMar>
            <w:vAlign w:val="center"/>
          </w:tcPr>
          <w:p>
            <w:pPr>
              <w:widowControl/>
              <w:jc w:val="center"/>
              <w:rPr>
                <w:rFonts w:ascii="Times New Roman" w:hAnsi="Times New Roman" w:eastAsia="宋体" w:cs="Times New Roman"/>
                <w:sz w:val="24"/>
                <w:szCs w:val="24"/>
              </w:rPr>
            </w:pPr>
            <w:r>
              <w:rPr>
                <w:rFonts w:hint="eastAsia" w:ascii="Times New Roman" w:hAnsi="Times New Roman" w:cs="Times New Roman"/>
                <w:color w:val="000000"/>
                <w:sz w:val="24"/>
                <w:szCs w:val="24"/>
              </w:rPr>
              <w:t>S</w:t>
            </w:r>
            <w:r>
              <w:rPr>
                <w:rFonts w:ascii="Times New Roman" w:hAnsi="Times New Roman" w:cs="Times New Roman"/>
                <w:color w:val="000000"/>
                <w:sz w:val="24"/>
                <w:szCs w:val="24"/>
              </w:rPr>
              <w:t>D/HY-</w:t>
            </w:r>
            <w:r>
              <w:rPr>
                <w:rFonts w:hint="eastAsia" w:ascii="Times New Roman" w:hAnsi="Times New Roman" w:cs="Times New Roman"/>
                <w:color w:val="000000"/>
                <w:sz w:val="24"/>
                <w:szCs w:val="24"/>
              </w:rPr>
              <w:t>m</w:t>
            </w:r>
            <w:r>
              <w:rPr>
                <w:rFonts w:ascii="Times New Roman" w:hAnsi="Times New Roman" w:eastAsia="宋体" w:cs="Times New Roman"/>
                <w:sz w:val="24"/>
                <w:szCs w:val="24"/>
              </w:rPr>
              <w:t>aturation</w:t>
            </w:r>
          </w:p>
          <w:p>
            <w:pPr>
              <w:jc w:val="center"/>
              <w:rPr>
                <w:rFonts w:ascii="Times New Roman" w:hAnsi="Times New Roman" w:cs="Times New Roman"/>
                <w:color w:val="000000"/>
                <w:sz w:val="24"/>
                <w:szCs w:val="24"/>
              </w:rPr>
            </w:pPr>
            <w:r>
              <w:rPr>
                <w:rFonts w:hint="eastAsia" w:ascii="Times New Roman" w:hAnsi="Times New Roman" w:eastAsia="宋体" w:cs="Times New Roman"/>
                <w:sz w:val="24"/>
                <w:szCs w:val="24"/>
              </w:rPr>
              <w:t>period</w:t>
            </w:r>
          </w:p>
        </w:tc>
        <w:tc>
          <w:tcPr>
            <w:tcW w:w="1600"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6.27 ± 0.07</w:t>
            </w:r>
          </w:p>
        </w:tc>
        <w:tc>
          <w:tcPr>
            <w:tcW w:w="1680"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2.96 ± 0.03</w:t>
            </w:r>
          </w:p>
        </w:tc>
        <w:tc>
          <w:tcPr>
            <w:tcW w:w="1840"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55.76 ± 0.29</w:t>
            </w:r>
          </w:p>
        </w:tc>
        <w:tc>
          <w:tcPr>
            <w:tcW w:w="2107"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58.01 ± 0.90</w:t>
            </w:r>
          </w:p>
        </w:tc>
        <w:tc>
          <w:tcPr>
            <w:tcW w:w="1560"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27.47±0.09</w:t>
            </w:r>
          </w:p>
        </w:tc>
      </w:tr>
      <w:tr>
        <w:tblPrEx>
          <w:tblCellMar>
            <w:top w:w="0" w:type="dxa"/>
            <w:left w:w="0" w:type="dxa"/>
            <w:bottom w:w="0" w:type="dxa"/>
            <w:right w:w="0" w:type="dxa"/>
          </w:tblCellMar>
        </w:tblPrEx>
        <w:trPr>
          <w:trHeight w:val="288" w:hRule="atLeast"/>
        </w:trPr>
        <w:tc>
          <w:tcPr>
            <w:tcW w:w="3381"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PM/CM-</w:t>
            </w:r>
            <w:r>
              <w:rPr>
                <w:rFonts w:hint="eastAsia" w:ascii="Times New Roman" w:hAnsi="Times New Roman" w:cs="Times New Roman"/>
                <w:color w:val="000000"/>
                <w:sz w:val="24"/>
                <w:szCs w:val="24"/>
              </w:rPr>
              <w:t>heating period</w:t>
            </w:r>
          </w:p>
        </w:tc>
        <w:tc>
          <w:tcPr>
            <w:tcW w:w="1600"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8.13 ± 0.03</w:t>
            </w:r>
          </w:p>
        </w:tc>
        <w:tc>
          <w:tcPr>
            <w:tcW w:w="1680"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0.80 ± 0.04</w:t>
            </w:r>
          </w:p>
        </w:tc>
        <w:tc>
          <w:tcPr>
            <w:tcW w:w="1840"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85.25 ± 1.66</w:t>
            </w:r>
          </w:p>
        </w:tc>
        <w:tc>
          <w:tcPr>
            <w:tcW w:w="2107"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57.62 ± 1.38</w:t>
            </w:r>
          </w:p>
        </w:tc>
        <w:tc>
          <w:tcPr>
            <w:tcW w:w="1560"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29.00 ± 0.02</w:t>
            </w:r>
          </w:p>
        </w:tc>
      </w:tr>
      <w:tr>
        <w:tblPrEx>
          <w:tblCellMar>
            <w:top w:w="0" w:type="dxa"/>
            <w:left w:w="0" w:type="dxa"/>
            <w:bottom w:w="0" w:type="dxa"/>
            <w:right w:w="0" w:type="dxa"/>
          </w:tblCellMar>
        </w:tblPrEx>
        <w:trPr>
          <w:trHeight w:val="288" w:hRule="atLeast"/>
        </w:trPr>
        <w:tc>
          <w:tcPr>
            <w:tcW w:w="3381"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PM/CM-</w:t>
            </w:r>
            <w:r>
              <w:rPr>
                <w:rFonts w:hint="eastAsia" w:ascii="Times New Roman" w:hAnsi="Times New Roman" w:cs="Times New Roman"/>
                <w:color w:val="000000"/>
                <w:sz w:val="24"/>
                <w:szCs w:val="24"/>
              </w:rPr>
              <w:t>thermophilic period</w:t>
            </w:r>
          </w:p>
        </w:tc>
        <w:tc>
          <w:tcPr>
            <w:tcW w:w="1600"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7.82 ± 0.03</w:t>
            </w:r>
          </w:p>
        </w:tc>
        <w:tc>
          <w:tcPr>
            <w:tcW w:w="1680"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0.90 ± 0.02</w:t>
            </w:r>
          </w:p>
        </w:tc>
        <w:tc>
          <w:tcPr>
            <w:tcW w:w="1840"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79.66 ± 0.28</w:t>
            </w:r>
          </w:p>
        </w:tc>
        <w:tc>
          <w:tcPr>
            <w:tcW w:w="2107"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59.54 ± 0.60</w:t>
            </w:r>
          </w:p>
        </w:tc>
        <w:tc>
          <w:tcPr>
            <w:tcW w:w="1560"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57.87 ± 0.05</w:t>
            </w:r>
          </w:p>
        </w:tc>
      </w:tr>
      <w:tr>
        <w:tblPrEx>
          <w:tblCellMar>
            <w:top w:w="0" w:type="dxa"/>
            <w:left w:w="0" w:type="dxa"/>
            <w:bottom w:w="0" w:type="dxa"/>
            <w:right w:w="0" w:type="dxa"/>
          </w:tblCellMar>
        </w:tblPrEx>
        <w:trPr>
          <w:trHeight w:val="288" w:hRule="atLeast"/>
        </w:trPr>
        <w:tc>
          <w:tcPr>
            <w:tcW w:w="3381"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PM/CM-</w:t>
            </w:r>
            <w:r>
              <w:rPr>
                <w:rFonts w:hint="eastAsia" w:ascii="Times New Roman" w:hAnsi="Times New Roman" w:cs="Times New Roman"/>
                <w:color w:val="000000"/>
                <w:sz w:val="24"/>
                <w:szCs w:val="24"/>
              </w:rPr>
              <w:t>cooling period</w:t>
            </w:r>
          </w:p>
        </w:tc>
        <w:tc>
          <w:tcPr>
            <w:tcW w:w="1600"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7.43 ± 0.01</w:t>
            </w:r>
          </w:p>
        </w:tc>
        <w:tc>
          <w:tcPr>
            <w:tcW w:w="1680"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1.35 ± 0.01</w:t>
            </w:r>
          </w:p>
        </w:tc>
        <w:tc>
          <w:tcPr>
            <w:tcW w:w="1840"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73.89 ± 1.21</w:t>
            </w:r>
          </w:p>
        </w:tc>
        <w:tc>
          <w:tcPr>
            <w:tcW w:w="2107"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59.20 ± 1.01</w:t>
            </w:r>
          </w:p>
        </w:tc>
        <w:tc>
          <w:tcPr>
            <w:tcW w:w="1560"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45.77 ± 0.05</w:t>
            </w:r>
          </w:p>
        </w:tc>
      </w:tr>
      <w:tr>
        <w:tblPrEx>
          <w:tblCellMar>
            <w:top w:w="0" w:type="dxa"/>
            <w:left w:w="0" w:type="dxa"/>
            <w:bottom w:w="0" w:type="dxa"/>
            <w:right w:w="0" w:type="dxa"/>
          </w:tblCellMar>
        </w:tblPrEx>
        <w:trPr>
          <w:trHeight w:val="288" w:hRule="atLeast"/>
        </w:trPr>
        <w:tc>
          <w:tcPr>
            <w:tcW w:w="3381" w:type="dxa"/>
            <w:tcBorders>
              <w:top w:val="nil"/>
              <w:left w:val="nil"/>
              <w:bottom w:val="nil"/>
              <w:right w:val="nil"/>
            </w:tcBorders>
            <w:shd w:val="clear" w:color="auto" w:fill="auto"/>
            <w:noWrap/>
            <w:tcMar>
              <w:top w:w="15" w:type="dxa"/>
              <w:left w:w="15" w:type="dxa"/>
              <w:bottom w:w="0" w:type="dxa"/>
              <w:right w:w="15" w:type="dxa"/>
            </w:tcMar>
            <w:vAlign w:val="center"/>
          </w:tcPr>
          <w:p>
            <w:pPr>
              <w:widowControl/>
              <w:jc w:val="center"/>
              <w:rPr>
                <w:rFonts w:ascii="Times New Roman" w:hAnsi="Times New Roman" w:eastAsia="宋体" w:cs="Times New Roman"/>
                <w:sz w:val="24"/>
                <w:szCs w:val="24"/>
              </w:rPr>
            </w:pPr>
            <w:r>
              <w:rPr>
                <w:rFonts w:ascii="Times New Roman" w:hAnsi="Times New Roman" w:cs="Times New Roman"/>
                <w:color w:val="000000"/>
                <w:sz w:val="24"/>
                <w:szCs w:val="24"/>
              </w:rPr>
              <w:t>PM/CM-</w:t>
            </w:r>
            <w:r>
              <w:rPr>
                <w:rFonts w:hint="eastAsia" w:ascii="Times New Roman" w:hAnsi="Times New Roman" w:cs="Times New Roman"/>
                <w:color w:val="000000"/>
                <w:sz w:val="24"/>
                <w:szCs w:val="24"/>
              </w:rPr>
              <w:t>m</w:t>
            </w:r>
            <w:r>
              <w:rPr>
                <w:rFonts w:ascii="Times New Roman" w:hAnsi="Times New Roman" w:eastAsia="宋体" w:cs="Times New Roman"/>
                <w:sz w:val="24"/>
                <w:szCs w:val="24"/>
              </w:rPr>
              <w:t>aturation</w:t>
            </w:r>
          </w:p>
          <w:p>
            <w:pPr>
              <w:jc w:val="center"/>
              <w:rPr>
                <w:rFonts w:ascii="Times New Roman" w:hAnsi="Times New Roman" w:cs="Times New Roman"/>
                <w:color w:val="000000"/>
                <w:sz w:val="24"/>
                <w:szCs w:val="24"/>
              </w:rPr>
            </w:pPr>
            <w:r>
              <w:rPr>
                <w:rFonts w:hint="eastAsia" w:ascii="Times New Roman" w:hAnsi="Times New Roman" w:eastAsia="宋体" w:cs="Times New Roman"/>
                <w:sz w:val="24"/>
                <w:szCs w:val="24"/>
              </w:rPr>
              <w:t>period</w:t>
            </w:r>
          </w:p>
        </w:tc>
        <w:tc>
          <w:tcPr>
            <w:tcW w:w="1600"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7.76 ± 0.02</w:t>
            </w:r>
          </w:p>
        </w:tc>
        <w:tc>
          <w:tcPr>
            <w:tcW w:w="1680"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1.82 ± 0.01</w:t>
            </w:r>
          </w:p>
        </w:tc>
        <w:tc>
          <w:tcPr>
            <w:tcW w:w="1840"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64.44 ± 0.25</w:t>
            </w:r>
          </w:p>
        </w:tc>
        <w:tc>
          <w:tcPr>
            <w:tcW w:w="2107"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44.13 ± 1.92</w:t>
            </w:r>
          </w:p>
        </w:tc>
        <w:tc>
          <w:tcPr>
            <w:tcW w:w="1560"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33.00 ± 0.08</w:t>
            </w:r>
          </w:p>
        </w:tc>
      </w:tr>
      <w:tr>
        <w:tblPrEx>
          <w:tblCellMar>
            <w:top w:w="0" w:type="dxa"/>
            <w:left w:w="0" w:type="dxa"/>
            <w:bottom w:w="0" w:type="dxa"/>
            <w:right w:w="0" w:type="dxa"/>
          </w:tblCellMar>
        </w:tblPrEx>
        <w:trPr>
          <w:trHeight w:val="288" w:hRule="atLeast"/>
        </w:trPr>
        <w:tc>
          <w:tcPr>
            <w:tcW w:w="3381"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DM/CM-</w:t>
            </w:r>
            <w:r>
              <w:rPr>
                <w:rFonts w:hint="eastAsia" w:ascii="Times New Roman" w:hAnsi="Times New Roman" w:cs="Times New Roman"/>
                <w:color w:val="000000"/>
                <w:sz w:val="24"/>
                <w:szCs w:val="24"/>
              </w:rPr>
              <w:t>heating period</w:t>
            </w:r>
          </w:p>
        </w:tc>
        <w:tc>
          <w:tcPr>
            <w:tcW w:w="1600" w:type="dxa"/>
            <w:tcBorders>
              <w:top w:val="nil"/>
              <w:left w:val="nil"/>
              <w:bottom w:val="nil"/>
              <w:right w:val="nil"/>
            </w:tcBorders>
            <w:shd w:val="clear" w:color="auto" w:fill="auto"/>
            <w:noWrap/>
            <w:tcMar>
              <w:top w:w="15" w:type="dxa"/>
              <w:left w:w="15" w:type="dxa"/>
              <w:bottom w:w="0" w:type="dxa"/>
              <w:right w:w="15" w:type="dxa"/>
            </w:tcMar>
            <w:vAlign w:val="bottom"/>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7.09 ± 0.04</w:t>
            </w:r>
          </w:p>
        </w:tc>
        <w:tc>
          <w:tcPr>
            <w:tcW w:w="1680"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1.21 ± 0.02</w:t>
            </w:r>
          </w:p>
        </w:tc>
        <w:tc>
          <w:tcPr>
            <w:tcW w:w="1840"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90.24 ± 0.24</w:t>
            </w:r>
          </w:p>
        </w:tc>
        <w:tc>
          <w:tcPr>
            <w:tcW w:w="2107"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67.56 ± 0.01</w:t>
            </w:r>
          </w:p>
        </w:tc>
        <w:tc>
          <w:tcPr>
            <w:tcW w:w="1560"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34.00 ± 0.02</w:t>
            </w:r>
          </w:p>
        </w:tc>
      </w:tr>
      <w:tr>
        <w:tblPrEx>
          <w:tblCellMar>
            <w:top w:w="0" w:type="dxa"/>
            <w:left w:w="0" w:type="dxa"/>
            <w:bottom w:w="0" w:type="dxa"/>
            <w:right w:w="0" w:type="dxa"/>
          </w:tblCellMar>
        </w:tblPrEx>
        <w:trPr>
          <w:trHeight w:val="288" w:hRule="atLeast"/>
        </w:trPr>
        <w:tc>
          <w:tcPr>
            <w:tcW w:w="3381"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DM/CM-</w:t>
            </w:r>
            <w:r>
              <w:rPr>
                <w:rFonts w:hint="eastAsia" w:ascii="Times New Roman" w:hAnsi="Times New Roman" w:cs="Times New Roman"/>
                <w:color w:val="000000"/>
                <w:sz w:val="24"/>
                <w:szCs w:val="24"/>
              </w:rPr>
              <w:t>thermophilic period</w:t>
            </w:r>
          </w:p>
        </w:tc>
        <w:tc>
          <w:tcPr>
            <w:tcW w:w="1600" w:type="dxa"/>
            <w:tcBorders>
              <w:top w:val="nil"/>
              <w:left w:val="nil"/>
              <w:bottom w:val="nil"/>
              <w:right w:val="nil"/>
            </w:tcBorders>
            <w:shd w:val="clear" w:color="auto" w:fill="auto"/>
            <w:noWrap/>
            <w:tcMar>
              <w:top w:w="15" w:type="dxa"/>
              <w:left w:w="15" w:type="dxa"/>
              <w:bottom w:w="0" w:type="dxa"/>
              <w:right w:w="15" w:type="dxa"/>
            </w:tcMar>
            <w:vAlign w:val="bottom"/>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7.11 ± 0.02</w:t>
            </w:r>
          </w:p>
        </w:tc>
        <w:tc>
          <w:tcPr>
            <w:tcW w:w="1680"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1.41 ± 0.02</w:t>
            </w:r>
          </w:p>
        </w:tc>
        <w:tc>
          <w:tcPr>
            <w:tcW w:w="1840"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91.50 ± 0.13</w:t>
            </w:r>
          </w:p>
        </w:tc>
        <w:tc>
          <w:tcPr>
            <w:tcW w:w="2107"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66.21 ± 0.01</w:t>
            </w:r>
          </w:p>
        </w:tc>
        <w:tc>
          <w:tcPr>
            <w:tcW w:w="1560" w:type="dxa"/>
            <w:tcBorders>
              <w:top w:val="nil"/>
              <w:left w:val="nil"/>
              <w:bottom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56.30 ± 0.05</w:t>
            </w:r>
          </w:p>
        </w:tc>
      </w:tr>
      <w:tr>
        <w:tblPrEx>
          <w:tblCellMar>
            <w:top w:w="0" w:type="dxa"/>
            <w:left w:w="0" w:type="dxa"/>
            <w:bottom w:w="0" w:type="dxa"/>
            <w:right w:w="0" w:type="dxa"/>
          </w:tblCellMar>
        </w:tblPrEx>
        <w:trPr>
          <w:trHeight w:val="288" w:hRule="atLeast"/>
        </w:trPr>
        <w:tc>
          <w:tcPr>
            <w:tcW w:w="3381" w:type="dxa"/>
            <w:tcBorders>
              <w:top w:val="nil"/>
              <w:left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DM/CM-</w:t>
            </w:r>
            <w:r>
              <w:rPr>
                <w:rFonts w:hint="eastAsia" w:ascii="Times New Roman" w:hAnsi="Times New Roman" w:cs="Times New Roman"/>
                <w:color w:val="000000"/>
                <w:sz w:val="24"/>
                <w:szCs w:val="24"/>
              </w:rPr>
              <w:t>cooling period</w:t>
            </w:r>
          </w:p>
        </w:tc>
        <w:tc>
          <w:tcPr>
            <w:tcW w:w="1600" w:type="dxa"/>
            <w:tcBorders>
              <w:top w:val="nil"/>
              <w:left w:val="nil"/>
              <w:right w:val="nil"/>
            </w:tcBorders>
            <w:shd w:val="clear" w:color="auto" w:fill="auto"/>
            <w:noWrap/>
            <w:tcMar>
              <w:top w:w="15" w:type="dxa"/>
              <w:left w:w="15" w:type="dxa"/>
              <w:bottom w:w="0" w:type="dxa"/>
              <w:right w:w="15" w:type="dxa"/>
            </w:tcMar>
            <w:vAlign w:val="bottom"/>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7.91 ± 0.06</w:t>
            </w:r>
          </w:p>
        </w:tc>
        <w:tc>
          <w:tcPr>
            <w:tcW w:w="1680" w:type="dxa"/>
            <w:tcBorders>
              <w:top w:val="nil"/>
              <w:left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2.10 ± 0.03</w:t>
            </w:r>
          </w:p>
        </w:tc>
        <w:tc>
          <w:tcPr>
            <w:tcW w:w="1840" w:type="dxa"/>
            <w:tcBorders>
              <w:top w:val="nil"/>
              <w:left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89.50 ± 0.54</w:t>
            </w:r>
          </w:p>
        </w:tc>
        <w:tc>
          <w:tcPr>
            <w:tcW w:w="2107" w:type="dxa"/>
            <w:tcBorders>
              <w:top w:val="nil"/>
              <w:left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66.70 ± 0.03</w:t>
            </w:r>
          </w:p>
        </w:tc>
        <w:tc>
          <w:tcPr>
            <w:tcW w:w="1560" w:type="dxa"/>
            <w:tcBorders>
              <w:top w:val="nil"/>
              <w:left w:val="nil"/>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38.50 ± 0.08</w:t>
            </w:r>
          </w:p>
        </w:tc>
      </w:tr>
      <w:tr>
        <w:tblPrEx>
          <w:tblCellMar>
            <w:top w:w="0" w:type="dxa"/>
            <w:left w:w="0" w:type="dxa"/>
            <w:bottom w:w="0" w:type="dxa"/>
            <w:right w:w="0" w:type="dxa"/>
          </w:tblCellMar>
        </w:tblPrEx>
        <w:trPr>
          <w:trHeight w:val="288" w:hRule="atLeast"/>
        </w:trPr>
        <w:tc>
          <w:tcPr>
            <w:tcW w:w="3381" w:type="dxa"/>
            <w:tcBorders>
              <w:top w:val="nil"/>
              <w:left w:val="nil"/>
              <w:bottom w:val="single" w:color="auto" w:sz="4" w:space="0"/>
              <w:right w:val="nil"/>
            </w:tcBorders>
            <w:shd w:val="clear" w:color="auto" w:fill="auto"/>
            <w:noWrap/>
            <w:tcMar>
              <w:top w:w="15" w:type="dxa"/>
              <w:left w:w="15" w:type="dxa"/>
              <w:bottom w:w="0" w:type="dxa"/>
              <w:right w:w="15" w:type="dxa"/>
            </w:tcMar>
            <w:vAlign w:val="center"/>
          </w:tcPr>
          <w:p>
            <w:pPr>
              <w:widowControl/>
              <w:jc w:val="center"/>
              <w:rPr>
                <w:rFonts w:ascii="Times New Roman" w:hAnsi="Times New Roman" w:eastAsia="宋体" w:cs="Times New Roman"/>
                <w:sz w:val="24"/>
                <w:szCs w:val="24"/>
              </w:rPr>
            </w:pPr>
            <w:r>
              <w:rPr>
                <w:rFonts w:ascii="Times New Roman" w:hAnsi="Times New Roman" w:cs="Times New Roman"/>
                <w:color w:val="000000"/>
                <w:sz w:val="24"/>
                <w:szCs w:val="24"/>
              </w:rPr>
              <w:t>DM/CM-</w:t>
            </w:r>
            <w:r>
              <w:rPr>
                <w:rFonts w:hint="eastAsia" w:ascii="Times New Roman" w:hAnsi="Times New Roman" w:cs="Times New Roman"/>
                <w:color w:val="000000"/>
                <w:sz w:val="24"/>
                <w:szCs w:val="24"/>
              </w:rPr>
              <w:t>m</w:t>
            </w:r>
            <w:r>
              <w:rPr>
                <w:rFonts w:ascii="Times New Roman" w:hAnsi="Times New Roman" w:eastAsia="宋体" w:cs="Times New Roman"/>
                <w:sz w:val="24"/>
                <w:szCs w:val="24"/>
              </w:rPr>
              <w:t>aturation</w:t>
            </w:r>
          </w:p>
          <w:p>
            <w:pPr>
              <w:jc w:val="center"/>
              <w:rPr>
                <w:rFonts w:ascii="Times New Roman" w:hAnsi="Times New Roman" w:cs="Times New Roman"/>
                <w:color w:val="000000"/>
                <w:sz w:val="24"/>
                <w:szCs w:val="24"/>
              </w:rPr>
            </w:pPr>
            <w:r>
              <w:rPr>
                <w:rFonts w:hint="eastAsia" w:ascii="Times New Roman" w:hAnsi="Times New Roman" w:eastAsia="宋体" w:cs="Times New Roman"/>
                <w:sz w:val="24"/>
                <w:szCs w:val="24"/>
              </w:rPr>
              <w:t>period</w:t>
            </w:r>
          </w:p>
        </w:tc>
        <w:tc>
          <w:tcPr>
            <w:tcW w:w="1600" w:type="dxa"/>
            <w:tcBorders>
              <w:top w:val="nil"/>
              <w:left w:val="nil"/>
              <w:bottom w:val="single" w:color="auto" w:sz="4" w:space="0"/>
              <w:right w:val="nil"/>
            </w:tcBorders>
            <w:shd w:val="clear" w:color="auto" w:fill="auto"/>
            <w:noWrap/>
            <w:tcMar>
              <w:top w:w="15" w:type="dxa"/>
              <w:left w:w="15" w:type="dxa"/>
              <w:bottom w:w="0" w:type="dxa"/>
              <w:right w:w="15" w:type="dxa"/>
            </w:tcMar>
            <w:vAlign w:val="bottom"/>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7.95 ± 0.03</w:t>
            </w:r>
          </w:p>
        </w:tc>
        <w:tc>
          <w:tcPr>
            <w:tcW w:w="1680" w:type="dxa"/>
            <w:tcBorders>
              <w:top w:val="nil"/>
              <w:left w:val="nil"/>
              <w:bottom w:val="single" w:color="auto" w:sz="4" w:space="0"/>
              <w:right w:val="nil"/>
            </w:tcBorders>
            <w:shd w:val="clear" w:color="auto" w:fill="auto"/>
            <w:noWrap/>
            <w:tcMar>
              <w:top w:w="15" w:type="dxa"/>
              <w:left w:w="15" w:type="dxa"/>
              <w:bottom w:w="0" w:type="dxa"/>
              <w:right w:w="15" w:type="dxa"/>
            </w:tcMar>
            <w:vAlign w:val="bottom"/>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2.70 ± 0.04</w:t>
            </w:r>
          </w:p>
        </w:tc>
        <w:tc>
          <w:tcPr>
            <w:tcW w:w="1840" w:type="dxa"/>
            <w:tcBorders>
              <w:top w:val="nil"/>
              <w:left w:val="nil"/>
              <w:bottom w:val="single" w:color="auto" w:sz="4" w:space="0"/>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83.77 ± 0.32</w:t>
            </w:r>
          </w:p>
        </w:tc>
        <w:tc>
          <w:tcPr>
            <w:tcW w:w="2107" w:type="dxa"/>
            <w:tcBorders>
              <w:top w:val="nil"/>
              <w:left w:val="nil"/>
              <w:bottom w:val="single" w:color="auto" w:sz="4" w:space="0"/>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66.42 ± 0.10</w:t>
            </w:r>
          </w:p>
        </w:tc>
        <w:tc>
          <w:tcPr>
            <w:tcW w:w="1560" w:type="dxa"/>
            <w:tcBorders>
              <w:top w:val="nil"/>
              <w:left w:val="nil"/>
              <w:bottom w:val="single" w:color="auto" w:sz="4" w:space="0"/>
              <w:right w:val="nil"/>
            </w:tcBorders>
            <w:shd w:val="clear" w:color="auto" w:fill="auto"/>
            <w:noWrap/>
            <w:tcMar>
              <w:top w:w="15" w:type="dxa"/>
              <w:left w:w="15" w:type="dxa"/>
              <w:bottom w:w="0" w:type="dxa"/>
              <w:right w:w="15" w:type="dxa"/>
            </w:tcMar>
            <w:vAlign w:val="center"/>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33.50 ± 0.15</w:t>
            </w:r>
          </w:p>
        </w:tc>
      </w:tr>
    </w:tbl>
    <w:p>
      <w:pPr>
        <w:spacing w:line="480" w:lineRule="auto"/>
        <w:rPr>
          <w:rFonts w:ascii="Times New Roman" w:hAnsi="Times New Roman" w:cs="Times New Roman"/>
          <w:b/>
          <w:bCs/>
          <w:iCs/>
          <w:sz w:val="24"/>
          <w:szCs w:val="24"/>
        </w:rPr>
      </w:pPr>
    </w:p>
    <w:p>
      <w:pPr>
        <w:spacing w:line="480" w:lineRule="auto"/>
        <w:rPr>
          <w:rFonts w:ascii="Times New Roman" w:hAnsi="Times New Roman" w:cs="Times New Roman"/>
          <w:b/>
          <w:bCs/>
          <w:iCs/>
          <w:sz w:val="24"/>
          <w:szCs w:val="24"/>
        </w:rPr>
      </w:pPr>
    </w:p>
    <w:p>
      <w:pPr>
        <w:spacing w:line="480" w:lineRule="auto"/>
        <w:rPr>
          <w:rFonts w:ascii="Times New Roman" w:hAnsi="Times New Roman" w:cs="Times New Roman"/>
          <w:b/>
          <w:bCs/>
          <w:iCs/>
          <w:sz w:val="24"/>
          <w:szCs w:val="24"/>
        </w:rPr>
      </w:pPr>
    </w:p>
    <w:p>
      <w:pPr>
        <w:spacing w:line="480" w:lineRule="auto"/>
        <w:rPr>
          <w:rFonts w:ascii="Times New Roman" w:hAnsi="Times New Roman" w:cs="Times New Roman"/>
          <w:b/>
          <w:bCs/>
          <w:iCs/>
          <w:sz w:val="24"/>
          <w:szCs w:val="24"/>
        </w:rPr>
      </w:pPr>
    </w:p>
    <w:p>
      <w:pPr>
        <w:spacing w:line="480" w:lineRule="auto"/>
        <w:rPr>
          <w:rFonts w:ascii="Times New Roman" w:hAnsi="Times New Roman" w:cs="Times New Roman"/>
          <w:b/>
          <w:bCs/>
          <w:iCs/>
          <w:sz w:val="24"/>
          <w:szCs w:val="24"/>
        </w:rPr>
      </w:pPr>
    </w:p>
    <w:p>
      <w:pPr>
        <w:spacing w:line="480" w:lineRule="auto"/>
        <w:rPr>
          <w:rFonts w:ascii="Times New Roman" w:hAnsi="Times New Roman" w:cs="Times New Roman"/>
          <w:b/>
          <w:bCs/>
          <w:iCs/>
          <w:sz w:val="24"/>
          <w:szCs w:val="24"/>
        </w:rPr>
      </w:pPr>
    </w:p>
    <w:p>
      <w:pPr>
        <w:spacing w:line="480" w:lineRule="auto"/>
        <w:rPr>
          <w:rFonts w:ascii="Times New Roman" w:hAnsi="Times New Roman" w:cs="Times New Roman"/>
          <w:b/>
          <w:bCs/>
          <w:iCs/>
          <w:sz w:val="24"/>
          <w:szCs w:val="24"/>
        </w:rPr>
      </w:pPr>
    </w:p>
    <w:p>
      <w:pPr>
        <w:spacing w:line="480" w:lineRule="auto"/>
        <w:rPr>
          <w:rFonts w:ascii="Times New Roman" w:hAnsi="Times New Roman" w:cs="Times New Roman"/>
          <w:iCs/>
          <w:sz w:val="24"/>
          <w:szCs w:val="24"/>
        </w:rPr>
      </w:pPr>
    </w:p>
    <w:p>
      <w:pPr>
        <w:spacing w:line="480" w:lineRule="auto"/>
        <w:rPr>
          <w:rFonts w:ascii="Times New Roman" w:hAnsi="Times New Roman" w:cs="Times New Roman"/>
          <w:iCs/>
          <w:sz w:val="24"/>
          <w:szCs w:val="24"/>
        </w:rPr>
      </w:pPr>
    </w:p>
    <w:p>
      <w:pPr>
        <w:spacing w:line="480" w:lineRule="auto"/>
        <w:rPr>
          <w:rFonts w:ascii="Times New Roman" w:hAnsi="Times New Roman" w:cs="Times New Roman"/>
          <w:iCs/>
          <w:sz w:val="24"/>
          <w:szCs w:val="24"/>
        </w:rPr>
      </w:pPr>
    </w:p>
    <w:p>
      <w:pPr>
        <w:spacing w:line="480" w:lineRule="auto"/>
        <w:rPr>
          <w:rFonts w:ascii="Times New Roman" w:hAnsi="Times New Roman" w:cs="Times New Roman"/>
          <w:iCs/>
          <w:sz w:val="24"/>
          <w:szCs w:val="24"/>
        </w:rPr>
      </w:pPr>
    </w:p>
    <w:p>
      <w:pPr>
        <w:spacing w:line="480" w:lineRule="auto"/>
        <w:rPr>
          <w:rFonts w:ascii="Times New Roman" w:hAnsi="Times New Roman" w:cs="Times New Roman"/>
          <w:iCs/>
          <w:sz w:val="24"/>
          <w:szCs w:val="24"/>
        </w:rPr>
      </w:pPr>
    </w:p>
    <w:p>
      <w:pPr>
        <w:spacing w:line="480" w:lineRule="auto"/>
        <w:rPr>
          <w:rFonts w:hint="eastAsia" w:ascii="Times New Roman" w:hAnsi="Times New Roman" w:cs="Times New Roman" w:eastAsiaTheme="minorEastAsia"/>
          <w:iCs/>
          <w:sz w:val="24"/>
          <w:szCs w:val="24"/>
          <w:lang w:val="en-US" w:eastAsia="zh-CN"/>
        </w:rPr>
        <w:sectPr>
          <w:pgSz w:w="16838" w:h="11906" w:orient="landscape"/>
          <w:pgMar w:top="1800" w:right="1440" w:bottom="1800" w:left="1440" w:header="851" w:footer="992" w:gutter="0"/>
          <w:cols w:space="425" w:num="1"/>
          <w:docGrid w:type="lines" w:linePitch="312" w:charSpace="0"/>
        </w:sectPr>
      </w:pPr>
      <w:r>
        <w:rPr>
          <w:rFonts w:ascii="Times New Roman" w:hAnsi="Times New Roman" w:cs="Times New Roman"/>
          <w:iCs/>
          <w:sz w:val="24"/>
          <w:szCs w:val="24"/>
        </w:rPr>
        <w:t xml:space="preserve">Note: TKN - total Kjelner nitrogen; OM - organic matter; C/N - </w:t>
      </w:r>
      <w:r>
        <w:rPr>
          <w:rFonts w:ascii="Times New Roman" w:hAnsi="Times New Roman" w:cs="Times New Roman"/>
          <w:bCs/>
          <w:sz w:val="24"/>
          <w:szCs w:val="24"/>
        </w:rPr>
        <w:t>carbon-to-nitrogen ratio. (</w:t>
      </w:r>
      <w:r>
        <w:rPr>
          <w:rFonts w:ascii="Times New Roman" w:hAnsi="Times New Roman"/>
          <w:bCs/>
          <w:sz w:val="24"/>
          <w:szCs w:val="24"/>
        </w:rPr>
        <w:t>All samples had three parallel data sets, and the data in the table is mean ± standard deviat</w:t>
      </w:r>
      <w:r>
        <w:rPr>
          <w:rFonts w:hint="eastAsia" w:ascii="Times New Roman" w:hAnsi="Times New Roman"/>
          <w:bCs/>
          <w:sz w:val="24"/>
          <w:szCs w:val="24"/>
          <w:lang w:val="en-US" w:eastAsia="zh-CN"/>
        </w:rPr>
        <w:t>e</w:t>
      </w:r>
    </w:p>
    <w:p>
      <w:pPr>
        <w:widowControl/>
        <w:spacing w:line="480" w:lineRule="auto"/>
        <w:rPr>
          <w:rFonts w:hint="eastAsia" w:eastAsia="宋体"/>
        </w:rPr>
      </w:pPr>
    </w:p>
    <w:sectPr>
      <w:pgSz w:w="16838" w:h="11906" w:orient="landscape"/>
      <w:pgMar w:top="1440" w:right="1797" w:bottom="1440" w:left="1797" w:header="851" w:footer="992" w:gutter="0"/>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18726189"/>
    </w:sdtPr>
    <w:sdtEndPr>
      <w:rPr>
        <w:rFonts w:ascii="Times New Roman" w:hAnsi="Times New Roman" w:cs="Times New Roman"/>
        <w:sz w:val="20"/>
        <w:szCs w:val="20"/>
      </w:rPr>
    </w:sdtEndPr>
    <w:sdtContent>
      <w:p>
        <w:pPr>
          <w:pStyle w:val="2"/>
          <w:jc w:val="center"/>
          <w:rPr>
            <w:rFonts w:ascii="Times New Roman" w:hAnsi="Times New Roman" w:cs="Times New Roman"/>
            <w:sz w:val="20"/>
            <w:szCs w:val="20"/>
          </w:rPr>
        </w:pPr>
        <w:r>
          <w:rPr>
            <w:rFonts w:ascii="Times New Roman" w:hAnsi="Times New Roman" w:cs="Times New Roman"/>
            <w:sz w:val="20"/>
            <w:szCs w:val="20"/>
          </w:rPr>
          <w:t>S</w:t>
        </w: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w:instrText>
        </w:r>
        <w:r>
          <w:rPr>
            <w:rFonts w:ascii="Times New Roman" w:hAnsi="Times New Roman" w:cs="Times New Roman"/>
            <w:sz w:val="20"/>
            <w:szCs w:val="20"/>
          </w:rPr>
          <w:fldChar w:fldCharType="separate"/>
        </w:r>
        <w:r>
          <w:rPr>
            <w:rFonts w:ascii="Times New Roman" w:hAnsi="Times New Roman" w:cs="Times New Roman"/>
            <w:sz w:val="20"/>
            <w:szCs w:val="20"/>
            <w:lang w:val="zh-CN"/>
          </w:rPr>
          <w:t>2</w:t>
        </w:r>
        <w:r>
          <w:rPr>
            <w:rFonts w:ascii="Times New Roman" w:hAnsi="Times New Roman" w:cs="Times New Roman"/>
            <w:sz w:val="20"/>
            <w:szCs w:val="20"/>
          </w:rP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RhMGUzZTBiMGNmY2VhYzU2ZGMwYjYyM2M5NTgxZjMifQ=="/>
    <w:docVar w:name="EN.InstantFormat" w:val="&lt;ENInstantFormat&gt;&lt;Enabled&gt;1&lt;/Enabled&gt;&lt;ScanUnformatted&gt;1&lt;/ScanUnformatted&gt;&lt;ScanChanges&gt;1&lt;/ScanChanges&gt;&lt;Suspended&gt;1&lt;/Suspended&gt;&lt;/ENInstantFormat&gt;"/>
  </w:docVars>
  <w:rsids>
    <w:rsidRoot w:val="000C7B08"/>
    <w:rsid w:val="00002D4B"/>
    <w:rsid w:val="000777B6"/>
    <w:rsid w:val="0008007C"/>
    <w:rsid w:val="000C7B08"/>
    <w:rsid w:val="000E0774"/>
    <w:rsid w:val="001760DA"/>
    <w:rsid w:val="001958D5"/>
    <w:rsid w:val="001F25B6"/>
    <w:rsid w:val="00233439"/>
    <w:rsid w:val="00262EDA"/>
    <w:rsid w:val="002714B6"/>
    <w:rsid w:val="002873BC"/>
    <w:rsid w:val="00291FF2"/>
    <w:rsid w:val="002C0B65"/>
    <w:rsid w:val="00302355"/>
    <w:rsid w:val="00364E78"/>
    <w:rsid w:val="003A5D6F"/>
    <w:rsid w:val="00437FE6"/>
    <w:rsid w:val="00460265"/>
    <w:rsid w:val="004719EB"/>
    <w:rsid w:val="00493ABC"/>
    <w:rsid w:val="004C208F"/>
    <w:rsid w:val="004D346F"/>
    <w:rsid w:val="00504CC5"/>
    <w:rsid w:val="00515609"/>
    <w:rsid w:val="00552AF9"/>
    <w:rsid w:val="00565206"/>
    <w:rsid w:val="0059606E"/>
    <w:rsid w:val="005C54C1"/>
    <w:rsid w:val="00620447"/>
    <w:rsid w:val="006830B9"/>
    <w:rsid w:val="006A1945"/>
    <w:rsid w:val="00701920"/>
    <w:rsid w:val="00717A85"/>
    <w:rsid w:val="0075776D"/>
    <w:rsid w:val="007905A3"/>
    <w:rsid w:val="007A7959"/>
    <w:rsid w:val="007B0C51"/>
    <w:rsid w:val="007C10FC"/>
    <w:rsid w:val="008035A5"/>
    <w:rsid w:val="00863E65"/>
    <w:rsid w:val="008658C8"/>
    <w:rsid w:val="0087368B"/>
    <w:rsid w:val="008861FA"/>
    <w:rsid w:val="008A4C44"/>
    <w:rsid w:val="008D2DA5"/>
    <w:rsid w:val="008F0F23"/>
    <w:rsid w:val="009B2B51"/>
    <w:rsid w:val="009F5A32"/>
    <w:rsid w:val="00A01D76"/>
    <w:rsid w:val="00A8598B"/>
    <w:rsid w:val="00A8633D"/>
    <w:rsid w:val="00AC2CE5"/>
    <w:rsid w:val="00B024BD"/>
    <w:rsid w:val="00B43151"/>
    <w:rsid w:val="00B57CF4"/>
    <w:rsid w:val="00BC5794"/>
    <w:rsid w:val="00C21F8A"/>
    <w:rsid w:val="00C36701"/>
    <w:rsid w:val="00C40648"/>
    <w:rsid w:val="00C45EF2"/>
    <w:rsid w:val="00C74C8F"/>
    <w:rsid w:val="00CC053E"/>
    <w:rsid w:val="00CC0AF9"/>
    <w:rsid w:val="00CE36E5"/>
    <w:rsid w:val="00CF29F3"/>
    <w:rsid w:val="00D16DEE"/>
    <w:rsid w:val="00D60408"/>
    <w:rsid w:val="00D73CC9"/>
    <w:rsid w:val="00D751E1"/>
    <w:rsid w:val="00D77B36"/>
    <w:rsid w:val="00D87463"/>
    <w:rsid w:val="00DB3BE0"/>
    <w:rsid w:val="00DF35DA"/>
    <w:rsid w:val="00DF3E3F"/>
    <w:rsid w:val="00DF3FD0"/>
    <w:rsid w:val="00E120D1"/>
    <w:rsid w:val="00E90F37"/>
    <w:rsid w:val="00ED5E09"/>
    <w:rsid w:val="00F00C4F"/>
    <w:rsid w:val="00FA7E7D"/>
    <w:rsid w:val="055C526F"/>
    <w:rsid w:val="12443D76"/>
    <w:rsid w:val="138B7B98"/>
    <w:rsid w:val="15393438"/>
    <w:rsid w:val="157E3083"/>
    <w:rsid w:val="15BB543C"/>
    <w:rsid w:val="15DB5322"/>
    <w:rsid w:val="23066713"/>
    <w:rsid w:val="3D1B0F6B"/>
    <w:rsid w:val="494907C3"/>
    <w:rsid w:val="4AFE2FF5"/>
    <w:rsid w:val="4C623F9B"/>
    <w:rsid w:val="52435F2D"/>
    <w:rsid w:val="5E9248D1"/>
    <w:rsid w:val="684266F3"/>
    <w:rsid w:val="6A28334C"/>
    <w:rsid w:val="7D6432E7"/>
    <w:rsid w:val="7EB0669D"/>
    <w:rsid w:val="7FBC7F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unhideWhenUsed/>
    <w:qFormat/>
    <w:uiPriority w:val="99"/>
    <w:rPr>
      <w:color w:val="0563C1" w:themeColor="hyperlink"/>
      <w:u w:val="single"/>
      <w14:textFill>
        <w14:solidFill>
          <w14:schemeClr w14:val="hlink"/>
        </w14:solidFill>
      </w14:textFill>
    </w:rPr>
  </w:style>
  <w:style w:type="character" w:customStyle="1" w:styleId="8">
    <w:name w:val="页眉 字符"/>
    <w:basedOn w:val="6"/>
    <w:link w:val="3"/>
    <w:qFormat/>
    <w:uiPriority w:val="99"/>
    <w:rPr>
      <w:sz w:val="18"/>
      <w:szCs w:val="18"/>
    </w:rPr>
  </w:style>
  <w:style w:type="character" w:customStyle="1" w:styleId="9">
    <w:name w:val="页脚 字符"/>
    <w:basedOn w:val="6"/>
    <w:link w:val="2"/>
    <w:qFormat/>
    <w:uiPriority w:val="99"/>
    <w:rPr>
      <w:sz w:val="18"/>
      <w:szCs w:val="18"/>
    </w:rPr>
  </w:style>
  <w:style w:type="paragraph" w:styleId="10">
    <w:name w:val="List Paragraph"/>
    <w:basedOn w:val="1"/>
    <w:link w:val="12"/>
    <w:qFormat/>
    <w:uiPriority w:val="34"/>
    <w:pPr>
      <w:ind w:firstLine="420" w:firstLineChars="200"/>
    </w:pPr>
  </w:style>
  <w:style w:type="paragraph" w:customStyle="1" w:styleId="11">
    <w:name w:val="EndNote Bibliography Title"/>
    <w:basedOn w:val="1"/>
    <w:link w:val="13"/>
    <w:qFormat/>
    <w:uiPriority w:val="0"/>
    <w:pPr>
      <w:jc w:val="center"/>
    </w:pPr>
    <w:rPr>
      <w:rFonts w:ascii="等线" w:hAnsi="等线" w:eastAsia="等线"/>
      <w:sz w:val="20"/>
    </w:rPr>
  </w:style>
  <w:style w:type="character" w:customStyle="1" w:styleId="12">
    <w:name w:val="列表段落 字符"/>
    <w:basedOn w:val="6"/>
    <w:link w:val="10"/>
    <w:qFormat/>
    <w:uiPriority w:val="34"/>
  </w:style>
  <w:style w:type="character" w:customStyle="1" w:styleId="13">
    <w:name w:val="EndNote Bibliography Title 字符"/>
    <w:basedOn w:val="12"/>
    <w:link w:val="11"/>
    <w:qFormat/>
    <w:uiPriority w:val="0"/>
    <w:rPr>
      <w:rFonts w:ascii="等线" w:hAnsi="等线" w:eastAsia="等线"/>
      <w:sz w:val="20"/>
    </w:rPr>
  </w:style>
  <w:style w:type="paragraph" w:customStyle="1" w:styleId="14">
    <w:name w:val="EndNote Bibliography"/>
    <w:basedOn w:val="1"/>
    <w:link w:val="15"/>
    <w:qFormat/>
    <w:uiPriority w:val="0"/>
    <w:pPr>
      <w:jc w:val="center"/>
    </w:pPr>
    <w:rPr>
      <w:rFonts w:ascii="等线" w:hAnsi="等线" w:eastAsia="等线"/>
      <w:sz w:val="20"/>
    </w:rPr>
  </w:style>
  <w:style w:type="character" w:customStyle="1" w:styleId="15">
    <w:name w:val="EndNote Bibliography 字符"/>
    <w:basedOn w:val="12"/>
    <w:link w:val="14"/>
    <w:qFormat/>
    <w:uiPriority w:val="0"/>
    <w:rPr>
      <w:rFonts w:ascii="等线" w:hAnsi="等线" w:eastAsia="等线"/>
      <w:sz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771</Words>
  <Characters>4086</Characters>
  <Lines>35</Lines>
  <Paragraphs>10</Paragraphs>
  <TotalTime>0</TotalTime>
  <ScaleCrop>false</ScaleCrop>
  <LinksUpToDate>false</LinksUpToDate>
  <CharactersWithSpaces>4729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2023-07-03T02:47:00Z</dcterms:created>
  <dc:creator>黄 一特</dc:creator>
  <cp:lastModifiedBy>WPS_1678665839</cp:lastModifiedBy>
  <dcterms:modified xsi:type="dcterms:W3CDTF">2023-09-14T05:46:04Z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7A6D27C44C73454586AA12FEA6789D6A</vt:lpwstr>
  </property>
</Properties>
</file>